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ContentPlaceHolder" w:displacedByCustomXml="next"/>
    <w:bookmarkEnd w:id="0" w:displacedByCustomXml="next"/>
    <w:sdt>
      <w:sdtPr>
        <w:id w:val="-1579126329"/>
        <w:docPartObj>
          <w:docPartGallery w:val="Cover Pages"/>
          <w:docPartUnique/>
        </w:docPartObj>
      </w:sdtPr>
      <w:sdtContent>
        <w:tbl>
          <w:tblPr>
            <w:tblW w:w="0" w:type="auto"/>
            <w:shd w:val="clear" w:color="auto" w:fill="939598"/>
            <w:tblCellMar>
              <w:left w:w="0" w:type="dxa"/>
              <w:right w:w="0" w:type="dxa"/>
            </w:tblCellMar>
            <w:tblLook w:val="04A0"/>
          </w:tblPr>
          <w:tblGrid>
            <w:gridCol w:w="10767"/>
          </w:tblGrid>
          <w:tr w:rsidR="00AE42BA" w:rsidRPr="00863E1E" w:rsidTr="00AF3EEE">
            <w:trPr>
              <w:trHeight w:hRule="exact" w:val="567"/>
            </w:trPr>
            <w:tc>
              <w:tcPr>
                <w:tcW w:w="10767" w:type="dxa"/>
                <w:shd w:val="clear" w:color="auto" w:fill="939598"/>
              </w:tcPr>
              <w:p w:rsidR="00AE42BA" w:rsidRPr="00863E1E" w:rsidRDefault="00AE42BA" w:rsidP="00E72E26">
                <w:pPr>
                  <w:pStyle w:val="Para0"/>
                </w:pPr>
              </w:p>
            </w:tc>
          </w:tr>
          <w:tr w:rsidR="00AE42BA" w:rsidRPr="00863E1E" w:rsidTr="00AF3EEE">
            <w:tblPrEx>
              <w:shd w:val="clear" w:color="auto" w:fill="auto"/>
            </w:tblPrEx>
            <w:trPr>
              <w:trHeight w:hRule="exact" w:val="4536"/>
            </w:trPr>
            <w:tc>
              <w:tcPr>
                <w:tcW w:w="10767" w:type="dxa"/>
                <w:shd w:val="clear" w:color="auto" w:fill="42145F"/>
                <w:vAlign w:val="center"/>
              </w:tcPr>
              <w:p w:rsidR="00AE42BA" w:rsidRPr="00863E1E" w:rsidRDefault="00053D9D" w:rsidP="001E4D1E">
                <w:pPr>
                  <w:pStyle w:val="CoverHeading"/>
                </w:pPr>
                <w:r w:rsidRPr="00863E1E">
                  <w:t>Great Artesian Basin Sustainability Initiative (GABSI) Value for Money Review</w:t>
                </w:r>
              </w:p>
              <w:p w:rsidR="00AE42BA" w:rsidRPr="00863E1E" w:rsidRDefault="00307E9C" w:rsidP="001E4D1E">
                <w:pPr>
                  <w:pStyle w:val="CoverSubheading"/>
                </w:pPr>
                <w:r>
                  <w:t xml:space="preserve">FINAL </w:t>
                </w:r>
                <w:r w:rsidR="00053D9D" w:rsidRPr="00863E1E">
                  <w:t>Report</w:t>
                </w:r>
              </w:p>
              <w:p w:rsidR="00AE42BA" w:rsidRPr="00863E1E" w:rsidRDefault="00053D9D" w:rsidP="009778BA">
                <w:pPr>
                  <w:pStyle w:val="CoverDate"/>
                </w:pPr>
                <w:r w:rsidRPr="00863E1E">
                  <w:t>Department of the Environment</w:t>
                </w:r>
                <w:r w:rsidR="00AE42BA" w:rsidRPr="00863E1E">
                  <w:t xml:space="preserve"> | </w:t>
                </w:r>
                <w:r w:rsidR="009778BA">
                  <w:t>January 2014</w:t>
                </w:r>
              </w:p>
            </w:tc>
          </w:tr>
          <w:tr w:rsidR="00AE42BA" w:rsidRPr="00863E1E" w:rsidTr="00AF3EEE">
            <w:tblPrEx>
              <w:shd w:val="clear" w:color="auto" w:fill="auto"/>
            </w:tblPrEx>
            <w:trPr>
              <w:trHeight w:hRule="exact" w:val="7938"/>
            </w:trPr>
            <w:tc>
              <w:tcPr>
                <w:tcW w:w="10767" w:type="dxa"/>
              </w:tcPr>
              <w:p w:rsidR="00AE42BA" w:rsidRPr="00863E1E" w:rsidRDefault="00B83523" w:rsidP="00DB2372">
                <w:pPr>
                  <w:pStyle w:val="Image"/>
                </w:pPr>
                <w:r>
                  <w:rPr>
                    <w:noProof/>
                    <w:lang w:eastAsia="en-AU"/>
                  </w:rPr>
                  <w:drawing>
                    <wp:inline distT="0" distB="0" distL="0" distR="0">
                      <wp:extent cx="6837045" cy="5039995"/>
                      <wp:effectExtent l="0" t="0" r="1905" b="825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7045" cy="5039995"/>
                              </a:xfrm>
                              <a:prstGeom prst="rect">
                                <a:avLst/>
                              </a:prstGeom>
                              <a:noFill/>
                              <a:ln>
                                <a:noFill/>
                              </a:ln>
                            </pic:spPr>
                          </pic:pic>
                        </a:graphicData>
                      </a:graphic>
                    </wp:inline>
                  </w:drawing>
                </w:r>
              </w:p>
            </w:tc>
          </w:tr>
          <w:tr w:rsidR="00AE42BA" w:rsidRPr="00863E1E" w:rsidTr="00AF3EEE">
            <w:tblPrEx>
              <w:shd w:val="clear" w:color="auto" w:fill="auto"/>
            </w:tblPrEx>
            <w:trPr>
              <w:trHeight w:hRule="exact" w:val="291"/>
            </w:trPr>
            <w:tc>
              <w:tcPr>
                <w:tcW w:w="10767" w:type="dxa"/>
                <w:vAlign w:val="bottom"/>
              </w:tcPr>
              <w:p w:rsidR="00AE42BA" w:rsidRPr="00863E1E" w:rsidRDefault="00B83523" w:rsidP="000F2DCD">
                <w:pPr>
                  <w:pStyle w:val="Para0"/>
                </w:pPr>
                <w:r>
                  <w:rPr>
                    <w:noProof/>
                    <w:lang w:eastAsia="en-AU"/>
                  </w:rPr>
                  <w:drawing>
                    <wp:anchor distT="0" distB="0" distL="114300" distR="114300" simplePos="0" relativeHeight="251675648" behindDoc="0" locked="0" layoutInCell="1" allowOverlap="1">
                      <wp:simplePos x="0" y="0"/>
                      <wp:positionH relativeFrom="page">
                        <wp:posOffset>3744595</wp:posOffset>
                      </wp:positionH>
                      <wp:positionV relativeFrom="page">
                        <wp:posOffset>532765</wp:posOffset>
                      </wp:positionV>
                      <wp:extent cx="2552065" cy="952500"/>
                      <wp:effectExtent l="0" t="0" r="635" b="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952500"/>
                              </a:xfrm>
                              <a:prstGeom prst="rect">
                                <a:avLst/>
                              </a:prstGeom>
                              <a:noFill/>
                            </pic:spPr>
                          </pic:pic>
                        </a:graphicData>
                      </a:graphic>
                    </wp:anchor>
                  </w:drawing>
                </w:r>
                <w:r>
                  <w:rPr>
                    <w:noProof/>
                    <w:lang w:eastAsia="en-AU"/>
                  </w:rPr>
                  <w:drawing>
                    <wp:anchor distT="0" distB="0" distL="114300" distR="114300" simplePos="0" relativeHeight="251674624" behindDoc="0" locked="0" layoutInCell="1" allowOverlap="1">
                      <wp:simplePos x="0" y="0"/>
                      <wp:positionH relativeFrom="page">
                        <wp:posOffset>3744595</wp:posOffset>
                      </wp:positionH>
                      <wp:positionV relativeFrom="page">
                        <wp:posOffset>532765</wp:posOffset>
                      </wp:positionV>
                      <wp:extent cx="2552065" cy="952500"/>
                      <wp:effectExtent l="0" t="0" r="635" b="0"/>
                      <wp:wrapNone/>
                      <wp:docPr id="26" name="SKM Cover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 Cover Logo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952500"/>
                              </a:xfrm>
                              <a:prstGeom prst="rect">
                                <a:avLst/>
                              </a:prstGeom>
                              <a:noFill/>
                            </pic:spPr>
                          </pic:pic>
                        </a:graphicData>
                      </a:graphic>
                    </wp:anchor>
                  </w:drawing>
                </w:r>
              </w:p>
            </w:tc>
          </w:tr>
        </w:tbl>
        <w:p w:rsidR="00AE42BA" w:rsidRPr="00863E1E" w:rsidRDefault="006768F1" w:rsidP="000F2DCD">
          <w:pPr>
            <w:pStyle w:val="Para0"/>
            <w:sectPr w:rsidR="00AE42BA" w:rsidRPr="00863E1E" w:rsidSect="005B6BEE">
              <w:headerReference w:type="default" r:id="rId13"/>
              <w:footerReference w:type="default" r:id="rId14"/>
              <w:pgSz w:w="11901" w:h="16840" w:code="9"/>
              <w:pgMar w:top="567" w:right="567" w:bottom="567" w:left="567" w:header="567" w:footer="369" w:gutter="0"/>
              <w:pgNumType w:start="1"/>
              <w:cols w:space="0"/>
              <w:formProt w:val="0"/>
              <w:titlePg/>
              <w:docGrid w:linePitch="360"/>
            </w:sectPr>
          </w:pPr>
        </w:p>
      </w:sdtContent>
    </w:sdt>
    <w:tbl>
      <w:tblPr>
        <w:tblW w:w="5000" w:type="pct"/>
        <w:tblCellMar>
          <w:left w:w="0" w:type="dxa"/>
          <w:right w:w="0" w:type="dxa"/>
        </w:tblCellMar>
        <w:tblLook w:val="00A0"/>
      </w:tblPr>
      <w:tblGrid>
        <w:gridCol w:w="1983"/>
        <w:gridCol w:w="7933"/>
      </w:tblGrid>
      <w:tr w:rsidR="00235E34" w:rsidRPr="00863E1E" w:rsidTr="00AF3EEE">
        <w:trPr>
          <w:trHeight w:hRule="exact" w:val="1985"/>
        </w:trPr>
        <w:tc>
          <w:tcPr>
            <w:tcW w:w="5000" w:type="pct"/>
            <w:gridSpan w:val="2"/>
          </w:tcPr>
          <w:p w:rsidR="00235E34" w:rsidRPr="00863E1E" w:rsidRDefault="00235E34" w:rsidP="00306621">
            <w:pPr>
              <w:pStyle w:val="ProjectName"/>
            </w:pPr>
          </w:p>
        </w:tc>
      </w:tr>
      <w:tr w:rsidR="00AE42BA" w:rsidRPr="00863E1E" w:rsidTr="00AF3EEE">
        <w:trPr>
          <w:trHeight w:hRule="exact" w:val="1985"/>
        </w:trPr>
        <w:tc>
          <w:tcPr>
            <w:tcW w:w="5000" w:type="pct"/>
            <w:gridSpan w:val="2"/>
          </w:tcPr>
          <w:p w:rsidR="00AE42BA" w:rsidRPr="00863E1E" w:rsidRDefault="00ED3616" w:rsidP="00306621">
            <w:pPr>
              <w:pStyle w:val="ProjectName"/>
            </w:pPr>
            <w:r w:rsidRPr="00863E1E">
              <w:t>GABSI Value for Money Review</w:t>
            </w:r>
          </w:p>
        </w:tc>
      </w:tr>
      <w:tr w:rsidR="00AE42BA" w:rsidRPr="00863E1E" w:rsidTr="00AF3EEE">
        <w:trPr>
          <w:trHeight w:val="567"/>
        </w:trPr>
        <w:tc>
          <w:tcPr>
            <w:tcW w:w="1000" w:type="pct"/>
          </w:tcPr>
          <w:p w:rsidR="00AE42BA" w:rsidRPr="00863E1E" w:rsidRDefault="00AE42BA" w:rsidP="00306621">
            <w:pPr>
              <w:pStyle w:val="Tabletext"/>
            </w:pPr>
            <w:r w:rsidRPr="00863E1E">
              <w:t>Document title:</w:t>
            </w:r>
          </w:p>
        </w:tc>
        <w:tc>
          <w:tcPr>
            <w:tcW w:w="4000" w:type="pct"/>
          </w:tcPr>
          <w:p w:rsidR="00AE42BA" w:rsidRPr="00863E1E" w:rsidRDefault="00ED3616" w:rsidP="00B40DFB">
            <w:pPr>
              <w:pStyle w:val="DocumentTitle"/>
            </w:pPr>
            <w:r w:rsidRPr="00863E1E">
              <w:t>GABSI Value for Money Review</w:t>
            </w:r>
          </w:p>
        </w:tc>
      </w:tr>
      <w:tr w:rsidR="00AE42BA" w:rsidRPr="00863E1E" w:rsidTr="00AF3EEE">
        <w:trPr>
          <w:trHeight w:val="567"/>
        </w:trPr>
        <w:tc>
          <w:tcPr>
            <w:tcW w:w="1000" w:type="pct"/>
          </w:tcPr>
          <w:p w:rsidR="00AE42BA" w:rsidRPr="00863E1E" w:rsidRDefault="00AE42BA" w:rsidP="00306621">
            <w:pPr>
              <w:pStyle w:val="Tabletext"/>
            </w:pPr>
            <w:r w:rsidRPr="00863E1E">
              <w:t>Document no.</w:t>
            </w:r>
          </w:p>
        </w:tc>
        <w:tc>
          <w:tcPr>
            <w:tcW w:w="4000" w:type="pct"/>
          </w:tcPr>
          <w:p w:rsidR="00AE42BA" w:rsidRPr="00863E1E" w:rsidRDefault="008D32A8" w:rsidP="00306621">
            <w:pPr>
              <w:pStyle w:val="Tabletext"/>
            </w:pPr>
            <w:r>
              <w:t>3</w:t>
            </w:r>
          </w:p>
        </w:tc>
      </w:tr>
      <w:tr w:rsidR="00AE42BA" w:rsidRPr="00863E1E" w:rsidTr="00AF3EEE">
        <w:trPr>
          <w:trHeight w:val="567"/>
        </w:trPr>
        <w:tc>
          <w:tcPr>
            <w:tcW w:w="1000" w:type="pct"/>
          </w:tcPr>
          <w:p w:rsidR="00AE42BA" w:rsidRPr="00863E1E" w:rsidRDefault="00AE42BA" w:rsidP="00306621">
            <w:pPr>
              <w:pStyle w:val="Tabletext"/>
            </w:pPr>
            <w:r w:rsidRPr="00863E1E">
              <w:t>Version:</w:t>
            </w:r>
          </w:p>
        </w:tc>
        <w:tc>
          <w:tcPr>
            <w:tcW w:w="4000" w:type="pct"/>
          </w:tcPr>
          <w:p w:rsidR="00AE42BA" w:rsidRPr="00863E1E" w:rsidRDefault="004824A5" w:rsidP="00D55D1E">
            <w:pPr>
              <w:pStyle w:val="Tabletext"/>
            </w:pPr>
            <w:r>
              <w:t>Final</w:t>
            </w:r>
          </w:p>
        </w:tc>
      </w:tr>
      <w:tr w:rsidR="00AE42BA" w:rsidRPr="00863E1E" w:rsidTr="00AF3EEE">
        <w:trPr>
          <w:trHeight w:val="567"/>
        </w:trPr>
        <w:tc>
          <w:tcPr>
            <w:tcW w:w="1000" w:type="pct"/>
          </w:tcPr>
          <w:p w:rsidR="00AE42BA" w:rsidRPr="00863E1E" w:rsidRDefault="00AE42BA" w:rsidP="00306621">
            <w:pPr>
              <w:pStyle w:val="Tabletext"/>
            </w:pPr>
            <w:r w:rsidRPr="00863E1E">
              <w:t>Date:</w:t>
            </w:r>
          </w:p>
        </w:tc>
        <w:tc>
          <w:tcPr>
            <w:tcW w:w="4000" w:type="pct"/>
          </w:tcPr>
          <w:p w:rsidR="00AE42BA" w:rsidRPr="00863E1E" w:rsidRDefault="009778BA" w:rsidP="00306621">
            <w:pPr>
              <w:pStyle w:val="Tabletext"/>
            </w:pPr>
            <w:r>
              <w:t>January 2014</w:t>
            </w:r>
          </w:p>
        </w:tc>
      </w:tr>
      <w:tr w:rsidR="00AE42BA" w:rsidRPr="00863E1E" w:rsidTr="00AF3EEE">
        <w:trPr>
          <w:trHeight w:val="567"/>
        </w:trPr>
        <w:tc>
          <w:tcPr>
            <w:tcW w:w="1000" w:type="pct"/>
          </w:tcPr>
          <w:p w:rsidR="00AE42BA" w:rsidRPr="00863E1E" w:rsidRDefault="00AE42BA" w:rsidP="00306621">
            <w:pPr>
              <w:pStyle w:val="Tabletext"/>
            </w:pPr>
            <w:r w:rsidRPr="00863E1E">
              <w:t>Prepared by:</w:t>
            </w:r>
          </w:p>
        </w:tc>
        <w:tc>
          <w:tcPr>
            <w:tcW w:w="4000" w:type="pct"/>
          </w:tcPr>
          <w:p w:rsidR="00AE42BA" w:rsidRPr="00863E1E" w:rsidRDefault="009C614B" w:rsidP="002C781F">
            <w:pPr>
              <w:pStyle w:val="Tabletext"/>
            </w:pPr>
            <w:r w:rsidRPr="00863E1E">
              <w:t>Michelle Freund</w:t>
            </w:r>
            <w:r w:rsidR="00C71466">
              <w:t>,</w:t>
            </w:r>
            <w:r w:rsidR="00C71466" w:rsidRPr="00863E1E">
              <w:t xml:space="preserve"> Sarah Alexande</w:t>
            </w:r>
            <w:r w:rsidR="00C71466">
              <w:t>r</w:t>
            </w:r>
          </w:p>
        </w:tc>
      </w:tr>
      <w:tr w:rsidR="00AE42BA" w:rsidRPr="00863E1E" w:rsidTr="00AF3EEE">
        <w:trPr>
          <w:trHeight w:val="567"/>
        </w:trPr>
        <w:tc>
          <w:tcPr>
            <w:tcW w:w="1000" w:type="pct"/>
          </w:tcPr>
          <w:p w:rsidR="00AE42BA" w:rsidRPr="00863E1E" w:rsidRDefault="00AE42BA" w:rsidP="00306621">
            <w:pPr>
              <w:pStyle w:val="Tabletext"/>
            </w:pPr>
            <w:r w:rsidRPr="00863E1E">
              <w:t>Approved by:</w:t>
            </w:r>
          </w:p>
        </w:tc>
        <w:tc>
          <w:tcPr>
            <w:tcW w:w="4000" w:type="pct"/>
          </w:tcPr>
          <w:p w:rsidR="00AE42BA" w:rsidRPr="00863E1E" w:rsidRDefault="00ED3616" w:rsidP="00306621">
            <w:pPr>
              <w:pStyle w:val="Tabletext"/>
            </w:pPr>
            <w:r w:rsidRPr="00863E1E">
              <w:t>Andrew Tingay, Ray Evans</w:t>
            </w:r>
          </w:p>
        </w:tc>
      </w:tr>
      <w:tr w:rsidR="00AE42BA" w:rsidRPr="00863E1E" w:rsidTr="00AF3EEE">
        <w:trPr>
          <w:trHeight w:hRule="exact" w:val="567"/>
        </w:trPr>
        <w:tc>
          <w:tcPr>
            <w:tcW w:w="5000" w:type="pct"/>
            <w:gridSpan w:val="2"/>
          </w:tcPr>
          <w:p w:rsidR="00AE42BA" w:rsidRPr="00863E1E" w:rsidRDefault="00AE42BA" w:rsidP="00306621">
            <w:pPr>
              <w:pStyle w:val="Tabletext"/>
            </w:pPr>
          </w:p>
        </w:tc>
      </w:tr>
      <w:tr w:rsidR="00AE42BA" w:rsidRPr="00863E1E" w:rsidTr="00AF3EEE">
        <w:tc>
          <w:tcPr>
            <w:tcW w:w="5000" w:type="pct"/>
            <w:gridSpan w:val="2"/>
          </w:tcPr>
          <w:p w:rsidR="00AE42BA" w:rsidRPr="00863E1E" w:rsidRDefault="006768F1" w:rsidP="00306621">
            <w:pPr>
              <w:pStyle w:val="Tabletext"/>
              <w:spacing w:before="0" w:after="0"/>
            </w:pPr>
            <w:fldSimple w:instr=" DOCVARIABLE  Add1  \* MERGEFORMAT ">
              <w:r w:rsidR="00A00A05">
                <w:t>Sinclair Knight Merz</w:t>
              </w:r>
            </w:fldSimple>
            <w:r w:rsidR="00AE42BA" w:rsidRPr="00863E1E">
              <w:br/>
            </w:r>
            <w:fldSimple w:instr=" DOCVARIABLE  CoverBusinessRegoNo  \* MERGEFORMAT ">
              <w:r w:rsidR="00A00A05">
                <w:t>ABN 37 001 024 095</w:t>
              </w:r>
            </w:fldSimple>
            <w:r w:rsidR="00AE42BA" w:rsidRPr="00863E1E">
              <w:br/>
            </w:r>
            <w:fldSimple w:instr=" DOCVARIABLE  Add2  \* MERGEFORMAT ">
              <w:r w:rsidR="00A00A05">
                <w:t>214 Northbourne Avenue</w:t>
              </w:r>
            </w:fldSimple>
            <w:r w:rsidR="00AE42BA" w:rsidRPr="00863E1E">
              <w:br/>
            </w:r>
            <w:fldSimple w:instr=" DOCVARIABLE  Add3  \* MERGEFORMAT ">
              <w:r w:rsidR="00A00A05">
                <w:t>Braddon ACT 2612 Australia</w:t>
              </w:r>
            </w:fldSimple>
            <w:r w:rsidR="00AE42BA" w:rsidRPr="00863E1E">
              <w:br/>
            </w:r>
            <w:fldSimple w:instr=" DOCVARIABLE  Add4  \* MERGEFORMAT ">
              <w:r w:rsidR="00A00A05">
                <w:t>PO Box 930 Dickson  ACT 2602 Australia</w:t>
              </w:r>
            </w:fldSimple>
          </w:p>
        </w:tc>
      </w:tr>
      <w:tr w:rsidR="00AE42BA" w:rsidRPr="00863E1E" w:rsidTr="00AF3EEE">
        <w:tc>
          <w:tcPr>
            <w:tcW w:w="5000" w:type="pct"/>
            <w:gridSpan w:val="2"/>
          </w:tcPr>
          <w:p w:rsidR="00AE42BA" w:rsidRPr="00863E1E" w:rsidRDefault="006768F1" w:rsidP="00306621">
            <w:pPr>
              <w:pStyle w:val="Tabletext"/>
            </w:pPr>
            <w:fldSimple w:instr=" DOCVARIABLE  Phone  \* MERGEFORMAT ">
              <w:r w:rsidR="00A00A05">
                <w:t>T +61 2 6246 2700</w:t>
              </w:r>
            </w:fldSimple>
            <w:r w:rsidR="00AE42BA" w:rsidRPr="00863E1E">
              <w:br/>
            </w:r>
            <w:fldSimple w:instr=" DOCVARIABLE  Fax  \* MERGEFORMAT ">
              <w:r w:rsidR="00A00A05">
                <w:t>F +61 2 6246 2799</w:t>
              </w:r>
            </w:fldSimple>
            <w:r w:rsidR="00AE42BA" w:rsidRPr="00863E1E">
              <w:br/>
            </w:r>
            <w:fldSimple w:instr=" DOCVARIABLE  Web  \* MERGEFORMAT ">
              <w:r w:rsidR="00A00A05">
                <w:t>www.globalskm.com</w:t>
              </w:r>
            </w:fldSimple>
          </w:p>
          <w:p w:rsidR="00AE42BA" w:rsidRPr="00863E1E" w:rsidRDefault="00AE42BA" w:rsidP="00306621">
            <w:pPr>
              <w:pStyle w:val="Tabletext"/>
            </w:pPr>
          </w:p>
        </w:tc>
      </w:tr>
      <w:tr w:rsidR="00AE42BA" w:rsidRPr="00863E1E" w:rsidTr="00AF3EEE">
        <w:tc>
          <w:tcPr>
            <w:tcW w:w="5000" w:type="pct"/>
            <w:gridSpan w:val="2"/>
          </w:tcPr>
          <w:p w:rsidR="00AE42BA" w:rsidRPr="00863E1E" w:rsidRDefault="00AE42BA" w:rsidP="00306621">
            <w:pPr>
              <w:pStyle w:val="Tabletext"/>
            </w:pPr>
          </w:p>
        </w:tc>
      </w:tr>
      <w:tr w:rsidR="00AE42BA" w:rsidRPr="00863E1E" w:rsidTr="00AF3EEE">
        <w:trPr>
          <w:trHeight w:hRule="exact" w:val="851"/>
        </w:trPr>
        <w:tc>
          <w:tcPr>
            <w:tcW w:w="5000" w:type="pct"/>
            <w:gridSpan w:val="2"/>
            <w:tcMar>
              <w:left w:w="28" w:type="dxa"/>
              <w:right w:w="28" w:type="dxa"/>
            </w:tcMar>
            <w:vAlign w:val="bottom"/>
          </w:tcPr>
          <w:p w:rsidR="00AE42BA" w:rsidRPr="00863E1E" w:rsidRDefault="00AE42BA" w:rsidP="00306621">
            <w:pPr>
              <w:pStyle w:val="CopyrightInfo"/>
            </w:pPr>
            <w:r w:rsidRPr="00863E1E">
              <w:t xml:space="preserve">COPYRIGHT: The concepts and information contained in this document are the property of </w:t>
            </w:r>
            <w:fldSimple w:instr=" DOCVARIABLE  CoverCopyright  \* MERGEFORMAT ">
              <w:r w:rsidR="00A00A05">
                <w:t>Sinclair Knight Merz Pty Ltd (SKM)</w:t>
              </w:r>
            </w:fldSimple>
            <w:r w:rsidRPr="00863E1E">
              <w:t xml:space="preserve">. Use or copying of this document in whole or in part without the written permission of </w:t>
            </w:r>
            <w:fldSimple w:instr=" DOCVARIABLE  CoverLimitation  \* MERGEFORMAT ">
              <w:r w:rsidR="00A00A05">
                <w:t>SKM</w:t>
              </w:r>
            </w:fldSimple>
            <w:r w:rsidRPr="00863E1E">
              <w:t xml:space="preserve"> constitutes an infringement of copyright.</w:t>
            </w:r>
          </w:p>
        </w:tc>
      </w:tr>
    </w:tbl>
    <w:p w:rsidR="00AE42BA" w:rsidRPr="00863E1E" w:rsidRDefault="00AE42BA" w:rsidP="00306621">
      <w:pPr>
        <w:pStyle w:val="Para0"/>
      </w:pPr>
    </w:p>
    <w:p w:rsidR="00236450" w:rsidRDefault="00236450" w:rsidP="00236450">
      <w:pPr>
        <w:pStyle w:val="Sectionheading"/>
      </w:pPr>
      <w:r w:rsidRPr="00863E1E">
        <w:t>Executive summary</w:t>
      </w:r>
    </w:p>
    <w:p w:rsidR="006523AA" w:rsidRDefault="006523AA" w:rsidP="006523AA">
      <w:pPr>
        <w:pStyle w:val="Para0"/>
        <w:spacing w:before="120"/>
      </w:pPr>
      <w:r w:rsidRPr="00863E1E">
        <w:t xml:space="preserve">In 1999, the Australian </w:t>
      </w:r>
      <w:r w:rsidR="00E468C0">
        <w:t xml:space="preserve">Government and </w:t>
      </w:r>
      <w:r w:rsidRPr="00863E1E">
        <w:t>Queensland, South Australian, New South Wales</w:t>
      </w:r>
      <w:r>
        <w:t xml:space="preserve"> (NSW)</w:t>
      </w:r>
      <w:r w:rsidR="00E468C0">
        <w:t>, and Northern Territory</w:t>
      </w:r>
      <w:r w:rsidRPr="00863E1E">
        <w:t xml:space="preserve"> Governments committed to a 15 year joint program to sustainably manage the groundwater resources of the Great Artesian Basin (GAB) – the </w:t>
      </w:r>
      <w:r w:rsidRPr="00863E1E">
        <w:rPr>
          <w:i/>
        </w:rPr>
        <w:t>Great Artesian Basin Sustainability Initiative</w:t>
      </w:r>
      <w:r w:rsidRPr="00863E1E">
        <w:t xml:space="preserve"> (GABSI). </w:t>
      </w:r>
      <w:r>
        <w:t xml:space="preserve">GABSI seeks to </w:t>
      </w:r>
      <w:r w:rsidR="00E468C0">
        <w:t xml:space="preserve">promote sustainable groundwater management systems for the GAB, </w:t>
      </w:r>
      <w:r>
        <w:t xml:space="preserve">primarily through capping and piping uncontrolled bores to save water and recover pressure. </w:t>
      </w:r>
      <w:r w:rsidRPr="00863E1E">
        <w:t>The GABSI is being delivered by state agencies over three phases, with the third phase drawi</w:t>
      </w:r>
      <w:r>
        <w:t xml:space="preserve">ng to a close on 30 June 2014. </w:t>
      </w:r>
    </w:p>
    <w:p w:rsidR="006523AA" w:rsidRPr="00863E1E" w:rsidRDefault="006523AA" w:rsidP="006523AA">
      <w:pPr>
        <w:pStyle w:val="Para0"/>
      </w:pPr>
      <w:r>
        <w:t>Under the GABSI National Partnership Agreement, i</w:t>
      </w:r>
      <w:r w:rsidRPr="00863E1E">
        <w:t xml:space="preserve">ndependent mid-term reviews </w:t>
      </w:r>
      <w:r>
        <w:t xml:space="preserve">of </w:t>
      </w:r>
      <w:r w:rsidRPr="00863E1E">
        <w:t xml:space="preserve">each phase </w:t>
      </w:r>
      <w:r>
        <w:t xml:space="preserve">have been required </w:t>
      </w:r>
      <w:r w:rsidRPr="00863E1E">
        <w:t xml:space="preserve">to </w:t>
      </w:r>
      <w:r>
        <w:t>assess the impact of GABSI works</w:t>
      </w:r>
      <w:r w:rsidRPr="00863E1E">
        <w:t xml:space="preserve"> and examine the implications</w:t>
      </w:r>
      <w:r>
        <w:t xml:space="preserve"> of the findings</w:t>
      </w:r>
      <w:r w:rsidRPr="00863E1E">
        <w:t xml:space="preserve"> for the remainder of the phase. The mid-term review for GABSI 3 found that significant achievements had been accomplished and that </w:t>
      </w:r>
      <w:r w:rsidR="00E66F49">
        <w:t>future groundwater management in the GAB should be based on a thorough assessment of priorities, eligibility criteria, and funding arrangements</w:t>
      </w:r>
      <w:r w:rsidRPr="00863E1E">
        <w:t xml:space="preserve">. </w:t>
      </w:r>
      <w:r>
        <w:t>I</w:t>
      </w:r>
      <w:r w:rsidRPr="00863E1E">
        <w:t xml:space="preserve">t also recommended conducting a value for money review of GABSI across the three phases, and the development of objective metrics to determine whether continued government funding could be justified beyond GABSI 3. </w:t>
      </w:r>
    </w:p>
    <w:p w:rsidR="006523AA" w:rsidRDefault="006523AA" w:rsidP="006523AA">
      <w:pPr>
        <w:pStyle w:val="Para0"/>
      </w:pPr>
      <w:r w:rsidRPr="00863E1E">
        <w:t>Sinclair Knight Merz (SKM) was engaged by the Commonwealth Department of the Environment (Department) to undertake a value for money review (the Review) of GABSI using a total economic valuation</w:t>
      </w:r>
      <w:r>
        <w:t xml:space="preserve"> (TEV) approach.</w:t>
      </w:r>
    </w:p>
    <w:p w:rsidR="006523AA" w:rsidRPr="00863E1E" w:rsidRDefault="006523AA" w:rsidP="006523AA">
      <w:pPr>
        <w:pStyle w:val="Para0"/>
        <w:spacing w:before="120"/>
      </w:pPr>
      <w:r w:rsidRPr="00863E1E">
        <w:t>The objectives of the Review (as per the Request for Quotation dated 6 September 2013) are to:</w:t>
      </w:r>
    </w:p>
    <w:p w:rsidR="006523AA" w:rsidRPr="00863E1E" w:rsidRDefault="006523AA" w:rsidP="006523AA">
      <w:pPr>
        <w:pStyle w:val="Para0bullet"/>
      </w:pPr>
      <w:r w:rsidRPr="00863E1E">
        <w:t>Objectively measure trends in the return on investment achieved by respective governments</w:t>
      </w:r>
      <w:r>
        <w:t xml:space="preserve"> (Commonwealth and States)</w:t>
      </w:r>
      <w:r w:rsidRPr="00863E1E">
        <w:t xml:space="preserve"> over the three phases of GABSI, up to June 2013</w:t>
      </w:r>
      <w:r>
        <w:t>.</w:t>
      </w:r>
    </w:p>
    <w:p w:rsidR="006523AA" w:rsidRDefault="006523AA" w:rsidP="006523AA">
      <w:pPr>
        <w:pStyle w:val="Para0bullet"/>
      </w:pPr>
      <w:r w:rsidRPr="00863E1E">
        <w:t>Assess whether the completion of GABSI 3 represents value for money, compared to the return on government investment over the three phases of GABSI, up to June 2013</w:t>
      </w:r>
      <w:r>
        <w:t>.</w:t>
      </w:r>
    </w:p>
    <w:p w:rsidR="006523AA" w:rsidRDefault="006523AA" w:rsidP="006523AA">
      <w:pPr>
        <w:pStyle w:val="SectionSubheading1"/>
      </w:pPr>
      <w:r w:rsidRPr="00B349FB">
        <w:t>GABSI funding and achievements</w:t>
      </w:r>
    </w:p>
    <w:p w:rsidR="006523AA" w:rsidRDefault="006523AA" w:rsidP="006523AA">
      <w:pPr>
        <w:pStyle w:val="Para0"/>
        <w:spacing w:before="120"/>
      </w:pPr>
      <w:r w:rsidRPr="00863E1E">
        <w:t xml:space="preserve">GABSI </w:t>
      </w:r>
      <w:r>
        <w:t>funding</w:t>
      </w:r>
      <w:r w:rsidRPr="00863E1E">
        <w:t xml:space="preserve"> </w:t>
      </w:r>
      <w:r>
        <w:t>is</w:t>
      </w:r>
      <w:r w:rsidRPr="00863E1E">
        <w:t xml:space="preserve"> shared between the Commonwealth Government, the </w:t>
      </w:r>
      <w:r>
        <w:t>State Governments</w:t>
      </w:r>
      <w:r w:rsidRPr="00863E1E">
        <w:t>, and landowners.</w:t>
      </w:r>
      <w:r>
        <w:t xml:space="preserve"> However for the purpose of this Review, only government costs have been considered within scope as the focus is on governments’ return on investment. GABSI has cost government $238.68 m in real dollars ($373.58 m in present value) to June 2013, or $270.34 m (real) including estimated works for 2013/14. Between 1999/00 and 2012/13, 647 bores have been controlled, 19,178 kilometres of bore drains deleted, and 28,345 kilometres of piping installed. These works have resulted in estimated </w:t>
      </w:r>
      <w:r w:rsidR="00E66F49">
        <w:t xml:space="preserve">annual </w:t>
      </w:r>
      <w:r>
        <w:t>water savings of 204,527ML.</w:t>
      </w:r>
    </w:p>
    <w:p w:rsidR="006523AA" w:rsidRDefault="006523AA" w:rsidP="006523AA">
      <w:pPr>
        <w:pStyle w:val="SectionSubheading1"/>
      </w:pPr>
      <w:r>
        <w:t xml:space="preserve">Objective 1: </w:t>
      </w:r>
      <w:r w:rsidRPr="00863E1E">
        <w:t>Objectively measure trends in the return on investment achieved by respective governments</w:t>
      </w:r>
      <w:r>
        <w:t xml:space="preserve"> (Commonwealth and States)</w:t>
      </w:r>
      <w:r w:rsidRPr="00863E1E">
        <w:t xml:space="preserve"> over the three phases of GABSI, up to June 2013</w:t>
      </w:r>
      <w:r>
        <w:t>.</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8039"/>
      </w:tblGrid>
      <w:tr w:rsidR="006523AA" w:rsidTr="004E2D9F">
        <w:trPr>
          <w:cnfStyle w:val="100000000000"/>
        </w:trPr>
        <w:tc>
          <w:tcPr>
            <w:cnfStyle w:val="001000000000"/>
            <w:tcW w:w="1980" w:type="dxa"/>
            <w:shd w:val="clear" w:color="auto" w:fill="5185C0"/>
          </w:tcPr>
          <w:p w:rsidR="006523AA" w:rsidRPr="00E929E8" w:rsidRDefault="006523AA" w:rsidP="004E2D9F">
            <w:pPr>
              <w:pStyle w:val="Para0"/>
              <w:spacing w:before="120"/>
              <w:rPr>
                <w:i/>
                <w:color w:val="FFFFFF" w:themeColor="background2"/>
                <w:sz w:val="22"/>
                <w:szCs w:val="22"/>
              </w:rPr>
            </w:pPr>
            <w:r w:rsidRPr="00E929E8">
              <w:rPr>
                <w:i/>
                <w:color w:val="FFFFFF" w:themeColor="background2"/>
                <w:sz w:val="22"/>
                <w:szCs w:val="22"/>
              </w:rPr>
              <w:t>Using the total economic valuation (TEV) approach, the benefit-cost ratio (BCR) of GABSI is likely to be between 0.56 and 1.7.</w:t>
            </w:r>
          </w:p>
        </w:tc>
        <w:tc>
          <w:tcPr>
            <w:tcW w:w="8039" w:type="dxa"/>
            <w:shd w:val="clear" w:color="auto" w:fill="auto"/>
          </w:tcPr>
          <w:p w:rsidR="006523AA" w:rsidRDefault="006523AA" w:rsidP="004E2D9F">
            <w:pPr>
              <w:pStyle w:val="Para0"/>
              <w:spacing w:before="120"/>
              <w:cnfStyle w:val="100000000000"/>
              <w:rPr>
                <w:b w:val="0"/>
              </w:rPr>
            </w:pPr>
            <w:r>
              <w:rPr>
                <w:b w:val="0"/>
              </w:rPr>
              <w:t>The TEV framework comprised nine components, three of which were able to be quantified based on available data (refer</w:t>
            </w:r>
            <w:r w:rsidR="00E66F49">
              <w:rPr>
                <w:b w:val="0"/>
              </w:rPr>
              <w:t xml:space="preserve"> Section</w:t>
            </w:r>
            <w:r>
              <w:rPr>
                <w:b w:val="0"/>
              </w:rPr>
              <w:t xml:space="preserve"> </w:t>
            </w:r>
            <w:r w:rsidR="006768F1">
              <w:fldChar w:fldCharType="begin"/>
            </w:r>
            <w:r>
              <w:rPr>
                <w:b w:val="0"/>
              </w:rPr>
              <w:instrText xml:space="preserve"> REF _Ref373398311 \n \h </w:instrText>
            </w:r>
            <w:r w:rsidR="006768F1">
              <w:fldChar w:fldCharType="separate"/>
            </w:r>
            <w:r w:rsidR="00516D07">
              <w:rPr>
                <w:b w:val="0"/>
              </w:rPr>
              <w:t>3.1</w:t>
            </w:r>
            <w:r w:rsidR="006768F1">
              <w:fldChar w:fldCharType="end"/>
            </w:r>
            <w:r>
              <w:rPr>
                <w:b w:val="0"/>
              </w:rPr>
              <w:t xml:space="preserve">). These were the </w:t>
            </w:r>
            <w:r w:rsidRPr="0084768C">
              <w:t>consumptive benefits from reallocated saved water, indirect benefits to rural communities, and greenhouse gas abatement benefits</w:t>
            </w:r>
            <w:r>
              <w:rPr>
                <w:b w:val="0"/>
              </w:rPr>
              <w:t xml:space="preserve">. Together, they provided $163.48 m in real 2013 dollars or $210.35 m in present value for the full GABSI program until June 2013. </w:t>
            </w:r>
            <w:r w:rsidRPr="0084768C">
              <w:t>This represents a BCR of 0.56 across GABSI</w:t>
            </w:r>
            <w:r>
              <w:rPr>
                <w:b w:val="0"/>
              </w:rPr>
              <w:t>.</w:t>
            </w:r>
          </w:p>
          <w:p w:rsidR="006523AA" w:rsidRPr="00E66F49" w:rsidRDefault="006523AA" w:rsidP="004E2D9F">
            <w:pPr>
              <w:pStyle w:val="Para0"/>
              <w:spacing w:before="120"/>
              <w:cnfStyle w:val="100000000000"/>
              <w:rPr>
                <w:b w:val="0"/>
              </w:rPr>
            </w:pPr>
            <w:r>
              <w:rPr>
                <w:b w:val="0"/>
              </w:rPr>
              <w:t xml:space="preserve">In addition to only measuring three of the nine components of TEV, this approach only values 35% of the water saved through GABSI in the case of consumptive benefits from reallocated saved water and indirect benefits to rural communities. This is because government has limited reallocation of saved water for consumptive use to 50% in South Australia and 30% in Queensland and NSW. Thus, the governments’ rationale is that the benefits of returning saved water to the GAB for the purpose of pressure recovery are greater than (or equal to) the benefits of reallocating the water for other consumptive purposes. </w:t>
            </w:r>
            <w:r>
              <w:t>A</w:t>
            </w:r>
            <w:r w:rsidRPr="0084768C">
              <w:t>ssuming that 100% of the saved water is reallocated for consumptive use</w:t>
            </w:r>
            <w:r w:rsidR="00E66F49">
              <w:t xml:space="preserve"> achieves an overall BCR of 1.4 </w:t>
            </w:r>
            <w:r w:rsidR="00E66F49">
              <w:rPr>
                <w:b w:val="0"/>
              </w:rPr>
              <w:t xml:space="preserve">(refer Section </w:t>
            </w:r>
            <w:r w:rsidR="006768F1">
              <w:fldChar w:fldCharType="begin"/>
            </w:r>
            <w:r w:rsidR="00E66F49">
              <w:rPr>
                <w:b w:val="0"/>
              </w:rPr>
              <w:instrText xml:space="preserve"> REF _Ref375298276 \n \h </w:instrText>
            </w:r>
            <w:r w:rsidR="006768F1">
              <w:fldChar w:fldCharType="separate"/>
            </w:r>
            <w:r w:rsidR="00516D07">
              <w:rPr>
                <w:b w:val="0"/>
              </w:rPr>
              <w:t>6.1</w:t>
            </w:r>
            <w:r w:rsidR="006768F1">
              <w:fldChar w:fldCharType="end"/>
            </w:r>
            <w:r w:rsidR="00E66F49">
              <w:rPr>
                <w:b w:val="0"/>
              </w:rPr>
              <w:t>).</w:t>
            </w:r>
          </w:p>
          <w:p w:rsidR="006523AA" w:rsidRPr="00D05C31" w:rsidRDefault="006523AA" w:rsidP="004E2D9F">
            <w:pPr>
              <w:pStyle w:val="Para0"/>
              <w:spacing w:before="120"/>
              <w:cnfStyle w:val="100000000000"/>
              <w:rPr>
                <w:b w:val="0"/>
              </w:rPr>
            </w:pPr>
            <w:r>
              <w:rPr>
                <w:b w:val="0"/>
              </w:rPr>
              <w:t>Another approach to provide a more comprehensive view of the value of the program is a breakeven assessment</w:t>
            </w:r>
            <w:r w:rsidR="00E66F49">
              <w:rPr>
                <w:b w:val="0"/>
              </w:rPr>
              <w:t xml:space="preserve"> (refer Section </w:t>
            </w:r>
            <w:r w:rsidR="006768F1">
              <w:fldChar w:fldCharType="begin"/>
            </w:r>
            <w:r w:rsidR="00E66F49">
              <w:rPr>
                <w:b w:val="0"/>
              </w:rPr>
              <w:instrText xml:space="preserve"> REF _Ref373484495 \n \h </w:instrText>
            </w:r>
            <w:r w:rsidR="006768F1">
              <w:fldChar w:fldCharType="separate"/>
            </w:r>
            <w:r w:rsidR="00516D07">
              <w:rPr>
                <w:b w:val="0"/>
              </w:rPr>
              <w:t>6.2</w:t>
            </w:r>
            <w:r w:rsidR="006768F1">
              <w:fldChar w:fldCharType="end"/>
            </w:r>
            <w:r w:rsidR="00E66F49">
              <w:rPr>
                <w:b w:val="0"/>
              </w:rPr>
              <w:t>)</w:t>
            </w:r>
            <w:r>
              <w:rPr>
                <w:b w:val="0"/>
              </w:rPr>
              <w:t xml:space="preserve">. This considers some of the benefits not quantified in terms of what would be required for the TEV to at least equal the cost (i.e. achieve a BCR of 1). Each benefit was considered in isolation, which means that </w:t>
            </w:r>
            <w:r w:rsidRPr="0084768C">
              <w:t>only 0.04 endangered species or 12% of unique ecosystems would need to be protected for a BCR of 1. In addition, if half of breakeven pressure was restored (5.5m) and half the breakeven number of avoided pumps delivered (403), the BCR would equal 1.7.</w:t>
            </w:r>
          </w:p>
        </w:tc>
      </w:tr>
      <w:tr w:rsidR="006523AA" w:rsidTr="004E2D9F">
        <w:trPr>
          <w:trHeight w:val="87"/>
        </w:trPr>
        <w:tc>
          <w:tcPr>
            <w:cnfStyle w:val="001000000000"/>
            <w:tcW w:w="1980" w:type="dxa"/>
            <w:shd w:val="clear" w:color="auto" w:fill="auto"/>
          </w:tcPr>
          <w:p w:rsidR="006523AA" w:rsidRPr="00E929E8" w:rsidRDefault="006523AA" w:rsidP="004E2D9F">
            <w:pPr>
              <w:pStyle w:val="Para0"/>
              <w:spacing w:before="0" w:after="100" w:afterAutospacing="1"/>
              <w:rPr>
                <w:sz w:val="22"/>
                <w:szCs w:val="22"/>
              </w:rPr>
            </w:pPr>
          </w:p>
        </w:tc>
        <w:tc>
          <w:tcPr>
            <w:tcW w:w="8039" w:type="dxa"/>
            <w:shd w:val="clear" w:color="auto" w:fill="auto"/>
          </w:tcPr>
          <w:p w:rsidR="006523AA" w:rsidRDefault="006523AA" w:rsidP="004E2D9F">
            <w:pPr>
              <w:pStyle w:val="Para0"/>
              <w:spacing w:before="0" w:after="100" w:afterAutospacing="1"/>
              <w:cnfStyle w:val="000000000000"/>
            </w:pPr>
          </w:p>
        </w:tc>
      </w:tr>
      <w:tr w:rsidR="006523AA" w:rsidTr="004E2D9F">
        <w:tc>
          <w:tcPr>
            <w:cnfStyle w:val="001000000000"/>
            <w:tcW w:w="1980" w:type="dxa"/>
            <w:shd w:val="clear" w:color="auto" w:fill="5185C0"/>
          </w:tcPr>
          <w:p w:rsidR="006523AA" w:rsidRPr="00E929E8" w:rsidRDefault="006523AA" w:rsidP="004E2D9F">
            <w:pPr>
              <w:pStyle w:val="Para0"/>
              <w:spacing w:before="120"/>
              <w:rPr>
                <w:b/>
                <w:i/>
                <w:color w:val="FFFFFF" w:themeColor="background2"/>
                <w:sz w:val="22"/>
                <w:szCs w:val="22"/>
              </w:rPr>
            </w:pPr>
            <w:r w:rsidRPr="006523AA">
              <w:rPr>
                <w:b/>
                <w:i/>
                <w:color w:val="FFFFFF" w:themeColor="background2"/>
                <w:sz w:val="22"/>
                <w:szCs w:val="22"/>
              </w:rPr>
              <w:t>Substantial and tangible non-financial benefits are also associated with GABSI</w:t>
            </w:r>
            <w:r>
              <w:rPr>
                <w:b/>
                <w:i/>
                <w:color w:val="FFFFFF" w:themeColor="background2"/>
                <w:sz w:val="22"/>
                <w:szCs w:val="22"/>
              </w:rPr>
              <w:t>.</w:t>
            </w:r>
          </w:p>
        </w:tc>
        <w:tc>
          <w:tcPr>
            <w:tcW w:w="8039" w:type="dxa"/>
            <w:shd w:val="clear" w:color="auto" w:fill="auto"/>
          </w:tcPr>
          <w:p w:rsidR="006523AA" w:rsidRDefault="006523AA" w:rsidP="004E2D9F">
            <w:pPr>
              <w:pStyle w:val="Para0"/>
              <w:spacing w:before="120"/>
              <w:cnfStyle w:val="000000000000"/>
            </w:pPr>
            <w:r>
              <w:t>Substantial and tangible non-financial benefits are also associated with GABSI, however these were unable to be quantified due to insufficient data. These include benefits such as:</w:t>
            </w:r>
          </w:p>
          <w:p w:rsidR="006523AA" w:rsidRDefault="006523AA" w:rsidP="004E2D9F">
            <w:pPr>
              <w:pStyle w:val="Para0bullet"/>
              <w:cnfStyle w:val="000000000000"/>
            </w:pPr>
            <w:r w:rsidRPr="00AB1D93">
              <w:rPr>
                <w:b/>
              </w:rPr>
              <w:t>Consumptive benefits from improved pressure</w:t>
            </w:r>
            <w:r>
              <w:t xml:space="preserve"> – In Queensland, by 2005 an increase in pressure in half of all artesian bores monitored was observed. In NSW, anecdotal evidence suggests around 90% of capped bores have been found to have either stabilised or increased pressure over the GABSI period. Pressure recovery has also been observed at Little Blyth bore as a result of decommissioning Big Blyth bore in South Australia. Such pressure improvements are expected to result in avoided pump installation and pumping (energy) costs.</w:t>
            </w:r>
          </w:p>
          <w:p w:rsidR="006523AA" w:rsidRDefault="006523AA" w:rsidP="004E2D9F">
            <w:pPr>
              <w:pStyle w:val="Para0bullet"/>
              <w:cnfStyle w:val="000000000000"/>
            </w:pPr>
            <w:r w:rsidRPr="00C31BC5">
              <w:rPr>
                <w:b/>
              </w:rPr>
              <w:t>Tourism, recreation and amenity benefits</w:t>
            </w:r>
            <w:r>
              <w:t xml:space="preserve"> – A number of key tourism and recreation sites across the three states depend on the GAB. For instance, Dalhousie Springs in South Australia was found to contribute $0.6m/annum in recreation benefits resulting from reduced water extraction under GABSI (Rolfe, 2008). However the benefits directly attributable to GABSI have not been considered in any other studies.</w:t>
            </w:r>
          </w:p>
          <w:p w:rsidR="006523AA" w:rsidRPr="00C31BC5" w:rsidRDefault="006523AA" w:rsidP="004E2D9F">
            <w:pPr>
              <w:pStyle w:val="Para0bullet"/>
              <w:cnfStyle w:val="000000000000"/>
              <w:rPr>
                <w:b/>
              </w:rPr>
            </w:pPr>
            <w:r w:rsidRPr="00C31BC5">
              <w:rPr>
                <w:b/>
              </w:rPr>
              <w:t>Heritage benefits</w:t>
            </w:r>
            <w:r>
              <w:rPr>
                <w:b/>
              </w:rPr>
              <w:t xml:space="preserve"> – </w:t>
            </w:r>
            <w:r w:rsidRPr="00171721">
              <w:t>T</w:t>
            </w:r>
            <w:r>
              <w:t>here is significant evidence of Indigenous occupation and use recorded within GAB spring wetlands, and numerous cultural heritage sites requiring protection.</w:t>
            </w:r>
          </w:p>
          <w:p w:rsidR="006523AA" w:rsidRPr="00C31BC5" w:rsidRDefault="006523AA" w:rsidP="004E2D9F">
            <w:pPr>
              <w:pStyle w:val="Para0bullet"/>
              <w:cnfStyle w:val="000000000000"/>
              <w:rPr>
                <w:b/>
              </w:rPr>
            </w:pPr>
            <w:r w:rsidRPr="00C31BC5">
              <w:rPr>
                <w:b/>
              </w:rPr>
              <w:t>Option value, bequest / altruism, and stewardship values</w:t>
            </w:r>
            <w:r>
              <w:rPr>
                <w:b/>
              </w:rPr>
              <w:t xml:space="preserve"> – </w:t>
            </w:r>
            <w:r w:rsidRPr="00BC0C3E">
              <w:t>Relates</w:t>
            </w:r>
            <w:r>
              <w:rPr>
                <w:b/>
              </w:rPr>
              <w:t xml:space="preserve"> </w:t>
            </w:r>
            <w:r w:rsidRPr="00BC0C3E">
              <w:t>to the</w:t>
            </w:r>
            <w:r>
              <w:rPr>
                <w:b/>
              </w:rPr>
              <w:t xml:space="preserve"> </w:t>
            </w:r>
            <w:r w:rsidRPr="00BC0C3E">
              <w:t>value</w:t>
            </w:r>
            <w:r>
              <w:t xml:space="preserve"> placed on GABSI by those who anticipate using GAB water or visiting the springs at some point in the future, or are willing to pay for the existence of the GAB out of a sense of stewardship. For example, conservation group ‘Bush Heritage Value’ purchased the Edgbaston Reserve in Queensland in 2008 to conserve the natural springs and ecosystems they support.</w:t>
            </w:r>
          </w:p>
          <w:p w:rsidR="006523AA" w:rsidRDefault="006523AA" w:rsidP="004E2D9F">
            <w:pPr>
              <w:pStyle w:val="Para0bullet"/>
              <w:cnfStyle w:val="000000000000"/>
            </w:pPr>
            <w:r w:rsidRPr="00853C58">
              <w:rPr>
                <w:b/>
              </w:rPr>
              <w:t>Conserving biodiversity (avoided loss of unique ecosystems and endangered species)</w:t>
            </w:r>
            <w:r>
              <w:rPr>
                <w:b/>
              </w:rPr>
              <w:t xml:space="preserve"> – </w:t>
            </w:r>
            <w:r w:rsidRPr="003608EC">
              <w:t>The GAB once sustained approximately 500 complexes of permanent springs and supports numerous endemic species. There are legislative obligations on both the Commonwealth and states to</w:t>
            </w:r>
            <w:r>
              <w:t xml:space="preserve"> protect the environmental value provided by the GAB. These obligations suggest governments’ willingness to protect these assets, and thus imply an intrinsic public value. </w:t>
            </w:r>
          </w:p>
        </w:tc>
      </w:tr>
      <w:tr w:rsidR="00E66F49" w:rsidTr="007A5327">
        <w:trPr>
          <w:trHeight w:val="87"/>
        </w:trPr>
        <w:tc>
          <w:tcPr>
            <w:cnfStyle w:val="001000000000"/>
            <w:tcW w:w="1980" w:type="dxa"/>
            <w:shd w:val="clear" w:color="auto" w:fill="auto"/>
          </w:tcPr>
          <w:p w:rsidR="00E66F49" w:rsidRPr="00E929E8" w:rsidRDefault="00E66F49" w:rsidP="007A5327">
            <w:pPr>
              <w:pStyle w:val="Para0"/>
              <w:spacing w:before="0" w:after="100" w:afterAutospacing="1"/>
              <w:rPr>
                <w:sz w:val="22"/>
              </w:rPr>
            </w:pPr>
          </w:p>
        </w:tc>
        <w:tc>
          <w:tcPr>
            <w:tcW w:w="8039" w:type="dxa"/>
            <w:shd w:val="clear" w:color="auto" w:fill="auto"/>
          </w:tcPr>
          <w:p w:rsidR="00E66F49" w:rsidRDefault="00E66F49" w:rsidP="007A5327">
            <w:pPr>
              <w:pStyle w:val="Para0"/>
              <w:spacing w:before="0" w:after="100" w:afterAutospacing="1"/>
              <w:cnfStyle w:val="000000000000"/>
            </w:pPr>
          </w:p>
        </w:tc>
      </w:tr>
      <w:tr w:rsidR="006523AA" w:rsidTr="004E2D9F">
        <w:tc>
          <w:tcPr>
            <w:cnfStyle w:val="001000000000"/>
            <w:tcW w:w="1980" w:type="dxa"/>
            <w:shd w:val="clear" w:color="auto" w:fill="5185C0"/>
          </w:tcPr>
          <w:p w:rsidR="006523AA" w:rsidRPr="00E929E8" w:rsidRDefault="006523AA" w:rsidP="004E2D9F">
            <w:pPr>
              <w:pStyle w:val="Para0"/>
              <w:spacing w:before="120"/>
              <w:rPr>
                <w:b/>
                <w:i/>
                <w:color w:val="FFFFFF" w:themeColor="background2"/>
                <w:sz w:val="22"/>
                <w:szCs w:val="22"/>
              </w:rPr>
            </w:pPr>
            <w:r>
              <w:rPr>
                <w:b/>
                <w:i/>
                <w:color w:val="FFFFFF" w:themeColor="background2"/>
                <w:sz w:val="22"/>
                <w:szCs w:val="22"/>
              </w:rPr>
              <w:t>The BCR for each jurisdiction delivering GABSI has become more similar over the program life.</w:t>
            </w:r>
          </w:p>
        </w:tc>
        <w:tc>
          <w:tcPr>
            <w:tcW w:w="8039" w:type="dxa"/>
            <w:shd w:val="clear" w:color="auto" w:fill="auto"/>
          </w:tcPr>
          <w:p w:rsidR="006523AA" w:rsidRDefault="006523AA" w:rsidP="004E2D9F">
            <w:pPr>
              <w:pStyle w:val="Para0"/>
              <w:spacing w:before="120"/>
              <w:cnfStyle w:val="000000000000"/>
            </w:pPr>
            <w:r>
              <w:t xml:space="preserve">In Phase 1, South Australia’s BCR for GABSI works was significantly higher than in NSW and Queensland (2.96, compared to 0.79 in Queensland and 0.44 in NSW). This may be due to the relatively smaller scale of the program in South Australia and the ability for </w:t>
            </w:r>
            <w:r w:rsidRPr="00FE4E9B">
              <w:t>government</w:t>
            </w:r>
            <w:r>
              <w:t xml:space="preserve"> to </w:t>
            </w:r>
            <w:r w:rsidRPr="00F2643F">
              <w:t>prioritise</w:t>
            </w:r>
            <w:r>
              <w:t xml:space="preserve"> the bores to be controlled (South Australian landholders do not provide contributions in the same way as in Queensland and NSW). Furthermore, South Australia was able to reallocate 50 per cent of water saved as per their implementation plan (compared to 30 per cent in NSW and Queensland), which increases the total quantified benefits relative to the other jurisdictions.</w:t>
            </w:r>
          </w:p>
          <w:p w:rsidR="006523AA" w:rsidRDefault="006523AA" w:rsidP="004E2D9F">
            <w:pPr>
              <w:pStyle w:val="Para0"/>
              <w:spacing w:before="120"/>
              <w:cnfStyle w:val="000000000000"/>
            </w:pPr>
            <w:r>
              <w:t>Over Phases 2 and 3 however, the BCR of GABSI for each jurisdiction has become increasingly similar, with Phase 3 BCRs ranging from 0.29 in NSW to 0.47 in South Australia (these represent the minimum BCRs based on the three quantified TEV components as described above).</w:t>
            </w:r>
          </w:p>
        </w:tc>
      </w:tr>
    </w:tbl>
    <w:p w:rsidR="006523AA" w:rsidRDefault="006523AA" w:rsidP="006523AA">
      <w:pPr>
        <w:pStyle w:val="SectionSubheading1"/>
      </w:pPr>
      <w:r>
        <w:t xml:space="preserve">Objective 2: </w:t>
      </w:r>
      <w:r w:rsidRPr="00863E1E">
        <w:t>Assess whether the completion of GABSI 3 represents value for money, compared to the return on government investment over the three phases of GABSI, up to June 2013</w:t>
      </w:r>
      <w:r>
        <w:t>.</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8039"/>
      </w:tblGrid>
      <w:tr w:rsidR="007D70C5" w:rsidTr="007A5327">
        <w:trPr>
          <w:cnfStyle w:val="100000000000"/>
        </w:trPr>
        <w:tc>
          <w:tcPr>
            <w:cnfStyle w:val="001000000000"/>
            <w:tcW w:w="1980" w:type="dxa"/>
            <w:shd w:val="clear" w:color="auto" w:fill="5185C0"/>
          </w:tcPr>
          <w:p w:rsidR="007D70C5" w:rsidRPr="007D70C5" w:rsidRDefault="007D70C5" w:rsidP="007A5327">
            <w:pPr>
              <w:pStyle w:val="Para0"/>
              <w:spacing w:before="120"/>
              <w:rPr>
                <w:i/>
                <w:color w:val="FFFFFF" w:themeColor="background2"/>
                <w:sz w:val="22"/>
              </w:rPr>
            </w:pPr>
            <w:r w:rsidRPr="007D70C5">
              <w:rPr>
                <w:i/>
                <w:color w:val="FFFFFF" w:themeColor="background2"/>
                <w:sz w:val="22"/>
              </w:rPr>
              <w:t>The value for money and cost-effectiveness of GABSI appear to be decreasing between the three phases. However it is important to view GABSI as a whole, as benefits from previous phases may be lost if the program is not completed.</w:t>
            </w:r>
          </w:p>
        </w:tc>
        <w:tc>
          <w:tcPr>
            <w:tcW w:w="8039" w:type="dxa"/>
            <w:shd w:val="clear" w:color="auto" w:fill="auto"/>
          </w:tcPr>
          <w:p w:rsidR="007D70C5" w:rsidRPr="007D70C5" w:rsidRDefault="007D70C5" w:rsidP="004011B3">
            <w:pPr>
              <w:pStyle w:val="Para0"/>
              <w:spacing w:before="0"/>
              <w:cnfStyle w:val="100000000000"/>
              <w:rPr>
                <w:b w:val="0"/>
              </w:rPr>
            </w:pPr>
            <w:r w:rsidRPr="007D70C5">
              <w:rPr>
                <w:b w:val="0"/>
              </w:rPr>
              <w:t>The BCR of the quantified benefits of GABSI decreased from 0.77 in Phase 1 to 0.45 in Phase 2 and 0.33 in Phase 3. Similarly, the cost-effectiveness of GABSI has been declining ($835/ML/annum in Phase 1, $1,280/ML/annum in Phase 2, and $1,749/ML/annum in Phase 3).</w:t>
            </w:r>
          </w:p>
          <w:p w:rsidR="007D70C5" w:rsidRPr="007D70C5" w:rsidRDefault="007D70C5" w:rsidP="00E03024">
            <w:pPr>
              <w:pStyle w:val="Para0"/>
              <w:spacing w:before="120"/>
              <w:cnfStyle w:val="100000000000"/>
              <w:rPr>
                <w:b w:val="0"/>
              </w:rPr>
            </w:pPr>
            <w:r w:rsidRPr="007D70C5">
              <w:rPr>
                <w:b w:val="0"/>
              </w:rPr>
              <w:t>However</w:t>
            </w:r>
            <w:r w:rsidR="00E03024">
              <w:rPr>
                <w:b w:val="0"/>
              </w:rPr>
              <w:t>,</w:t>
            </w:r>
            <w:r w:rsidRPr="007D70C5">
              <w:rPr>
                <w:b w:val="0"/>
              </w:rPr>
              <w:t xml:space="preserve"> governments have prioritised works which are technically more feasible or expected to achieve greater savings in the initial stages, leaving more difficult and / or costly works for the later stages. Furthermore, the increase in the price of construction and materials has been high relative to consumer price index (CPI) over the period of GABSI, making works undertaken in later phases comparatively more expensive.</w:t>
            </w:r>
          </w:p>
          <w:p w:rsidR="00FF78E6" w:rsidRPr="00FF78E6" w:rsidRDefault="00FF78E6" w:rsidP="00E03024">
            <w:pPr>
              <w:spacing w:after="120"/>
              <w:cnfStyle w:val="100000000000"/>
              <w:rPr>
                <w:rFonts w:ascii="Times New Roman" w:hAnsi="Times New Roman"/>
                <w:b w:val="0"/>
                <w:sz w:val="24"/>
                <w:lang w:eastAsia="en-AU"/>
              </w:rPr>
            </w:pPr>
            <w:r w:rsidRPr="00FF78E6">
              <w:rPr>
                <w:b w:val="0"/>
              </w:rPr>
              <w:t xml:space="preserve">It is also likely that benefits from previous phases as measured by the current approach would diminish if GABSI is not completed. </w:t>
            </w:r>
            <w:r>
              <w:rPr>
                <w:b w:val="0"/>
              </w:rPr>
              <w:t xml:space="preserve">While it is assumed </w:t>
            </w:r>
            <w:r w:rsidRPr="00FF78E6">
              <w:rPr>
                <w:b w:val="0"/>
              </w:rPr>
              <w:t>that benefits achieved in previous phases are preserved (or d</w:t>
            </w:r>
            <w:r>
              <w:rPr>
                <w:b w:val="0"/>
              </w:rPr>
              <w:t>o not degrade) over future time, in reality</w:t>
            </w:r>
            <w:r w:rsidRPr="00FF78E6">
              <w:rPr>
                <w:b w:val="0"/>
              </w:rPr>
              <w:t xml:space="preserve"> the increased pressure will lead to an incremental increase in losses via other bores</w:t>
            </w:r>
            <w:r w:rsidR="00B7182D">
              <w:rPr>
                <w:b w:val="0"/>
              </w:rPr>
              <w:t>.</w:t>
            </w:r>
            <w:r w:rsidRPr="00FF78E6">
              <w:rPr>
                <w:b w:val="0"/>
              </w:rPr>
              <w:t xml:space="preserve"> </w:t>
            </w:r>
            <w:r w:rsidR="00E03024">
              <w:rPr>
                <w:b w:val="0"/>
              </w:rPr>
              <w:t>This is</w:t>
            </w:r>
            <w:r w:rsidR="00B7182D">
              <w:rPr>
                <w:b w:val="0"/>
              </w:rPr>
              <w:t xml:space="preserve"> because the </w:t>
            </w:r>
            <w:r w:rsidRPr="00FF78E6">
              <w:rPr>
                <w:b w:val="0"/>
              </w:rPr>
              <w:t>main contribution to overall benefits is the monetary value of the groundwater that is reallocated</w:t>
            </w:r>
            <w:r w:rsidR="00B7182D">
              <w:rPr>
                <w:b w:val="0"/>
              </w:rPr>
              <w:t xml:space="preserve">, </w:t>
            </w:r>
            <w:r w:rsidR="00E03024">
              <w:rPr>
                <w:b w:val="0"/>
              </w:rPr>
              <w:t xml:space="preserve">so </w:t>
            </w:r>
            <w:r>
              <w:rPr>
                <w:b w:val="0"/>
              </w:rPr>
              <w:t>l</w:t>
            </w:r>
            <w:r w:rsidRPr="00FF78E6">
              <w:rPr>
                <w:b w:val="0"/>
              </w:rPr>
              <w:t>ater phases of the GABSI p</w:t>
            </w:r>
            <w:r>
              <w:rPr>
                <w:b w:val="0"/>
              </w:rPr>
              <w:t>rogram act to preserve these re</w:t>
            </w:r>
            <w:r w:rsidRPr="00FF78E6">
              <w:rPr>
                <w:b w:val="0"/>
              </w:rPr>
              <w:t>al</w:t>
            </w:r>
            <w:r>
              <w:rPr>
                <w:b w:val="0"/>
              </w:rPr>
              <w:t>located water benefits. However</w:t>
            </w:r>
            <w:r w:rsidRPr="00FF78E6">
              <w:rPr>
                <w:b w:val="0"/>
              </w:rPr>
              <w:t xml:space="preserve"> </w:t>
            </w:r>
            <w:r>
              <w:rPr>
                <w:b w:val="0"/>
              </w:rPr>
              <w:t xml:space="preserve">in terms of restoring pressure </w:t>
            </w:r>
            <w:r w:rsidRPr="00FF78E6">
              <w:rPr>
                <w:b w:val="0"/>
              </w:rPr>
              <w:t>to the aquifer system, previous gains in pressure re-establishment will not erode over time. The BCR for earlier phases may remain stable if pressure is i</w:t>
            </w:r>
            <w:r w:rsidR="00E03024">
              <w:rPr>
                <w:b w:val="0"/>
              </w:rPr>
              <w:t>ncorporated into the assessment</w:t>
            </w:r>
            <w:r w:rsidRPr="00FF78E6">
              <w:rPr>
                <w:b w:val="0"/>
              </w:rPr>
              <w:t xml:space="preserve"> and th</w:t>
            </w:r>
            <w:r w:rsidR="00FA40E3">
              <w:rPr>
                <w:b w:val="0"/>
              </w:rPr>
              <w:t>e benefits of pressure re</w:t>
            </w:r>
            <w:r w:rsidRPr="00FF78E6">
              <w:rPr>
                <w:b w:val="0"/>
              </w:rPr>
              <w:t>establish</w:t>
            </w:r>
            <w:r w:rsidR="00B7182D">
              <w:rPr>
                <w:b w:val="0"/>
              </w:rPr>
              <w:t>ment outweigh those from re</w:t>
            </w:r>
            <w:r w:rsidRPr="00FF78E6">
              <w:rPr>
                <w:b w:val="0"/>
              </w:rPr>
              <w:t xml:space="preserve">allocating saved water. </w:t>
            </w:r>
          </w:p>
          <w:p w:rsidR="007D70C5" w:rsidRPr="007D70C5" w:rsidRDefault="007D70C5" w:rsidP="00E03024">
            <w:pPr>
              <w:pStyle w:val="Para0"/>
              <w:spacing w:before="120"/>
              <w:cnfStyle w:val="100000000000"/>
              <w:rPr>
                <w:b w:val="0"/>
              </w:rPr>
            </w:pPr>
            <w:r w:rsidRPr="007D70C5">
              <w:rPr>
                <w:b w:val="0"/>
              </w:rPr>
              <w:t xml:space="preserve">Therefore assessing each phase in isolation, whilst a useful and prudent fiscal exercise, does not provide a holistic view of the program, and there is value in viewing the total costs and benefits of the program to date as a whole. For instance, the initial planned cost-effectiveness as outlined in the GAB Strategic Management Plan can be used as a benchmark for comparison purposes, and is set at $1,682/ML/annum (2013 dollars). To date, GABSI has outperformed well beyond this benchmark by progressing its program of works at </w:t>
            </w:r>
            <w:r w:rsidR="00FF78E6">
              <w:rPr>
                <w:b w:val="0"/>
              </w:rPr>
              <w:t xml:space="preserve">an average of </w:t>
            </w:r>
            <w:r w:rsidRPr="007D70C5">
              <w:rPr>
                <w:b w:val="0"/>
              </w:rPr>
              <w:t>$1,167/ML/annum.</w:t>
            </w:r>
          </w:p>
          <w:p w:rsidR="007D70C5" w:rsidRPr="007D70C5" w:rsidRDefault="007D70C5" w:rsidP="004011B3">
            <w:pPr>
              <w:pStyle w:val="Para0"/>
              <w:spacing w:before="120" w:after="0"/>
              <w:cnfStyle w:val="100000000000"/>
              <w:rPr>
                <w:b w:val="0"/>
              </w:rPr>
            </w:pPr>
            <w:r w:rsidRPr="007D70C5">
              <w:rPr>
                <w:b w:val="0"/>
              </w:rPr>
              <w:t>Jurisdictions provided estimates of works under GABSI that will remain to be completed at June 2014. These remaining works have a cost-effectiveness figure of $1,</w:t>
            </w:r>
            <w:r w:rsidR="007A5327">
              <w:rPr>
                <w:b w:val="0"/>
              </w:rPr>
              <w:t>852</w:t>
            </w:r>
            <w:r w:rsidRPr="007D70C5">
              <w:rPr>
                <w:b w:val="0"/>
              </w:rPr>
              <w:t>/ML/annum (although this figure varies greatly</w:t>
            </w:r>
            <w:r w:rsidR="007A5327">
              <w:rPr>
                <w:b w:val="0"/>
              </w:rPr>
              <w:t>,</w:t>
            </w:r>
            <w:r w:rsidRPr="007D70C5">
              <w:rPr>
                <w:b w:val="0"/>
              </w:rPr>
              <w:t xml:space="preserve"> </w:t>
            </w:r>
            <w:r w:rsidR="007A5327">
              <w:rPr>
                <w:b w:val="0"/>
              </w:rPr>
              <w:t>with estimates ranging from $4,286/ML/annum in NSW to $1,042/ML/annum in Queensland</w:t>
            </w:r>
            <w:r w:rsidRPr="007D70C5">
              <w:rPr>
                <w:b w:val="0"/>
              </w:rPr>
              <w:t>). While this is again higher than all three phases of GABSI, when viewing the program as a whole the cost-effectiveness of completing GABSI would be $1,430/ML/annum, which is still lower than the initial benchmark of $1,682/ML/annum.</w:t>
            </w:r>
            <w:r w:rsidR="002346EC">
              <w:rPr>
                <w:b w:val="0"/>
              </w:rPr>
              <w:t xml:space="preserve"> </w:t>
            </w:r>
            <w:r w:rsidR="002346EC" w:rsidRPr="002346EC">
              <w:rPr>
                <w:b w:val="0"/>
              </w:rPr>
              <w:t>It is also important to note that cost-effectiveness does not consider the benefits of achieving the ML saved targets, so should not be viewed as a VfM assessment.</w:t>
            </w:r>
          </w:p>
        </w:tc>
      </w:tr>
      <w:tr w:rsidR="007D70C5" w:rsidRPr="007D70C5" w:rsidTr="007A5327">
        <w:trPr>
          <w:trHeight w:val="87"/>
        </w:trPr>
        <w:tc>
          <w:tcPr>
            <w:cnfStyle w:val="001000000000"/>
            <w:tcW w:w="1980" w:type="dxa"/>
            <w:shd w:val="clear" w:color="auto" w:fill="auto"/>
          </w:tcPr>
          <w:p w:rsidR="007D70C5" w:rsidRPr="00E929E8" w:rsidRDefault="007D70C5" w:rsidP="007A5327">
            <w:pPr>
              <w:pStyle w:val="Para0"/>
              <w:spacing w:before="0" w:after="100" w:afterAutospacing="1"/>
              <w:rPr>
                <w:sz w:val="22"/>
                <w:szCs w:val="22"/>
              </w:rPr>
            </w:pPr>
          </w:p>
        </w:tc>
        <w:tc>
          <w:tcPr>
            <w:tcW w:w="8039" w:type="dxa"/>
            <w:shd w:val="clear" w:color="auto" w:fill="auto"/>
          </w:tcPr>
          <w:p w:rsidR="007D70C5" w:rsidRPr="007D70C5" w:rsidRDefault="007D70C5" w:rsidP="007A5327">
            <w:pPr>
              <w:pStyle w:val="Para0"/>
              <w:spacing w:before="0" w:after="100" w:afterAutospacing="1"/>
              <w:cnfStyle w:val="000000000000"/>
            </w:pPr>
          </w:p>
        </w:tc>
      </w:tr>
      <w:tr w:rsidR="006523AA" w:rsidRPr="007D70C5" w:rsidTr="004E2D9F">
        <w:tc>
          <w:tcPr>
            <w:cnfStyle w:val="001000000000"/>
            <w:tcW w:w="1980" w:type="dxa"/>
            <w:shd w:val="clear" w:color="auto" w:fill="5185C0"/>
          </w:tcPr>
          <w:p w:rsidR="006523AA" w:rsidRPr="007D70C5" w:rsidRDefault="006523AA" w:rsidP="004E2D9F">
            <w:pPr>
              <w:pStyle w:val="Para0"/>
              <w:spacing w:before="120"/>
              <w:rPr>
                <w:b/>
                <w:i/>
                <w:color w:val="FFFFFF" w:themeColor="background2"/>
                <w:sz w:val="22"/>
              </w:rPr>
            </w:pPr>
            <w:r w:rsidRPr="007D70C5">
              <w:rPr>
                <w:b/>
                <w:i/>
                <w:color w:val="FFFFFF" w:themeColor="background2"/>
                <w:sz w:val="22"/>
              </w:rPr>
              <w:t>A clear and detailed set of metrics to measure the value of GABSI have been developed. Better data collection aligned with these metrics could assist in proving GABSI’s value for money.</w:t>
            </w:r>
          </w:p>
        </w:tc>
        <w:tc>
          <w:tcPr>
            <w:tcW w:w="8039" w:type="dxa"/>
            <w:shd w:val="clear" w:color="auto" w:fill="auto"/>
          </w:tcPr>
          <w:p w:rsidR="006523AA" w:rsidRPr="007D70C5" w:rsidRDefault="006523AA" w:rsidP="004011B3">
            <w:pPr>
              <w:pStyle w:val="Para0"/>
              <w:spacing w:before="0" w:after="60"/>
              <w:cnfStyle w:val="000000000000"/>
            </w:pPr>
            <w:r w:rsidRPr="007D70C5">
              <w:t>A set of metrics has been proposed for measuring each component of the TEV framework. These relate directly to GABSI, and highlight key data and information gaps that would need to be filled to undertake a more complete assessment of the program’s value for money. Examples of these gaps include:</w:t>
            </w:r>
          </w:p>
          <w:p w:rsidR="006523AA" w:rsidRPr="007D70C5" w:rsidRDefault="006523AA" w:rsidP="00E03024">
            <w:pPr>
              <w:pStyle w:val="Para0bullet"/>
              <w:spacing w:after="60"/>
              <w:cnfStyle w:val="000000000000"/>
            </w:pPr>
            <w:r w:rsidRPr="007D70C5">
              <w:t>Data on the market price of GAB groundwater (time and geographic coverage of the sample of prices available was limited</w:t>
            </w:r>
            <w:r w:rsidR="00FF78E6">
              <w:t>, and there were restrictions placed on the previous sale of GAB water which could have affected the market price</w:t>
            </w:r>
            <w:r w:rsidRPr="007D70C5">
              <w:t>)</w:t>
            </w:r>
          </w:p>
          <w:p w:rsidR="006523AA" w:rsidRPr="007D70C5" w:rsidRDefault="006523AA" w:rsidP="00E03024">
            <w:pPr>
              <w:pStyle w:val="Para0bullet"/>
              <w:spacing w:after="60"/>
              <w:cnfStyle w:val="000000000000"/>
            </w:pPr>
            <w:r w:rsidRPr="007D70C5">
              <w:t>Data and pressure modelling to understand the direct relationship between GABSI and pressure recovery (change in pressure head)</w:t>
            </w:r>
          </w:p>
          <w:p w:rsidR="006523AA" w:rsidRPr="007D70C5" w:rsidRDefault="006523AA" w:rsidP="00E03024">
            <w:pPr>
              <w:pStyle w:val="Para0bullet"/>
              <w:spacing w:after="60"/>
              <w:cnfStyle w:val="000000000000"/>
            </w:pPr>
            <w:r w:rsidRPr="007D70C5">
              <w:t>Number of visitors to and average length of stay at key tourism sites dependent on the GAB</w:t>
            </w:r>
          </w:p>
          <w:p w:rsidR="006523AA" w:rsidRPr="007D70C5" w:rsidRDefault="006523AA" w:rsidP="00E03024">
            <w:pPr>
              <w:pStyle w:val="Para0bullet"/>
              <w:spacing w:after="60"/>
              <w:cnfStyle w:val="000000000000"/>
            </w:pPr>
            <w:r w:rsidRPr="007D70C5">
              <w:t>Avoided loss of biodiversity and / or endangered species resulting from GABSI</w:t>
            </w:r>
          </w:p>
          <w:p w:rsidR="006523AA" w:rsidRPr="007D70C5" w:rsidRDefault="006523AA" w:rsidP="00D23521">
            <w:pPr>
              <w:pStyle w:val="Para0"/>
              <w:spacing w:before="60" w:after="0"/>
              <w:cnfStyle w:val="000000000000"/>
            </w:pPr>
            <w:r w:rsidRPr="007D70C5">
              <w:t>While gathering this data could assist in proving GABSI’s value for money, the costs associated with conducting more extensive monitoring programs are likely to be high and therefore may not represent value for money.</w:t>
            </w:r>
          </w:p>
        </w:tc>
      </w:tr>
    </w:tbl>
    <w:p w:rsidR="00F13D6E" w:rsidRDefault="00F13D6E" w:rsidP="001D3861">
      <w:pPr>
        <w:pStyle w:val="SectionSubheading1"/>
        <w:sectPr w:rsidR="00F13D6E" w:rsidSect="005B6BEE">
          <w:headerReference w:type="default" r:id="rId15"/>
          <w:footerReference w:type="default" r:id="rId16"/>
          <w:headerReference w:type="first" r:id="rId17"/>
          <w:footerReference w:type="first" r:id="rId18"/>
          <w:pgSz w:w="11901" w:h="16840" w:code="9"/>
          <w:pgMar w:top="567" w:right="851" w:bottom="851" w:left="1134" w:header="567" w:footer="369" w:gutter="0"/>
          <w:pgNumType w:fmt="lowerRoman" w:start="1"/>
          <w:cols w:space="0"/>
          <w:formProt w:val="0"/>
          <w:titlePg/>
          <w:docGrid w:linePitch="360"/>
        </w:sectPr>
      </w:pPr>
    </w:p>
    <w:p w:rsidR="00AC4AA0" w:rsidRDefault="00F57832" w:rsidP="001D3861">
      <w:pPr>
        <w:pStyle w:val="SectionSubheading1"/>
      </w:pPr>
      <w:r>
        <w:rPr>
          <w:noProof/>
          <w:lang w:eastAsia="en-AU"/>
        </w:rPr>
        <w:drawing>
          <wp:anchor distT="0" distB="0" distL="114300" distR="114300" simplePos="0" relativeHeight="251676672" behindDoc="0" locked="0" layoutInCell="1" allowOverlap="1">
            <wp:simplePos x="0" y="0"/>
            <wp:positionH relativeFrom="column">
              <wp:posOffset>2435225</wp:posOffset>
            </wp:positionH>
            <wp:positionV relativeFrom="paragraph">
              <wp:posOffset>-123190</wp:posOffset>
            </wp:positionV>
            <wp:extent cx="7065010" cy="586740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benefits.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65010" cy="5867400"/>
                    </a:xfrm>
                    <a:prstGeom prst="rect">
                      <a:avLst/>
                    </a:prstGeom>
                  </pic:spPr>
                </pic:pic>
              </a:graphicData>
            </a:graphic>
          </wp:anchor>
        </w:drawing>
      </w:r>
      <w:r w:rsidR="00AE764A">
        <w:t>Summary of the benefits of GABSI using the TEV framework</w:t>
      </w:r>
    </w:p>
    <w:p w:rsidR="00F57832" w:rsidRDefault="00F57832" w:rsidP="00CE7B0C">
      <w:pPr>
        <w:pStyle w:val="Para0"/>
      </w:pPr>
      <w:r>
        <w:t>The following figure provides an overview of the TEV framework applied in the Value for Money Review of GABSI.</w:t>
      </w:r>
    </w:p>
    <w:p w:rsidR="00F57832" w:rsidRDefault="00F57832" w:rsidP="00CE7B0C">
      <w:pPr>
        <w:pStyle w:val="Para0"/>
      </w:pPr>
      <w:r>
        <w:t xml:space="preserve">The ‘quantified benefits’ represents the components of the framework which were able to be quantified based on available data. The ‘breakeven benefits required’ demonstrate what improve pressure and environmental benefits would need to be proven to achieve a BCR of 1 (note that each </w:t>
      </w:r>
      <w:r w:rsidR="003C794B">
        <w:t xml:space="preserve">breakeven </w:t>
      </w:r>
      <w:r>
        <w:t xml:space="preserve">metric should be considered in isolation </w:t>
      </w:r>
      <w:r w:rsidR="003C794B">
        <w:t xml:space="preserve">of the others </w:t>
      </w:r>
      <w:r>
        <w:t xml:space="preserve">– e.g. avoiding a </w:t>
      </w:r>
      <w:r w:rsidR="003C794B">
        <w:t xml:space="preserve">12% </w:t>
      </w:r>
      <w:r>
        <w:t xml:space="preserve">loss of unique ecosystems </w:t>
      </w:r>
      <w:r w:rsidR="003C794B">
        <w:t>alone would achieve a BCR of 1).</w:t>
      </w:r>
    </w:p>
    <w:p w:rsidR="003C794B" w:rsidRPr="00CE7B0C" w:rsidRDefault="003C794B" w:rsidP="00CE7B0C">
      <w:pPr>
        <w:pStyle w:val="Para0"/>
        <w:sectPr w:rsidR="003C794B" w:rsidRPr="00CE7B0C" w:rsidSect="0000408D">
          <w:headerReference w:type="first" r:id="rId20"/>
          <w:footerReference w:type="first" r:id="rId21"/>
          <w:pgSz w:w="16840" w:h="11901" w:orient="landscape" w:code="9"/>
          <w:pgMar w:top="1134" w:right="567" w:bottom="851" w:left="851" w:header="567" w:footer="369" w:gutter="0"/>
          <w:pgNumType w:fmt="lowerRoman"/>
          <w:cols w:space="0"/>
          <w:formProt w:val="0"/>
          <w:titlePg/>
          <w:docGrid w:linePitch="360"/>
        </w:sectPr>
      </w:pPr>
      <w:r>
        <w:t xml:space="preserve">All dollars in the figure are in real </w:t>
      </w:r>
      <w:r w:rsidR="00610F25">
        <w:t>2013 dollars</w:t>
      </w:r>
      <w:r>
        <w:t xml:space="preserve"> </w:t>
      </w:r>
      <w:r w:rsidR="00610F25">
        <w:t>and consider benefits associated with works deliver under GABSI between 1999/2000 and 2012/13.</w:t>
      </w:r>
    </w:p>
    <w:p w:rsidR="00AE42BA" w:rsidRPr="00863E1E" w:rsidRDefault="00AE42BA" w:rsidP="00306621">
      <w:pPr>
        <w:pStyle w:val="Contents"/>
      </w:pPr>
      <w:r w:rsidRPr="00863E1E">
        <w:t>Contents</w:t>
      </w:r>
    </w:p>
    <w:p w:rsidR="004263FB" w:rsidRDefault="006768F1">
      <w:pPr>
        <w:pStyle w:val="TOC1"/>
        <w:rPr>
          <w:rFonts w:asciiTheme="minorHAnsi" w:hAnsiTheme="minorHAnsi"/>
          <w:b w:val="0"/>
          <w:sz w:val="22"/>
          <w:szCs w:val="22"/>
          <w:lang w:eastAsia="en-AU"/>
        </w:rPr>
      </w:pPr>
      <w:r w:rsidRPr="006768F1">
        <w:rPr>
          <w:rFonts w:ascii="Arial" w:hAnsi="Arial"/>
          <w:b w:val="0"/>
        </w:rPr>
        <w:fldChar w:fldCharType="begin"/>
      </w:r>
      <w:r w:rsidR="00AE42BA" w:rsidRPr="00863E1E">
        <w:instrText xml:space="preserve"> TOC \o "1-1" \t "Heading 2,2,Summary,1" </w:instrText>
      </w:r>
      <w:r w:rsidRPr="006768F1">
        <w:rPr>
          <w:rFonts w:ascii="Arial" w:hAnsi="Arial"/>
          <w:b w:val="0"/>
        </w:rPr>
        <w:fldChar w:fldCharType="separate"/>
      </w:r>
      <w:r w:rsidR="004263FB">
        <w:t>1.</w:t>
      </w:r>
      <w:r w:rsidR="004263FB">
        <w:rPr>
          <w:rFonts w:asciiTheme="minorHAnsi" w:hAnsiTheme="minorHAnsi"/>
          <w:b w:val="0"/>
          <w:sz w:val="22"/>
          <w:szCs w:val="22"/>
          <w:lang w:eastAsia="en-AU"/>
        </w:rPr>
        <w:tab/>
      </w:r>
      <w:r w:rsidR="004263FB">
        <w:t>Introduction</w:t>
      </w:r>
      <w:r w:rsidR="004263FB">
        <w:tab/>
      </w:r>
      <w:r>
        <w:fldChar w:fldCharType="begin"/>
      </w:r>
      <w:r w:rsidR="004263FB">
        <w:instrText xml:space="preserve"> PAGEREF _Toc378163291 \h </w:instrText>
      </w:r>
      <w:r>
        <w:fldChar w:fldCharType="separate"/>
      </w:r>
      <w:r w:rsidR="00516D07">
        <w:t>1</w:t>
      </w:r>
      <w:r>
        <w:fldChar w:fldCharType="end"/>
      </w:r>
    </w:p>
    <w:p w:rsidR="004263FB" w:rsidRDefault="004263FB">
      <w:pPr>
        <w:pStyle w:val="TOC2"/>
        <w:rPr>
          <w:rFonts w:asciiTheme="minorHAnsi" w:hAnsiTheme="minorHAnsi"/>
          <w:sz w:val="22"/>
          <w:szCs w:val="22"/>
          <w:lang w:eastAsia="en-AU"/>
        </w:rPr>
      </w:pPr>
      <w:r>
        <w:t>1.1</w:t>
      </w:r>
      <w:r>
        <w:rPr>
          <w:rFonts w:asciiTheme="minorHAnsi" w:hAnsiTheme="minorHAnsi"/>
          <w:sz w:val="22"/>
          <w:szCs w:val="22"/>
          <w:lang w:eastAsia="en-AU"/>
        </w:rPr>
        <w:tab/>
      </w:r>
      <w:r>
        <w:t>Objectives of Review</w:t>
      </w:r>
      <w:r>
        <w:tab/>
      </w:r>
      <w:r w:rsidR="006768F1">
        <w:fldChar w:fldCharType="begin"/>
      </w:r>
      <w:r>
        <w:instrText xml:space="preserve"> PAGEREF _Toc378163292 \h </w:instrText>
      </w:r>
      <w:r w:rsidR="006768F1">
        <w:fldChar w:fldCharType="separate"/>
      </w:r>
      <w:r w:rsidR="00516D07">
        <w:t>1</w:t>
      </w:r>
      <w:r w:rsidR="006768F1">
        <w:fldChar w:fldCharType="end"/>
      </w:r>
    </w:p>
    <w:p w:rsidR="004263FB" w:rsidRDefault="004263FB">
      <w:pPr>
        <w:pStyle w:val="TOC2"/>
        <w:rPr>
          <w:rFonts w:asciiTheme="minorHAnsi" w:hAnsiTheme="minorHAnsi"/>
          <w:sz w:val="22"/>
          <w:szCs w:val="22"/>
          <w:lang w:eastAsia="en-AU"/>
        </w:rPr>
      </w:pPr>
      <w:r>
        <w:t>1.2</w:t>
      </w:r>
      <w:r>
        <w:rPr>
          <w:rFonts w:asciiTheme="minorHAnsi" w:hAnsiTheme="minorHAnsi"/>
          <w:sz w:val="22"/>
          <w:szCs w:val="22"/>
          <w:lang w:eastAsia="en-AU"/>
        </w:rPr>
        <w:tab/>
      </w:r>
      <w:r>
        <w:t>Report structure</w:t>
      </w:r>
      <w:r>
        <w:tab/>
      </w:r>
      <w:r w:rsidR="006768F1">
        <w:fldChar w:fldCharType="begin"/>
      </w:r>
      <w:r>
        <w:instrText xml:space="preserve"> PAGEREF _Toc378163293 \h </w:instrText>
      </w:r>
      <w:r w:rsidR="006768F1">
        <w:fldChar w:fldCharType="separate"/>
      </w:r>
      <w:r w:rsidR="00516D07">
        <w:t>1</w:t>
      </w:r>
      <w:r w:rsidR="006768F1">
        <w:fldChar w:fldCharType="end"/>
      </w:r>
    </w:p>
    <w:p w:rsidR="004263FB" w:rsidRDefault="004263FB">
      <w:pPr>
        <w:pStyle w:val="TOC1"/>
        <w:rPr>
          <w:rFonts w:asciiTheme="minorHAnsi" w:hAnsiTheme="minorHAnsi"/>
          <w:b w:val="0"/>
          <w:sz w:val="22"/>
          <w:szCs w:val="22"/>
          <w:lang w:eastAsia="en-AU"/>
        </w:rPr>
      </w:pPr>
      <w:r>
        <w:t>2.</w:t>
      </w:r>
      <w:r>
        <w:rPr>
          <w:rFonts w:asciiTheme="minorHAnsi" w:hAnsiTheme="minorHAnsi"/>
          <w:b w:val="0"/>
          <w:sz w:val="22"/>
          <w:szCs w:val="22"/>
          <w:lang w:eastAsia="en-AU"/>
        </w:rPr>
        <w:tab/>
      </w:r>
      <w:r>
        <w:t>Description of the GABSI</w:t>
      </w:r>
      <w:r>
        <w:tab/>
      </w:r>
      <w:r w:rsidR="006768F1">
        <w:fldChar w:fldCharType="begin"/>
      </w:r>
      <w:r>
        <w:instrText xml:space="preserve"> PAGEREF _Toc378163294 \h </w:instrText>
      </w:r>
      <w:r w:rsidR="006768F1">
        <w:fldChar w:fldCharType="separate"/>
      </w:r>
      <w:r w:rsidR="00516D07">
        <w:t>2</w:t>
      </w:r>
      <w:r w:rsidR="006768F1">
        <w:fldChar w:fldCharType="end"/>
      </w:r>
    </w:p>
    <w:p w:rsidR="004263FB" w:rsidRDefault="004263FB">
      <w:pPr>
        <w:pStyle w:val="TOC2"/>
        <w:rPr>
          <w:rFonts w:asciiTheme="minorHAnsi" w:hAnsiTheme="minorHAnsi"/>
          <w:sz w:val="22"/>
          <w:szCs w:val="22"/>
          <w:lang w:eastAsia="en-AU"/>
        </w:rPr>
      </w:pPr>
      <w:r>
        <w:t>2.1</w:t>
      </w:r>
      <w:r>
        <w:rPr>
          <w:rFonts w:asciiTheme="minorHAnsi" w:hAnsiTheme="minorHAnsi"/>
          <w:sz w:val="22"/>
          <w:szCs w:val="22"/>
          <w:lang w:eastAsia="en-AU"/>
        </w:rPr>
        <w:tab/>
      </w:r>
      <w:r>
        <w:t>Roles and responsibilities</w:t>
      </w:r>
      <w:r>
        <w:tab/>
      </w:r>
      <w:r w:rsidR="006768F1">
        <w:fldChar w:fldCharType="begin"/>
      </w:r>
      <w:r>
        <w:instrText xml:space="preserve"> PAGEREF _Toc378163295 \h </w:instrText>
      </w:r>
      <w:r w:rsidR="006768F1">
        <w:fldChar w:fldCharType="separate"/>
      </w:r>
      <w:r w:rsidR="00516D07">
        <w:t>2</w:t>
      </w:r>
      <w:r w:rsidR="006768F1">
        <w:fldChar w:fldCharType="end"/>
      </w:r>
    </w:p>
    <w:p w:rsidR="004263FB" w:rsidRDefault="004263FB">
      <w:pPr>
        <w:pStyle w:val="TOC2"/>
        <w:rPr>
          <w:rFonts w:asciiTheme="minorHAnsi" w:hAnsiTheme="minorHAnsi"/>
          <w:sz w:val="22"/>
          <w:szCs w:val="22"/>
          <w:lang w:eastAsia="en-AU"/>
        </w:rPr>
      </w:pPr>
      <w:r>
        <w:t>2.2</w:t>
      </w:r>
      <w:r>
        <w:rPr>
          <w:rFonts w:asciiTheme="minorHAnsi" w:hAnsiTheme="minorHAnsi"/>
          <w:sz w:val="22"/>
          <w:szCs w:val="22"/>
          <w:lang w:eastAsia="en-AU"/>
        </w:rPr>
        <w:tab/>
      </w:r>
      <w:r>
        <w:t>Funding</w:t>
      </w:r>
      <w:r>
        <w:tab/>
      </w:r>
      <w:r w:rsidR="006768F1">
        <w:fldChar w:fldCharType="begin"/>
      </w:r>
      <w:r>
        <w:instrText xml:space="preserve"> PAGEREF _Toc378163296 \h </w:instrText>
      </w:r>
      <w:r w:rsidR="006768F1">
        <w:fldChar w:fldCharType="separate"/>
      </w:r>
      <w:r w:rsidR="00516D07">
        <w:t>3</w:t>
      </w:r>
      <w:r w:rsidR="006768F1">
        <w:fldChar w:fldCharType="end"/>
      </w:r>
    </w:p>
    <w:p w:rsidR="004263FB" w:rsidRDefault="004263FB">
      <w:pPr>
        <w:pStyle w:val="TOC2"/>
        <w:rPr>
          <w:rFonts w:asciiTheme="minorHAnsi" w:hAnsiTheme="minorHAnsi"/>
          <w:sz w:val="22"/>
          <w:szCs w:val="22"/>
          <w:lang w:eastAsia="en-AU"/>
        </w:rPr>
      </w:pPr>
      <w:r>
        <w:t>2.3</w:t>
      </w:r>
      <w:r>
        <w:rPr>
          <w:rFonts w:asciiTheme="minorHAnsi" w:hAnsiTheme="minorHAnsi"/>
          <w:sz w:val="22"/>
          <w:szCs w:val="22"/>
          <w:lang w:eastAsia="en-AU"/>
        </w:rPr>
        <w:tab/>
      </w:r>
      <w:r>
        <w:t>Achievements</w:t>
      </w:r>
      <w:r>
        <w:tab/>
      </w:r>
      <w:r w:rsidR="006768F1">
        <w:fldChar w:fldCharType="begin"/>
      </w:r>
      <w:r>
        <w:instrText xml:space="preserve"> PAGEREF _Toc378163297 \h </w:instrText>
      </w:r>
      <w:r w:rsidR="006768F1">
        <w:fldChar w:fldCharType="separate"/>
      </w:r>
      <w:r w:rsidR="00516D07">
        <w:t>4</w:t>
      </w:r>
      <w:r w:rsidR="006768F1">
        <w:fldChar w:fldCharType="end"/>
      </w:r>
    </w:p>
    <w:p w:rsidR="004263FB" w:rsidRDefault="004263FB">
      <w:pPr>
        <w:pStyle w:val="TOC1"/>
        <w:rPr>
          <w:rFonts w:asciiTheme="minorHAnsi" w:hAnsiTheme="minorHAnsi"/>
          <w:b w:val="0"/>
          <w:sz w:val="22"/>
          <w:szCs w:val="22"/>
          <w:lang w:eastAsia="en-AU"/>
        </w:rPr>
      </w:pPr>
      <w:r>
        <w:t>3.</w:t>
      </w:r>
      <w:r>
        <w:rPr>
          <w:rFonts w:asciiTheme="minorHAnsi" w:hAnsiTheme="minorHAnsi"/>
          <w:b w:val="0"/>
          <w:sz w:val="22"/>
          <w:szCs w:val="22"/>
          <w:lang w:eastAsia="en-AU"/>
        </w:rPr>
        <w:tab/>
      </w:r>
      <w:r>
        <w:t>Review methodology</w:t>
      </w:r>
      <w:r>
        <w:tab/>
      </w:r>
      <w:r w:rsidR="006768F1">
        <w:fldChar w:fldCharType="begin"/>
      </w:r>
      <w:r>
        <w:instrText xml:space="preserve"> PAGEREF _Toc378163298 \h </w:instrText>
      </w:r>
      <w:r w:rsidR="006768F1">
        <w:fldChar w:fldCharType="separate"/>
      </w:r>
      <w:r w:rsidR="00516D07">
        <w:t>6</w:t>
      </w:r>
      <w:r w:rsidR="006768F1">
        <w:fldChar w:fldCharType="end"/>
      </w:r>
    </w:p>
    <w:p w:rsidR="004263FB" w:rsidRDefault="004263FB">
      <w:pPr>
        <w:pStyle w:val="TOC2"/>
        <w:rPr>
          <w:rFonts w:asciiTheme="minorHAnsi" w:hAnsiTheme="minorHAnsi"/>
          <w:sz w:val="22"/>
          <w:szCs w:val="22"/>
          <w:lang w:eastAsia="en-AU"/>
        </w:rPr>
      </w:pPr>
      <w:r>
        <w:t>3.1</w:t>
      </w:r>
      <w:r>
        <w:rPr>
          <w:rFonts w:asciiTheme="minorHAnsi" w:hAnsiTheme="minorHAnsi"/>
          <w:sz w:val="22"/>
          <w:szCs w:val="22"/>
          <w:lang w:eastAsia="en-AU"/>
        </w:rPr>
        <w:tab/>
      </w:r>
      <w:r>
        <w:t>Total economic valuation framework</w:t>
      </w:r>
      <w:r>
        <w:tab/>
      </w:r>
      <w:r w:rsidR="006768F1">
        <w:fldChar w:fldCharType="begin"/>
      </w:r>
      <w:r>
        <w:instrText xml:space="preserve"> PAGEREF _Toc378163299 \h </w:instrText>
      </w:r>
      <w:r w:rsidR="006768F1">
        <w:fldChar w:fldCharType="separate"/>
      </w:r>
      <w:r w:rsidR="00516D07">
        <w:t>6</w:t>
      </w:r>
      <w:r w:rsidR="006768F1">
        <w:fldChar w:fldCharType="end"/>
      </w:r>
    </w:p>
    <w:p w:rsidR="004263FB" w:rsidRDefault="004263FB">
      <w:pPr>
        <w:pStyle w:val="TOC2"/>
        <w:rPr>
          <w:rFonts w:asciiTheme="minorHAnsi" w:hAnsiTheme="minorHAnsi"/>
          <w:sz w:val="22"/>
          <w:szCs w:val="22"/>
          <w:lang w:eastAsia="en-AU"/>
        </w:rPr>
      </w:pPr>
      <w:r>
        <w:t>3.2</w:t>
      </w:r>
      <w:r>
        <w:rPr>
          <w:rFonts w:asciiTheme="minorHAnsi" w:hAnsiTheme="minorHAnsi"/>
          <w:sz w:val="22"/>
          <w:szCs w:val="22"/>
          <w:lang w:eastAsia="en-AU"/>
        </w:rPr>
        <w:tab/>
      </w:r>
      <w:r>
        <w:t>Overarching assumptions and considerations</w:t>
      </w:r>
      <w:r>
        <w:tab/>
      </w:r>
      <w:r w:rsidR="006768F1">
        <w:fldChar w:fldCharType="begin"/>
      </w:r>
      <w:r>
        <w:instrText xml:space="preserve"> PAGEREF _Toc378163300 \h </w:instrText>
      </w:r>
      <w:r w:rsidR="006768F1">
        <w:fldChar w:fldCharType="separate"/>
      </w:r>
      <w:r w:rsidR="00516D07">
        <w:t>7</w:t>
      </w:r>
      <w:r w:rsidR="006768F1">
        <w:fldChar w:fldCharType="end"/>
      </w:r>
    </w:p>
    <w:p w:rsidR="004263FB" w:rsidRDefault="004263FB">
      <w:pPr>
        <w:pStyle w:val="TOC2"/>
        <w:rPr>
          <w:rFonts w:asciiTheme="minorHAnsi" w:hAnsiTheme="minorHAnsi"/>
          <w:sz w:val="22"/>
          <w:szCs w:val="22"/>
          <w:lang w:eastAsia="en-AU"/>
        </w:rPr>
      </w:pPr>
      <w:r>
        <w:t>3.3</w:t>
      </w:r>
      <w:r>
        <w:rPr>
          <w:rFonts w:asciiTheme="minorHAnsi" w:hAnsiTheme="minorHAnsi"/>
          <w:sz w:val="22"/>
          <w:szCs w:val="22"/>
          <w:lang w:eastAsia="en-AU"/>
        </w:rPr>
        <w:tab/>
      </w:r>
      <w:r>
        <w:t>Data and information sources</w:t>
      </w:r>
      <w:r>
        <w:tab/>
      </w:r>
      <w:r w:rsidR="006768F1">
        <w:fldChar w:fldCharType="begin"/>
      </w:r>
      <w:r>
        <w:instrText xml:space="preserve"> PAGEREF _Toc378163301 \h </w:instrText>
      </w:r>
      <w:r w:rsidR="006768F1">
        <w:fldChar w:fldCharType="separate"/>
      </w:r>
      <w:r w:rsidR="00516D07">
        <w:t>8</w:t>
      </w:r>
      <w:r w:rsidR="006768F1">
        <w:fldChar w:fldCharType="end"/>
      </w:r>
    </w:p>
    <w:p w:rsidR="004263FB" w:rsidRDefault="004263FB">
      <w:pPr>
        <w:pStyle w:val="TOC2"/>
        <w:rPr>
          <w:rFonts w:asciiTheme="minorHAnsi" w:hAnsiTheme="minorHAnsi"/>
          <w:sz w:val="22"/>
          <w:szCs w:val="22"/>
          <w:lang w:eastAsia="en-AU"/>
        </w:rPr>
      </w:pPr>
      <w:r>
        <w:t>3.4</w:t>
      </w:r>
      <w:r>
        <w:rPr>
          <w:rFonts w:asciiTheme="minorHAnsi" w:hAnsiTheme="minorHAnsi"/>
          <w:sz w:val="22"/>
          <w:szCs w:val="22"/>
          <w:lang w:eastAsia="en-AU"/>
        </w:rPr>
        <w:tab/>
      </w:r>
      <w:r>
        <w:t>Limitations</w:t>
      </w:r>
      <w:r>
        <w:tab/>
      </w:r>
      <w:r w:rsidR="006768F1">
        <w:fldChar w:fldCharType="begin"/>
      </w:r>
      <w:r>
        <w:instrText xml:space="preserve"> PAGEREF _Toc378163302 \h </w:instrText>
      </w:r>
      <w:r w:rsidR="006768F1">
        <w:fldChar w:fldCharType="separate"/>
      </w:r>
      <w:r w:rsidR="00516D07">
        <w:t>8</w:t>
      </w:r>
      <w:r w:rsidR="006768F1">
        <w:fldChar w:fldCharType="end"/>
      </w:r>
    </w:p>
    <w:p w:rsidR="004263FB" w:rsidRDefault="004263FB">
      <w:pPr>
        <w:pStyle w:val="TOC1"/>
        <w:rPr>
          <w:rFonts w:asciiTheme="minorHAnsi" w:hAnsiTheme="minorHAnsi"/>
          <w:b w:val="0"/>
          <w:sz w:val="22"/>
          <w:szCs w:val="22"/>
          <w:lang w:eastAsia="en-AU"/>
        </w:rPr>
      </w:pPr>
      <w:r>
        <w:t>4.</w:t>
      </w:r>
      <w:r>
        <w:rPr>
          <w:rFonts w:asciiTheme="minorHAnsi" w:hAnsiTheme="minorHAnsi"/>
          <w:b w:val="0"/>
          <w:sz w:val="22"/>
          <w:szCs w:val="22"/>
          <w:lang w:eastAsia="en-AU"/>
        </w:rPr>
        <w:tab/>
      </w:r>
      <w:r>
        <w:t>Measuring the benefits of GABSI</w:t>
      </w:r>
      <w:r>
        <w:tab/>
      </w:r>
      <w:r w:rsidR="006768F1">
        <w:fldChar w:fldCharType="begin"/>
      </w:r>
      <w:r>
        <w:instrText xml:space="preserve"> PAGEREF _Toc378163303 \h </w:instrText>
      </w:r>
      <w:r w:rsidR="006768F1">
        <w:fldChar w:fldCharType="separate"/>
      </w:r>
      <w:r w:rsidR="00516D07">
        <w:t>10</w:t>
      </w:r>
      <w:r w:rsidR="006768F1">
        <w:fldChar w:fldCharType="end"/>
      </w:r>
    </w:p>
    <w:p w:rsidR="004263FB" w:rsidRDefault="004263FB">
      <w:pPr>
        <w:pStyle w:val="TOC2"/>
        <w:rPr>
          <w:rFonts w:asciiTheme="minorHAnsi" w:hAnsiTheme="minorHAnsi"/>
          <w:sz w:val="22"/>
          <w:szCs w:val="22"/>
          <w:lang w:eastAsia="en-AU"/>
        </w:rPr>
      </w:pPr>
      <w:r>
        <w:t>4.1</w:t>
      </w:r>
      <w:r>
        <w:rPr>
          <w:rFonts w:asciiTheme="minorHAnsi" w:hAnsiTheme="minorHAnsi"/>
          <w:sz w:val="22"/>
          <w:szCs w:val="22"/>
          <w:lang w:eastAsia="en-AU"/>
        </w:rPr>
        <w:tab/>
      </w:r>
      <w:r>
        <w:t>Consumptive benefits</w:t>
      </w:r>
      <w:r>
        <w:tab/>
      </w:r>
      <w:r w:rsidR="006768F1">
        <w:fldChar w:fldCharType="begin"/>
      </w:r>
      <w:r>
        <w:instrText xml:space="preserve"> PAGEREF _Toc378163304 \h </w:instrText>
      </w:r>
      <w:r w:rsidR="006768F1">
        <w:fldChar w:fldCharType="separate"/>
      </w:r>
      <w:r w:rsidR="00516D07">
        <w:t>10</w:t>
      </w:r>
      <w:r w:rsidR="006768F1">
        <w:fldChar w:fldCharType="end"/>
      </w:r>
    </w:p>
    <w:p w:rsidR="004263FB" w:rsidRDefault="004263FB">
      <w:pPr>
        <w:pStyle w:val="TOC2"/>
        <w:rPr>
          <w:rFonts w:asciiTheme="minorHAnsi" w:hAnsiTheme="minorHAnsi"/>
          <w:sz w:val="22"/>
          <w:szCs w:val="22"/>
          <w:lang w:eastAsia="en-AU"/>
        </w:rPr>
      </w:pPr>
      <w:r>
        <w:t>4.2</w:t>
      </w:r>
      <w:r>
        <w:rPr>
          <w:rFonts w:asciiTheme="minorHAnsi" w:hAnsiTheme="minorHAnsi"/>
          <w:sz w:val="22"/>
          <w:szCs w:val="22"/>
          <w:lang w:eastAsia="en-AU"/>
        </w:rPr>
        <w:tab/>
      </w:r>
      <w:r>
        <w:t>Non-consumptive benefits</w:t>
      </w:r>
      <w:r>
        <w:tab/>
      </w:r>
      <w:r w:rsidR="006768F1">
        <w:fldChar w:fldCharType="begin"/>
      </w:r>
      <w:r>
        <w:instrText xml:space="preserve"> PAGEREF _Toc378163305 \h </w:instrText>
      </w:r>
      <w:r w:rsidR="006768F1">
        <w:fldChar w:fldCharType="separate"/>
      </w:r>
      <w:r w:rsidR="00516D07">
        <w:t>18</w:t>
      </w:r>
      <w:r w:rsidR="006768F1">
        <w:fldChar w:fldCharType="end"/>
      </w:r>
    </w:p>
    <w:p w:rsidR="004263FB" w:rsidRDefault="004263FB">
      <w:pPr>
        <w:pStyle w:val="TOC2"/>
        <w:rPr>
          <w:rFonts w:asciiTheme="minorHAnsi" w:hAnsiTheme="minorHAnsi"/>
          <w:sz w:val="22"/>
          <w:szCs w:val="22"/>
          <w:lang w:eastAsia="en-AU"/>
        </w:rPr>
      </w:pPr>
      <w:r>
        <w:t>4.3</w:t>
      </w:r>
      <w:r>
        <w:rPr>
          <w:rFonts w:asciiTheme="minorHAnsi" w:hAnsiTheme="minorHAnsi"/>
          <w:sz w:val="22"/>
          <w:szCs w:val="22"/>
          <w:lang w:eastAsia="en-AU"/>
        </w:rPr>
        <w:tab/>
      </w:r>
      <w:r>
        <w:t>Indirect value</w:t>
      </w:r>
      <w:r>
        <w:tab/>
      </w:r>
      <w:r w:rsidR="006768F1">
        <w:fldChar w:fldCharType="begin"/>
      </w:r>
      <w:r>
        <w:instrText xml:space="preserve"> PAGEREF _Toc378163306 \h </w:instrText>
      </w:r>
      <w:r w:rsidR="006768F1">
        <w:fldChar w:fldCharType="separate"/>
      </w:r>
      <w:r w:rsidR="00516D07">
        <w:t>22</w:t>
      </w:r>
      <w:r w:rsidR="006768F1">
        <w:fldChar w:fldCharType="end"/>
      </w:r>
    </w:p>
    <w:p w:rsidR="004263FB" w:rsidRDefault="004263FB">
      <w:pPr>
        <w:pStyle w:val="TOC2"/>
        <w:rPr>
          <w:rFonts w:asciiTheme="minorHAnsi" w:hAnsiTheme="minorHAnsi"/>
          <w:sz w:val="22"/>
          <w:szCs w:val="22"/>
          <w:lang w:eastAsia="en-AU"/>
        </w:rPr>
      </w:pPr>
      <w:r>
        <w:t>4.4</w:t>
      </w:r>
      <w:r>
        <w:rPr>
          <w:rFonts w:asciiTheme="minorHAnsi" w:hAnsiTheme="minorHAnsi"/>
          <w:sz w:val="22"/>
          <w:szCs w:val="22"/>
          <w:lang w:eastAsia="en-AU"/>
        </w:rPr>
        <w:tab/>
      </w:r>
      <w:r>
        <w:t>Option value, bequest / altruism, and stewardship values</w:t>
      </w:r>
      <w:r>
        <w:tab/>
      </w:r>
      <w:r w:rsidR="006768F1">
        <w:fldChar w:fldCharType="begin"/>
      </w:r>
      <w:r>
        <w:instrText xml:space="preserve"> PAGEREF _Toc378163307 \h </w:instrText>
      </w:r>
      <w:r w:rsidR="006768F1">
        <w:fldChar w:fldCharType="separate"/>
      </w:r>
      <w:r w:rsidR="00516D07">
        <w:t>24</w:t>
      </w:r>
      <w:r w:rsidR="006768F1">
        <w:fldChar w:fldCharType="end"/>
      </w:r>
    </w:p>
    <w:p w:rsidR="004263FB" w:rsidRDefault="004263FB">
      <w:pPr>
        <w:pStyle w:val="TOC2"/>
        <w:rPr>
          <w:rFonts w:asciiTheme="minorHAnsi" w:hAnsiTheme="minorHAnsi"/>
          <w:sz w:val="22"/>
          <w:szCs w:val="22"/>
          <w:lang w:eastAsia="en-AU"/>
        </w:rPr>
      </w:pPr>
      <w:r>
        <w:t>4.5</w:t>
      </w:r>
      <w:r>
        <w:rPr>
          <w:rFonts w:asciiTheme="minorHAnsi" w:hAnsiTheme="minorHAnsi"/>
          <w:sz w:val="22"/>
          <w:szCs w:val="22"/>
          <w:lang w:eastAsia="en-AU"/>
        </w:rPr>
        <w:tab/>
      </w:r>
      <w:r>
        <w:t>Environmental benefits</w:t>
      </w:r>
      <w:r>
        <w:tab/>
      </w:r>
      <w:r w:rsidR="006768F1">
        <w:fldChar w:fldCharType="begin"/>
      </w:r>
      <w:r>
        <w:instrText xml:space="preserve"> PAGEREF _Toc378163308 \h </w:instrText>
      </w:r>
      <w:r w:rsidR="006768F1">
        <w:fldChar w:fldCharType="separate"/>
      </w:r>
      <w:r w:rsidR="00516D07">
        <w:t>25</w:t>
      </w:r>
      <w:r w:rsidR="006768F1">
        <w:fldChar w:fldCharType="end"/>
      </w:r>
    </w:p>
    <w:p w:rsidR="004263FB" w:rsidRDefault="004263FB">
      <w:pPr>
        <w:pStyle w:val="TOC2"/>
        <w:rPr>
          <w:rFonts w:asciiTheme="minorHAnsi" w:hAnsiTheme="minorHAnsi"/>
          <w:sz w:val="22"/>
          <w:szCs w:val="22"/>
          <w:lang w:eastAsia="en-AU"/>
        </w:rPr>
      </w:pPr>
      <w:r>
        <w:t>4.6</w:t>
      </w:r>
      <w:r>
        <w:rPr>
          <w:rFonts w:asciiTheme="minorHAnsi" w:hAnsiTheme="minorHAnsi"/>
          <w:sz w:val="22"/>
          <w:szCs w:val="22"/>
          <w:lang w:eastAsia="en-AU"/>
        </w:rPr>
        <w:tab/>
      </w:r>
      <w:r>
        <w:t>Summary</w:t>
      </w:r>
      <w:r>
        <w:tab/>
      </w:r>
      <w:r w:rsidR="006768F1">
        <w:fldChar w:fldCharType="begin"/>
      </w:r>
      <w:r>
        <w:instrText xml:space="preserve"> PAGEREF _Toc378163309 \h </w:instrText>
      </w:r>
      <w:r w:rsidR="006768F1">
        <w:fldChar w:fldCharType="separate"/>
      </w:r>
      <w:r w:rsidR="00516D07">
        <w:t>33</w:t>
      </w:r>
      <w:r w:rsidR="006768F1">
        <w:fldChar w:fldCharType="end"/>
      </w:r>
    </w:p>
    <w:p w:rsidR="004263FB" w:rsidRDefault="004263FB">
      <w:pPr>
        <w:pStyle w:val="TOC1"/>
        <w:rPr>
          <w:rFonts w:asciiTheme="minorHAnsi" w:hAnsiTheme="minorHAnsi"/>
          <w:b w:val="0"/>
          <w:sz w:val="22"/>
          <w:szCs w:val="22"/>
          <w:lang w:eastAsia="en-AU"/>
        </w:rPr>
      </w:pPr>
      <w:r>
        <w:t>5.</w:t>
      </w:r>
      <w:r>
        <w:rPr>
          <w:rFonts w:asciiTheme="minorHAnsi" w:hAnsiTheme="minorHAnsi"/>
          <w:b w:val="0"/>
          <w:sz w:val="22"/>
          <w:szCs w:val="22"/>
          <w:lang w:eastAsia="en-AU"/>
        </w:rPr>
        <w:tab/>
      </w:r>
      <w:r>
        <w:t>Sensitivity analysis</w:t>
      </w:r>
      <w:r>
        <w:tab/>
      </w:r>
      <w:r w:rsidR="006768F1">
        <w:fldChar w:fldCharType="begin"/>
      </w:r>
      <w:r>
        <w:instrText xml:space="preserve"> PAGEREF _Toc378163310 \h </w:instrText>
      </w:r>
      <w:r w:rsidR="006768F1">
        <w:fldChar w:fldCharType="separate"/>
      </w:r>
      <w:r w:rsidR="00516D07">
        <w:t>38</w:t>
      </w:r>
      <w:r w:rsidR="006768F1">
        <w:fldChar w:fldCharType="end"/>
      </w:r>
    </w:p>
    <w:p w:rsidR="004263FB" w:rsidRDefault="004263FB">
      <w:pPr>
        <w:pStyle w:val="TOC1"/>
        <w:rPr>
          <w:rFonts w:asciiTheme="minorHAnsi" w:hAnsiTheme="minorHAnsi"/>
          <w:b w:val="0"/>
          <w:sz w:val="22"/>
          <w:szCs w:val="22"/>
          <w:lang w:eastAsia="en-AU"/>
        </w:rPr>
      </w:pPr>
      <w:r>
        <w:t>6.</w:t>
      </w:r>
      <w:r>
        <w:rPr>
          <w:rFonts w:asciiTheme="minorHAnsi" w:hAnsiTheme="minorHAnsi"/>
          <w:b w:val="0"/>
          <w:sz w:val="22"/>
          <w:szCs w:val="22"/>
          <w:lang w:eastAsia="en-AU"/>
        </w:rPr>
        <w:tab/>
      </w:r>
      <w:r>
        <w:t>Alternative evaluation approaches</w:t>
      </w:r>
      <w:r>
        <w:tab/>
      </w:r>
      <w:r w:rsidR="006768F1">
        <w:fldChar w:fldCharType="begin"/>
      </w:r>
      <w:r>
        <w:instrText xml:space="preserve"> PAGEREF _Toc378163311 \h </w:instrText>
      </w:r>
      <w:r w:rsidR="006768F1">
        <w:fldChar w:fldCharType="separate"/>
      </w:r>
      <w:r w:rsidR="00516D07">
        <w:t>40</w:t>
      </w:r>
      <w:r w:rsidR="006768F1">
        <w:fldChar w:fldCharType="end"/>
      </w:r>
    </w:p>
    <w:p w:rsidR="004263FB" w:rsidRDefault="004263FB">
      <w:pPr>
        <w:pStyle w:val="TOC2"/>
        <w:rPr>
          <w:rFonts w:asciiTheme="minorHAnsi" w:hAnsiTheme="minorHAnsi"/>
          <w:sz w:val="22"/>
          <w:szCs w:val="22"/>
          <w:lang w:eastAsia="en-AU"/>
        </w:rPr>
      </w:pPr>
      <w:r>
        <w:t>6.1</w:t>
      </w:r>
      <w:r>
        <w:rPr>
          <w:rFonts w:asciiTheme="minorHAnsi" w:hAnsiTheme="minorHAnsi"/>
          <w:sz w:val="22"/>
          <w:szCs w:val="22"/>
          <w:lang w:eastAsia="en-AU"/>
        </w:rPr>
        <w:tab/>
      </w:r>
      <w:r>
        <w:t>TEV from alternative water use options (100% reallocation of GABSI water)</w:t>
      </w:r>
      <w:r>
        <w:tab/>
      </w:r>
      <w:r w:rsidR="006768F1">
        <w:fldChar w:fldCharType="begin"/>
      </w:r>
      <w:r>
        <w:instrText xml:space="preserve"> PAGEREF _Toc378163312 \h </w:instrText>
      </w:r>
      <w:r w:rsidR="006768F1">
        <w:fldChar w:fldCharType="separate"/>
      </w:r>
      <w:r w:rsidR="00516D07">
        <w:t>40</w:t>
      </w:r>
      <w:r w:rsidR="006768F1">
        <w:fldChar w:fldCharType="end"/>
      </w:r>
    </w:p>
    <w:p w:rsidR="004263FB" w:rsidRDefault="004263FB">
      <w:pPr>
        <w:pStyle w:val="TOC2"/>
        <w:rPr>
          <w:rFonts w:asciiTheme="minorHAnsi" w:hAnsiTheme="minorHAnsi"/>
          <w:sz w:val="22"/>
          <w:szCs w:val="22"/>
          <w:lang w:eastAsia="en-AU"/>
        </w:rPr>
      </w:pPr>
      <w:r>
        <w:t>6.2</w:t>
      </w:r>
      <w:r>
        <w:rPr>
          <w:rFonts w:asciiTheme="minorHAnsi" w:hAnsiTheme="minorHAnsi"/>
          <w:sz w:val="22"/>
          <w:szCs w:val="22"/>
          <w:lang w:eastAsia="en-AU"/>
        </w:rPr>
        <w:tab/>
      </w:r>
      <w:r>
        <w:t>Breakeven benefit analysis</w:t>
      </w:r>
      <w:r>
        <w:tab/>
      </w:r>
      <w:r w:rsidR="006768F1">
        <w:fldChar w:fldCharType="begin"/>
      </w:r>
      <w:r>
        <w:instrText xml:space="preserve"> PAGEREF _Toc378163313 \h </w:instrText>
      </w:r>
      <w:r w:rsidR="006768F1">
        <w:fldChar w:fldCharType="separate"/>
      </w:r>
      <w:r w:rsidR="00516D07">
        <w:t>41</w:t>
      </w:r>
      <w:r w:rsidR="006768F1">
        <w:fldChar w:fldCharType="end"/>
      </w:r>
    </w:p>
    <w:p w:rsidR="004263FB" w:rsidRDefault="004263FB">
      <w:pPr>
        <w:pStyle w:val="TOC2"/>
        <w:rPr>
          <w:rFonts w:asciiTheme="minorHAnsi" w:hAnsiTheme="minorHAnsi"/>
          <w:sz w:val="22"/>
          <w:szCs w:val="22"/>
          <w:lang w:eastAsia="en-AU"/>
        </w:rPr>
      </w:pPr>
      <w:r>
        <w:t>6.3</w:t>
      </w:r>
      <w:r>
        <w:rPr>
          <w:rFonts w:asciiTheme="minorHAnsi" w:hAnsiTheme="minorHAnsi"/>
          <w:sz w:val="22"/>
          <w:szCs w:val="22"/>
          <w:lang w:eastAsia="en-AU"/>
        </w:rPr>
        <w:tab/>
      </w:r>
      <w:r>
        <w:t>Cost effectiveness</w:t>
      </w:r>
      <w:r>
        <w:tab/>
      </w:r>
      <w:r w:rsidR="006768F1">
        <w:fldChar w:fldCharType="begin"/>
      </w:r>
      <w:r>
        <w:instrText xml:space="preserve"> PAGEREF _Toc378163314 \h </w:instrText>
      </w:r>
      <w:r w:rsidR="006768F1">
        <w:fldChar w:fldCharType="separate"/>
      </w:r>
      <w:r w:rsidR="00516D07">
        <w:t>43</w:t>
      </w:r>
      <w:r w:rsidR="006768F1">
        <w:fldChar w:fldCharType="end"/>
      </w:r>
    </w:p>
    <w:p w:rsidR="004263FB" w:rsidRDefault="004263FB">
      <w:pPr>
        <w:pStyle w:val="TOC1"/>
        <w:rPr>
          <w:rFonts w:asciiTheme="minorHAnsi" w:hAnsiTheme="minorHAnsi"/>
          <w:b w:val="0"/>
          <w:sz w:val="22"/>
          <w:szCs w:val="22"/>
          <w:lang w:eastAsia="en-AU"/>
        </w:rPr>
      </w:pPr>
      <w:r>
        <w:t>7.</w:t>
      </w:r>
      <w:r>
        <w:rPr>
          <w:rFonts w:asciiTheme="minorHAnsi" w:hAnsiTheme="minorHAnsi"/>
          <w:b w:val="0"/>
          <w:sz w:val="22"/>
          <w:szCs w:val="22"/>
          <w:lang w:eastAsia="en-AU"/>
        </w:rPr>
        <w:tab/>
      </w:r>
      <w:r>
        <w:t>Conclusion</w:t>
      </w:r>
      <w:r>
        <w:tab/>
      </w:r>
      <w:r w:rsidR="006768F1">
        <w:fldChar w:fldCharType="begin"/>
      </w:r>
      <w:r>
        <w:instrText xml:space="preserve"> PAGEREF _Toc378163315 \h </w:instrText>
      </w:r>
      <w:r w:rsidR="006768F1">
        <w:fldChar w:fldCharType="separate"/>
      </w:r>
      <w:r w:rsidR="00516D07">
        <w:t>45</w:t>
      </w:r>
      <w:r w:rsidR="006768F1">
        <w:fldChar w:fldCharType="end"/>
      </w:r>
    </w:p>
    <w:p w:rsidR="00AE42BA" w:rsidRPr="00863E1E" w:rsidRDefault="006768F1" w:rsidP="00306621">
      <w:pPr>
        <w:pStyle w:val="Para0"/>
      </w:pPr>
      <w:r w:rsidRPr="00AF3EEE">
        <w:rPr>
          <w:rFonts w:ascii="Arial Narrow" w:hAnsi="Arial Narrow"/>
          <w:b/>
        </w:rPr>
        <w:fldChar w:fldCharType="end"/>
      </w:r>
    </w:p>
    <w:sdt>
      <w:sdtPr>
        <w:rPr>
          <w:rFonts w:ascii="Arial" w:hAnsi="Arial"/>
          <w:b w:val="0"/>
          <w:noProof w:val="0"/>
        </w:rPr>
        <w:id w:val="16667430"/>
        <w:docPartObj>
          <w:docPartGallery w:val="Table of Contents"/>
          <w:docPartUnique/>
        </w:docPartObj>
      </w:sdtPr>
      <w:sdtContent>
        <w:p w:rsidR="004263FB" w:rsidRDefault="006768F1">
          <w:pPr>
            <w:pStyle w:val="TOC1"/>
            <w:rPr>
              <w:rFonts w:asciiTheme="minorHAnsi" w:hAnsiTheme="minorHAnsi"/>
              <w:b w:val="0"/>
              <w:sz w:val="22"/>
              <w:szCs w:val="22"/>
              <w:lang w:eastAsia="en-AU"/>
            </w:rPr>
          </w:pPr>
          <w:r w:rsidRPr="006768F1">
            <w:rPr>
              <w:b w:val="0"/>
            </w:rPr>
            <w:fldChar w:fldCharType="begin"/>
          </w:r>
          <w:r w:rsidR="00AE42BA" w:rsidRPr="00863E1E">
            <w:instrText xml:space="preserve"> TOC \n \t "Heading 9,1" </w:instrText>
          </w:r>
          <w:r w:rsidRPr="006768F1">
            <w:rPr>
              <w:b w:val="0"/>
            </w:rPr>
            <w:fldChar w:fldCharType="separate"/>
          </w:r>
          <w:r w:rsidR="004263FB">
            <w:t>Appendix A. References</w:t>
          </w:r>
        </w:p>
        <w:p w:rsidR="004263FB" w:rsidRDefault="004263FB">
          <w:pPr>
            <w:pStyle w:val="TOC1"/>
            <w:rPr>
              <w:rFonts w:asciiTheme="minorHAnsi" w:hAnsiTheme="minorHAnsi"/>
              <w:b w:val="0"/>
              <w:sz w:val="22"/>
              <w:szCs w:val="22"/>
              <w:lang w:eastAsia="en-AU"/>
            </w:rPr>
          </w:pPr>
          <w:r>
            <w:t>Appendix B. Deprival method values</w:t>
          </w:r>
        </w:p>
        <w:p w:rsidR="004263FB" w:rsidRDefault="004263FB">
          <w:pPr>
            <w:pStyle w:val="TOC1"/>
            <w:rPr>
              <w:rFonts w:asciiTheme="minorHAnsi" w:hAnsiTheme="minorHAnsi"/>
              <w:b w:val="0"/>
              <w:sz w:val="22"/>
              <w:szCs w:val="22"/>
              <w:lang w:eastAsia="en-AU"/>
            </w:rPr>
          </w:pPr>
          <w:r>
            <w:t>Appendix C. Quantified Value for Money Summary</w:t>
          </w:r>
        </w:p>
        <w:p w:rsidR="00AE42BA" w:rsidRPr="00863E1E" w:rsidRDefault="006768F1" w:rsidP="00306621">
          <w:pPr>
            <w:pStyle w:val="Para0"/>
          </w:pPr>
          <w:r w:rsidRPr="00863E1E">
            <w:rPr>
              <w:noProof/>
            </w:rPr>
            <w:fldChar w:fldCharType="end"/>
          </w:r>
        </w:p>
      </w:sdtContent>
    </w:sdt>
    <w:p w:rsidR="00035F1E" w:rsidRPr="00863E1E" w:rsidRDefault="00035F1E" w:rsidP="00306621">
      <w:pPr>
        <w:pStyle w:val="Heading1"/>
        <w:sectPr w:rsidR="00035F1E" w:rsidRPr="00863E1E" w:rsidSect="0000408D">
          <w:headerReference w:type="first" r:id="rId22"/>
          <w:footerReference w:type="first" r:id="rId23"/>
          <w:pgSz w:w="11901" w:h="16840" w:code="9"/>
          <w:pgMar w:top="567" w:right="851" w:bottom="851" w:left="1134" w:header="567" w:footer="369" w:gutter="0"/>
          <w:pgNumType w:fmt="lowerRoman"/>
          <w:cols w:space="0"/>
          <w:formProt w:val="0"/>
          <w:titlePg/>
          <w:docGrid w:linePitch="360"/>
        </w:sectPr>
      </w:pPr>
    </w:p>
    <w:p w:rsidR="00AE42BA" w:rsidRDefault="00AE42BA" w:rsidP="00306621">
      <w:pPr>
        <w:pStyle w:val="Heading1"/>
      </w:pPr>
      <w:bookmarkStart w:id="1" w:name="_Toc378163291"/>
      <w:r w:rsidRPr="00863E1E">
        <w:t>Introduction</w:t>
      </w:r>
      <w:bookmarkEnd w:id="1"/>
    </w:p>
    <w:p w:rsidR="00270F01" w:rsidRDefault="00270F01" w:rsidP="00270F01">
      <w:pPr>
        <w:pStyle w:val="Para0"/>
        <w:spacing w:before="120"/>
      </w:pPr>
      <w:r w:rsidRPr="00863E1E">
        <w:t xml:space="preserve">In 1999, the Australian </w:t>
      </w:r>
      <w:r>
        <w:t xml:space="preserve">Government and </w:t>
      </w:r>
      <w:r w:rsidRPr="00863E1E">
        <w:t>Queensland, South Australian, New South Wales</w:t>
      </w:r>
      <w:r>
        <w:t xml:space="preserve"> (NSW), and Northern Territory</w:t>
      </w:r>
      <w:r>
        <w:rPr>
          <w:rStyle w:val="FootnoteReference"/>
        </w:rPr>
        <w:footnoteReference w:id="2"/>
      </w:r>
      <w:r w:rsidRPr="00863E1E">
        <w:t xml:space="preserve"> Governments committed to a 15 year joint program to sustainably manage the groundwater resources of the Great Artesian Basin (GAB) – the </w:t>
      </w:r>
      <w:r w:rsidRPr="00863E1E">
        <w:rPr>
          <w:i/>
        </w:rPr>
        <w:t>Great Artesian Basin Sustainability Initiative</w:t>
      </w:r>
      <w:r w:rsidRPr="00863E1E">
        <w:t xml:space="preserve"> (GABSI). </w:t>
      </w:r>
      <w:r>
        <w:t xml:space="preserve">GABSI seeks to promote sustainable groundwater management systems for the GAB, primarily through capping and piping uncontrolled bores to save water and recover pressure. </w:t>
      </w:r>
      <w:r w:rsidRPr="00863E1E">
        <w:t>The GABSI is being delivered by state agencies over three phases, with the third phase drawi</w:t>
      </w:r>
      <w:r>
        <w:t xml:space="preserve">ng to a close on 30 June 2014. </w:t>
      </w:r>
    </w:p>
    <w:p w:rsidR="00270F01" w:rsidRPr="00863E1E" w:rsidRDefault="00270F01" w:rsidP="00270F01">
      <w:pPr>
        <w:pStyle w:val="Para0"/>
      </w:pPr>
      <w:r>
        <w:t>Under the GABSI National Partnership Agreement, i</w:t>
      </w:r>
      <w:r w:rsidRPr="00863E1E">
        <w:t xml:space="preserve">ndependent mid-term reviews </w:t>
      </w:r>
      <w:r>
        <w:t xml:space="preserve">of </w:t>
      </w:r>
      <w:r w:rsidRPr="00863E1E">
        <w:t xml:space="preserve">each phase </w:t>
      </w:r>
      <w:r>
        <w:t xml:space="preserve">have been required </w:t>
      </w:r>
      <w:r w:rsidRPr="00863E1E">
        <w:t xml:space="preserve">to </w:t>
      </w:r>
      <w:r>
        <w:t>assess the impact of GABSI works</w:t>
      </w:r>
      <w:r w:rsidRPr="00863E1E">
        <w:t xml:space="preserve"> and examine the implications</w:t>
      </w:r>
      <w:r>
        <w:t xml:space="preserve"> of the findings</w:t>
      </w:r>
      <w:r w:rsidRPr="00863E1E">
        <w:t xml:space="preserve"> for the remainder of the phase. The mid-term review for GABSI 3 found that significant achievements had been accomplished and that </w:t>
      </w:r>
      <w:r>
        <w:t>future groundwater management in the GAB should be based on a thorough assessment of priorities, eligibility criteria, and funding arrangements</w:t>
      </w:r>
      <w:r w:rsidRPr="00863E1E">
        <w:t xml:space="preserve">. </w:t>
      </w:r>
      <w:r>
        <w:t>I</w:t>
      </w:r>
      <w:r w:rsidRPr="00863E1E">
        <w:t xml:space="preserve">t also recommended conducting a value for money review of GABSI across the three phases, and the development of objective metrics to determine whether continued government funding could be justified beyond GABSI 3. </w:t>
      </w:r>
    </w:p>
    <w:p w:rsidR="00CF0CFC" w:rsidRPr="00863E1E" w:rsidRDefault="004C29A3" w:rsidP="007A0B65">
      <w:pPr>
        <w:pStyle w:val="Para0"/>
      </w:pPr>
      <w:r w:rsidRPr="00863E1E">
        <w:t xml:space="preserve">Sinclair Knight Merz (SKM) was engaged by the Commonwealth Department of the Environment (Department) to undertake a value for money review </w:t>
      </w:r>
      <w:r w:rsidR="005753B5" w:rsidRPr="00863E1E">
        <w:t xml:space="preserve">(the </w:t>
      </w:r>
      <w:bookmarkStart w:id="2" w:name="_GoBack"/>
      <w:bookmarkEnd w:id="2"/>
      <w:r w:rsidR="005753B5" w:rsidRPr="00863E1E">
        <w:t xml:space="preserve">Review) </w:t>
      </w:r>
      <w:r w:rsidRPr="00863E1E">
        <w:t>of GABSI using a total economic valuation</w:t>
      </w:r>
      <w:r w:rsidR="008C6E7C">
        <w:t xml:space="preserve"> (TEV)</w:t>
      </w:r>
      <w:r w:rsidRPr="00863E1E">
        <w:t xml:space="preserve"> approach. </w:t>
      </w:r>
    </w:p>
    <w:p w:rsidR="00C2044F" w:rsidRPr="00863E1E" w:rsidRDefault="00C2044F" w:rsidP="00C2044F">
      <w:pPr>
        <w:pStyle w:val="Heading2"/>
      </w:pPr>
      <w:bookmarkStart w:id="3" w:name="_Ref365554712"/>
      <w:bookmarkStart w:id="4" w:name="_Toc378163292"/>
      <w:r w:rsidRPr="00863E1E">
        <w:t>Objectives of Review</w:t>
      </w:r>
      <w:bookmarkEnd w:id="3"/>
      <w:bookmarkEnd w:id="4"/>
    </w:p>
    <w:p w:rsidR="005753B5" w:rsidRPr="00863E1E" w:rsidRDefault="005753B5" w:rsidP="005753B5">
      <w:pPr>
        <w:pStyle w:val="Para0"/>
      </w:pPr>
      <w:r w:rsidRPr="00863E1E">
        <w:t>The objectives of the Review (as per the Request for Quotation dated 6 September 2013) are to:</w:t>
      </w:r>
    </w:p>
    <w:p w:rsidR="005753B5" w:rsidRPr="00863E1E" w:rsidRDefault="005753B5" w:rsidP="005753B5">
      <w:pPr>
        <w:pStyle w:val="Para0bullet"/>
      </w:pPr>
      <w:r w:rsidRPr="00863E1E">
        <w:t>Objectively measure trends in the return on investment achieved by respective governments over the three phases of GABSI, up to June 2013</w:t>
      </w:r>
    </w:p>
    <w:p w:rsidR="005753B5" w:rsidRPr="00863E1E" w:rsidRDefault="005753B5" w:rsidP="005753B5">
      <w:pPr>
        <w:pStyle w:val="Para0bullet"/>
      </w:pPr>
      <w:r w:rsidRPr="00863E1E">
        <w:t>Assess whether the completion of GABSI 3</w:t>
      </w:r>
      <w:r w:rsidR="000104FD" w:rsidRPr="00863E1E">
        <w:t xml:space="preserve"> represents value for money, compared to the return on government investment over the three phases of GABSI, up to June 2013</w:t>
      </w:r>
    </w:p>
    <w:p w:rsidR="000E2EE8" w:rsidRPr="00863E1E" w:rsidRDefault="000E2EE8" w:rsidP="000E2EE8">
      <w:pPr>
        <w:pStyle w:val="Heading2"/>
      </w:pPr>
      <w:bookmarkStart w:id="5" w:name="_Toc378163293"/>
      <w:r w:rsidRPr="00863E1E">
        <w:t>Report structure</w:t>
      </w:r>
      <w:bookmarkEnd w:id="5"/>
    </w:p>
    <w:p w:rsidR="003F6C20" w:rsidRDefault="003F6C20" w:rsidP="003F6C20">
      <w:pPr>
        <w:pStyle w:val="Para0"/>
      </w:pPr>
      <w:r w:rsidRPr="00863E1E">
        <w:t>Th</w:t>
      </w:r>
      <w:r w:rsidR="00194049" w:rsidRPr="00863E1E">
        <w:t xml:space="preserve">e </w:t>
      </w:r>
      <w:r w:rsidRPr="00863E1E">
        <w:t xml:space="preserve">report </w:t>
      </w:r>
      <w:r w:rsidR="00194049" w:rsidRPr="00863E1E">
        <w:t>contains</w:t>
      </w:r>
      <w:r w:rsidRPr="00863E1E">
        <w:t xml:space="preserve"> the following sections:</w:t>
      </w:r>
    </w:p>
    <w:p w:rsidR="008C6E7C" w:rsidRDefault="008C6E7C" w:rsidP="008C6E7C">
      <w:pPr>
        <w:pStyle w:val="Para0bullet"/>
      </w:pPr>
      <w:r w:rsidRPr="006F226C">
        <w:rPr>
          <w:b/>
        </w:rPr>
        <w:t>2 – Description of the GABSI:</w:t>
      </w:r>
      <w:r>
        <w:t xml:space="preserve"> outlines the roles and responsibilities associated with administrating and implementing the program, funding, and achievements to date.</w:t>
      </w:r>
    </w:p>
    <w:p w:rsidR="008C6E7C" w:rsidRDefault="008C6E7C" w:rsidP="008C6E7C">
      <w:pPr>
        <w:pStyle w:val="Para0bullet"/>
      </w:pPr>
      <w:r w:rsidRPr="006F226C">
        <w:rPr>
          <w:b/>
        </w:rPr>
        <w:t>3 – Review methodology:</w:t>
      </w:r>
      <w:r>
        <w:t xml:space="preserve"> introduces the TEV framework approach and discusses the assumptions, data, and limitations associated with the approach.</w:t>
      </w:r>
    </w:p>
    <w:p w:rsidR="008C6E7C" w:rsidRDefault="008C6E7C" w:rsidP="008C6E7C">
      <w:pPr>
        <w:pStyle w:val="Para0bullet"/>
      </w:pPr>
      <w:r w:rsidRPr="006F226C">
        <w:rPr>
          <w:b/>
        </w:rPr>
        <w:t>4 – Measuring the benefits of GABSI:</w:t>
      </w:r>
      <w:r>
        <w:t xml:space="preserve"> detailed description of the relevant methods, a suggested metric, and the results for each element of the TEV framework.</w:t>
      </w:r>
    </w:p>
    <w:p w:rsidR="008C6E7C" w:rsidRDefault="008C6E7C" w:rsidP="008C6E7C">
      <w:pPr>
        <w:pStyle w:val="Para0bullet"/>
      </w:pPr>
      <w:r w:rsidRPr="006F226C">
        <w:rPr>
          <w:b/>
        </w:rPr>
        <w:t>5 – Sensitivity analysis:</w:t>
      </w:r>
      <w:r>
        <w:t xml:space="preserve"> tests the results of section 4 against seven key sensitivities.</w:t>
      </w:r>
    </w:p>
    <w:p w:rsidR="008C6E7C" w:rsidRDefault="008C6E7C" w:rsidP="008C6E7C">
      <w:pPr>
        <w:pStyle w:val="Para0bullet"/>
      </w:pPr>
      <w:r w:rsidRPr="006F226C">
        <w:rPr>
          <w:b/>
        </w:rPr>
        <w:t>6 – Alternative evaluation approaches:</w:t>
      </w:r>
      <w:r>
        <w:t xml:space="preserve"> provides three different approaches to assessing GABSI that should be considered in conjunction with the TEV approach.</w:t>
      </w:r>
    </w:p>
    <w:p w:rsidR="008C6E7C" w:rsidRPr="00863E1E" w:rsidRDefault="008C6E7C" w:rsidP="008C6E7C">
      <w:pPr>
        <w:pStyle w:val="Para0bullet"/>
      </w:pPr>
      <w:r w:rsidRPr="006F226C">
        <w:rPr>
          <w:b/>
        </w:rPr>
        <w:t>7 – Conclusion:</w:t>
      </w:r>
      <w:r>
        <w:t xml:space="preserve"> </w:t>
      </w:r>
      <w:r w:rsidR="00CC0E66">
        <w:t>presents a concluding discussion on assessing the value for money of GABSI.</w:t>
      </w:r>
    </w:p>
    <w:p w:rsidR="000E2EE8" w:rsidRPr="00863E1E" w:rsidRDefault="000E2EE8" w:rsidP="000E2EE8">
      <w:pPr>
        <w:pStyle w:val="Heading1"/>
      </w:pPr>
      <w:bookmarkStart w:id="6" w:name="_Toc378163294"/>
      <w:r w:rsidRPr="00863E1E">
        <w:t xml:space="preserve">Description of the </w:t>
      </w:r>
      <w:r w:rsidR="00147B95" w:rsidRPr="00863E1E">
        <w:t>GABSI</w:t>
      </w:r>
      <w:bookmarkEnd w:id="6"/>
    </w:p>
    <w:p w:rsidR="007A0B65" w:rsidRPr="00863E1E" w:rsidRDefault="007A0B65" w:rsidP="007A0B65">
      <w:pPr>
        <w:pStyle w:val="Para0"/>
      </w:pPr>
      <w:r w:rsidRPr="00863E1E">
        <w:t xml:space="preserve">The </w:t>
      </w:r>
      <w:r w:rsidR="00F77213" w:rsidRPr="00863E1E">
        <w:t xml:space="preserve">GABSI </w:t>
      </w:r>
      <w:r w:rsidRPr="00863E1E">
        <w:t xml:space="preserve">is a 15 year program seeking to </w:t>
      </w:r>
      <w:r w:rsidR="00017548">
        <w:t xml:space="preserve">save </w:t>
      </w:r>
      <w:r w:rsidR="00017548" w:rsidRPr="00863E1E">
        <w:t>water</w:t>
      </w:r>
      <w:r w:rsidR="00017548">
        <w:t xml:space="preserve"> to </w:t>
      </w:r>
      <w:r w:rsidRPr="00863E1E">
        <w:t>address declining pressure in the Great Artesian Basin (GAB). The GABSI is being delivered by state agencies over three phases, with the third phase drawing to a close on 30 June 2014. In 2010, a</w:t>
      </w:r>
      <w:r w:rsidR="00F77213" w:rsidRPr="00863E1E">
        <w:t>n</w:t>
      </w:r>
      <w:r w:rsidRPr="00863E1E">
        <w:t xml:space="preserve"> </w:t>
      </w:r>
      <w:r w:rsidR="00F77213" w:rsidRPr="00863E1E">
        <w:t>NPA</w:t>
      </w:r>
      <w:r w:rsidRPr="00863E1E">
        <w:t xml:space="preserve"> on the GABSI was established and agreed upon by the Commonwealth and States (New South Wales, Queensland, South Australia), setting the direction for future GABSI activities. The objectives, outcomes, and outputs of the NPA are outlined in </w:t>
      </w:r>
      <w:r w:rsidR="006768F1" w:rsidRPr="00863E1E">
        <w:fldChar w:fldCharType="begin"/>
      </w:r>
      <w:r w:rsidRPr="00863E1E">
        <w:instrText xml:space="preserve"> REF _Ref367084854 \h </w:instrText>
      </w:r>
      <w:r w:rsidR="006768F1" w:rsidRPr="00863E1E">
        <w:fldChar w:fldCharType="separate"/>
      </w:r>
      <w:r w:rsidR="00516D07" w:rsidRPr="00863E1E">
        <w:t xml:space="preserve">Figure </w:t>
      </w:r>
      <w:r w:rsidR="00516D07">
        <w:rPr>
          <w:noProof/>
        </w:rPr>
        <w:t>1</w:t>
      </w:r>
      <w:r w:rsidR="006768F1" w:rsidRPr="00863E1E">
        <w:fldChar w:fldCharType="end"/>
      </w:r>
      <w:r w:rsidRPr="00863E1E">
        <w:t>.</w:t>
      </w:r>
    </w:p>
    <w:p w:rsidR="0048777F" w:rsidRDefault="0048777F" w:rsidP="007A0B65">
      <w:pPr>
        <w:pStyle w:val="Para0"/>
      </w:pPr>
      <w:r w:rsidRPr="00863E1E">
        <w:t>The remainder of this section outlines the roles and responsibilities, processes, and financing arrangements associated with GABSI.</w:t>
      </w:r>
    </w:p>
    <w:p w:rsidR="00D81BBA" w:rsidRPr="00863E1E" w:rsidRDefault="00D81BBA" w:rsidP="00D81BBA">
      <w:pPr>
        <w:pStyle w:val="Caption"/>
        <w:jc w:val="center"/>
      </w:pPr>
      <w:bookmarkStart w:id="7" w:name="_Ref367084854"/>
      <w:r w:rsidRPr="00863E1E">
        <w:t xml:space="preserve">Figure </w:t>
      </w:r>
      <w:r w:rsidR="006768F1">
        <w:fldChar w:fldCharType="begin"/>
      </w:r>
      <w:r>
        <w:instrText xml:space="preserve"> SEQ Figure \* ARABIC </w:instrText>
      </w:r>
      <w:r w:rsidR="006768F1">
        <w:fldChar w:fldCharType="separate"/>
      </w:r>
      <w:r w:rsidR="00516D07">
        <w:rPr>
          <w:noProof/>
        </w:rPr>
        <w:t>1</w:t>
      </w:r>
      <w:r w:rsidR="006768F1">
        <w:fldChar w:fldCharType="end"/>
      </w:r>
      <w:bookmarkEnd w:id="7"/>
      <w:r w:rsidRPr="00863E1E">
        <w:t>: NPA on the GABSI – Objectives, outcomes, and outputs</w:t>
      </w:r>
    </w:p>
    <w:p w:rsidR="00371BF9" w:rsidRPr="00863E1E" w:rsidRDefault="00B83523" w:rsidP="007A0B65">
      <w:pPr>
        <w:pStyle w:val="Para0"/>
        <w:keepNext/>
        <w:jc w:val="center"/>
      </w:pPr>
      <w:r>
        <w:rPr>
          <w:noProof/>
          <w:lang w:eastAsia="en-AU"/>
        </w:rPr>
        <w:drawing>
          <wp:inline distT="0" distB="0" distL="0" distR="0">
            <wp:extent cx="4838065" cy="4104005"/>
            <wp:effectExtent l="0" t="0" r="63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065" cy="4104005"/>
                    </a:xfrm>
                    <a:prstGeom prst="rect">
                      <a:avLst/>
                    </a:prstGeom>
                    <a:noFill/>
                    <a:ln>
                      <a:noFill/>
                    </a:ln>
                  </pic:spPr>
                </pic:pic>
              </a:graphicData>
            </a:graphic>
          </wp:inline>
        </w:drawing>
      </w:r>
    </w:p>
    <w:p w:rsidR="007A0B65" w:rsidRPr="00863E1E" w:rsidRDefault="0048777F" w:rsidP="0048777F">
      <w:pPr>
        <w:pStyle w:val="Heading2"/>
      </w:pPr>
      <w:bookmarkStart w:id="8" w:name="_Toc378163295"/>
      <w:r w:rsidRPr="00863E1E">
        <w:t>Roles and responsibilities</w:t>
      </w:r>
      <w:bookmarkEnd w:id="8"/>
    </w:p>
    <w:p w:rsidR="003A2326" w:rsidRPr="00863E1E" w:rsidRDefault="00DF7B6B" w:rsidP="003A2326">
      <w:pPr>
        <w:pStyle w:val="Para0"/>
      </w:pPr>
      <w:r w:rsidRPr="00863E1E">
        <w:t xml:space="preserve">The core governance and management structure is outlined in </w:t>
      </w:r>
      <w:r w:rsidR="006768F1" w:rsidRPr="00863E1E">
        <w:fldChar w:fldCharType="begin"/>
      </w:r>
      <w:r w:rsidR="003A2326" w:rsidRPr="00863E1E">
        <w:instrText xml:space="preserve"> REF _Ref371610868 \h </w:instrText>
      </w:r>
      <w:r w:rsidR="006768F1" w:rsidRPr="00863E1E">
        <w:fldChar w:fldCharType="separate"/>
      </w:r>
      <w:r w:rsidR="00516D07" w:rsidRPr="00863E1E">
        <w:t xml:space="preserve">Figure </w:t>
      </w:r>
      <w:r w:rsidR="00516D07">
        <w:rPr>
          <w:noProof/>
        </w:rPr>
        <w:t>2</w:t>
      </w:r>
      <w:r w:rsidR="006768F1" w:rsidRPr="00863E1E">
        <w:fldChar w:fldCharType="end"/>
      </w:r>
      <w:r w:rsidR="003A2326" w:rsidRPr="00863E1E">
        <w:t>. It comprises:</w:t>
      </w:r>
    </w:p>
    <w:p w:rsidR="003A2326" w:rsidRPr="00863E1E" w:rsidRDefault="003A2326" w:rsidP="003A2326">
      <w:pPr>
        <w:pStyle w:val="Para0bullet"/>
      </w:pPr>
      <w:r w:rsidRPr="00863E1E">
        <w:rPr>
          <w:b/>
        </w:rPr>
        <w:t>Commonwealth Department of the Environment –</w:t>
      </w:r>
      <w:r w:rsidRPr="00863E1E">
        <w:t xml:space="preserve"> responsible for partly funding the works, and establishing and overseeing the national approach to managing the resources of the Great Artesian Basin.</w:t>
      </w:r>
    </w:p>
    <w:p w:rsidR="003A2326" w:rsidRPr="00863E1E" w:rsidRDefault="003A2326" w:rsidP="003A2326">
      <w:pPr>
        <w:pStyle w:val="Para0bullet"/>
      </w:pPr>
      <w:r w:rsidRPr="00863E1E">
        <w:rPr>
          <w:b/>
        </w:rPr>
        <w:t>State Departments –</w:t>
      </w:r>
      <w:r w:rsidRPr="00863E1E">
        <w:t xml:space="preserve"> responsible for partly funding the works, engaging landholders, undertaking some of the works, and monitoring and reporting progress.</w:t>
      </w:r>
    </w:p>
    <w:p w:rsidR="00A2649E" w:rsidRDefault="003A2326" w:rsidP="00A2649E">
      <w:pPr>
        <w:pStyle w:val="Para0bullet"/>
      </w:pPr>
      <w:r w:rsidRPr="00A2649E">
        <w:rPr>
          <w:b/>
        </w:rPr>
        <w:t>Landholders –</w:t>
      </w:r>
      <w:r w:rsidRPr="00863E1E">
        <w:t xml:space="preserve"> responsible for partly funding the works, undertaking works on their properties, and ongoing maintenance.</w:t>
      </w:r>
    </w:p>
    <w:p w:rsidR="006B0296" w:rsidRPr="00863E1E" w:rsidRDefault="006B0296" w:rsidP="00A2649E">
      <w:pPr>
        <w:pStyle w:val="Para0bullet"/>
      </w:pPr>
      <w:r w:rsidRPr="00A2649E">
        <w:rPr>
          <w:b/>
        </w:rPr>
        <w:t xml:space="preserve">GABCC – </w:t>
      </w:r>
      <w:r w:rsidR="00A2649E">
        <w:t xml:space="preserve">the primary role of the Committee is to provide advice to Ministers on efficient, effective and sustainable whole-of-resource management of the GAB and to coordinate activity between stakeholders. </w:t>
      </w:r>
    </w:p>
    <w:p w:rsidR="00DF7B6B" w:rsidRDefault="00DF7B6B" w:rsidP="00BF205B">
      <w:pPr>
        <w:pStyle w:val="Caption"/>
        <w:jc w:val="center"/>
      </w:pPr>
      <w:bookmarkStart w:id="9" w:name="_Ref371610868"/>
      <w:r w:rsidRPr="00863E1E">
        <w:t xml:space="preserve">Figure </w:t>
      </w:r>
      <w:r w:rsidR="006768F1">
        <w:fldChar w:fldCharType="begin"/>
      </w:r>
      <w:r w:rsidR="00DB2AA7">
        <w:instrText xml:space="preserve"> SEQ Figure \* ARABIC </w:instrText>
      </w:r>
      <w:r w:rsidR="006768F1">
        <w:fldChar w:fldCharType="separate"/>
      </w:r>
      <w:r w:rsidR="00516D07">
        <w:rPr>
          <w:noProof/>
        </w:rPr>
        <w:t>2</w:t>
      </w:r>
      <w:r w:rsidR="006768F1">
        <w:fldChar w:fldCharType="end"/>
      </w:r>
      <w:bookmarkEnd w:id="9"/>
      <w:r w:rsidRPr="00863E1E">
        <w:t>: GABSI government and management structure</w:t>
      </w:r>
    </w:p>
    <w:p w:rsidR="00D81BBA" w:rsidRPr="00D81BBA" w:rsidRDefault="00D81BBA" w:rsidP="00D81BBA">
      <w:pPr>
        <w:pStyle w:val="Para0"/>
        <w:jc w:val="center"/>
      </w:pPr>
      <w:r>
        <w:rPr>
          <w:noProof/>
          <w:lang w:eastAsia="en-AU"/>
        </w:rPr>
        <w:drawing>
          <wp:inline distT="0" distB="0" distL="0" distR="0">
            <wp:extent cx="5750391" cy="253516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0391" cy="2535161"/>
                    </a:xfrm>
                    <a:prstGeom prst="rect">
                      <a:avLst/>
                    </a:prstGeom>
                  </pic:spPr>
                </pic:pic>
              </a:graphicData>
            </a:graphic>
          </wp:inline>
        </w:drawing>
      </w:r>
    </w:p>
    <w:p w:rsidR="005F6607" w:rsidRPr="00863E1E" w:rsidRDefault="006D2DEF" w:rsidP="005F6607">
      <w:pPr>
        <w:pStyle w:val="Heading2"/>
      </w:pPr>
      <w:bookmarkStart w:id="10" w:name="_Toc378163296"/>
      <w:r w:rsidRPr="00863E1E">
        <w:t>Funding</w:t>
      </w:r>
      <w:bookmarkEnd w:id="10"/>
    </w:p>
    <w:p w:rsidR="000B5AAB" w:rsidRPr="00863E1E" w:rsidRDefault="000B5AAB" w:rsidP="000B5AAB">
      <w:pPr>
        <w:pStyle w:val="Para0"/>
      </w:pPr>
      <w:r w:rsidRPr="00863E1E">
        <w:t>The costs associated with the program are primarily associated with:</w:t>
      </w:r>
    </w:p>
    <w:p w:rsidR="000B5AAB" w:rsidRPr="00863E1E" w:rsidRDefault="000B5AAB" w:rsidP="000B5AAB">
      <w:pPr>
        <w:pStyle w:val="Para0bullet"/>
        <w:tabs>
          <w:tab w:val="clear" w:pos="851"/>
          <w:tab w:val="left" w:pos="426"/>
        </w:tabs>
        <w:ind w:left="426" w:hanging="426"/>
      </w:pPr>
      <w:r w:rsidRPr="00863E1E">
        <w:t>Piping and capping capital costs (installation, materials and design);</w:t>
      </w:r>
    </w:p>
    <w:p w:rsidR="000B5AAB" w:rsidRPr="00863E1E" w:rsidRDefault="000B5AAB" w:rsidP="000B5AAB">
      <w:pPr>
        <w:pStyle w:val="Para0bullet"/>
        <w:tabs>
          <w:tab w:val="clear" w:pos="851"/>
          <w:tab w:val="left" w:pos="426"/>
        </w:tabs>
        <w:ind w:left="426" w:hanging="426"/>
      </w:pPr>
      <w:r w:rsidRPr="00863E1E">
        <w:t>Pipe and network operating and maintenance costs; and</w:t>
      </w:r>
    </w:p>
    <w:p w:rsidR="000B5AAB" w:rsidRPr="00863E1E" w:rsidRDefault="000B5AAB" w:rsidP="000B5AAB">
      <w:pPr>
        <w:pStyle w:val="Para0bullet"/>
        <w:tabs>
          <w:tab w:val="clear" w:pos="851"/>
          <w:tab w:val="left" w:pos="426"/>
        </w:tabs>
        <w:ind w:left="426" w:hanging="426"/>
      </w:pPr>
      <w:r w:rsidRPr="00863E1E">
        <w:t>Education and support programs.</w:t>
      </w:r>
    </w:p>
    <w:p w:rsidR="000B5AAB" w:rsidRPr="00863E1E" w:rsidRDefault="000B5AAB" w:rsidP="000B5AAB">
      <w:pPr>
        <w:pStyle w:val="Para0"/>
      </w:pPr>
      <w:r w:rsidRPr="00863E1E">
        <w:t>The major costs involved with the GABSI program are the capital works, with operation and maintenance costs being the responsibility of the landowners.</w:t>
      </w:r>
    </w:p>
    <w:p w:rsidR="000B5AAB" w:rsidRPr="00863E1E" w:rsidRDefault="000B5AAB" w:rsidP="000B5AAB">
      <w:pPr>
        <w:pStyle w:val="Para0"/>
      </w:pPr>
      <w:r w:rsidRPr="00863E1E">
        <w:t>GABSI implementation costs are shared between the Commonwealth Government, the jurisdictions, and landowners. Funding arrangements vary between States. For example, in GABSI</w:t>
      </w:r>
      <w:r w:rsidR="0029164D">
        <w:t xml:space="preserve"> </w:t>
      </w:r>
      <w:r w:rsidRPr="00863E1E">
        <w:t>3, Queensland landholder contributions were approximately 20% for bore rehabilitation and 40% for drain replacement and NSW landholder contributions were 20% for bore rehabilitation and between 30% and 60% for drain replacement (depending on zone). Landholders in South Australia are not required to contribute financially to any capital works</w:t>
      </w:r>
      <w:r w:rsidR="0029164D">
        <w:t xml:space="preserve"> (however landholders did contribute in Phase 1)</w:t>
      </w:r>
      <w:r w:rsidRPr="00863E1E">
        <w:t xml:space="preserve">. The following table summarises </w:t>
      </w:r>
      <w:r w:rsidR="00D37D93">
        <w:t>government</w:t>
      </w:r>
      <w:r w:rsidRPr="00863E1E">
        <w:t xml:space="preserve"> expenditure </w:t>
      </w:r>
      <w:r w:rsidR="00D37D93">
        <w:t>on GABSI across the three phases</w:t>
      </w:r>
      <w:r w:rsidRPr="00863E1E">
        <w:t xml:space="preserve">. </w:t>
      </w:r>
    </w:p>
    <w:p w:rsidR="0007513D" w:rsidRDefault="0007513D" w:rsidP="0007513D">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1</w:t>
      </w:r>
      <w:r w:rsidR="006768F1">
        <w:fldChar w:fldCharType="end"/>
      </w:r>
      <w:r w:rsidRPr="00863E1E">
        <w:t>: Funding over the three phases of GABSI</w:t>
      </w:r>
      <w:r w:rsidR="002B188C" w:rsidRPr="00863E1E">
        <w:t xml:space="preserve"> (nominal $)</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619"/>
        <w:gridCol w:w="1677"/>
        <w:gridCol w:w="1677"/>
        <w:gridCol w:w="1677"/>
        <w:gridCol w:w="1677"/>
        <w:gridCol w:w="1596"/>
      </w:tblGrid>
      <w:tr w:rsidR="00F669FB" w:rsidRPr="00863E1E" w:rsidTr="002E4907">
        <w:trPr>
          <w:cantSplit/>
          <w:tblHeader/>
        </w:trPr>
        <w:tc>
          <w:tcPr>
            <w:tcW w:w="816" w:type="pct"/>
            <w:shd w:val="clear" w:color="auto" w:fill="5185C0"/>
            <w:vAlign w:val="bottom"/>
          </w:tcPr>
          <w:p w:rsidR="00102107" w:rsidRPr="00863E1E" w:rsidRDefault="00102107" w:rsidP="00102107">
            <w:pPr>
              <w:pStyle w:val="Tablesmallheading"/>
            </w:pPr>
            <w:r w:rsidRPr="00863E1E">
              <w:t>Funding source</w:t>
            </w:r>
          </w:p>
        </w:tc>
        <w:tc>
          <w:tcPr>
            <w:tcW w:w="845" w:type="pct"/>
            <w:shd w:val="clear" w:color="auto" w:fill="5185C0"/>
            <w:vAlign w:val="center"/>
          </w:tcPr>
          <w:p w:rsidR="00102107" w:rsidRPr="00863E1E" w:rsidRDefault="00102107" w:rsidP="00102107">
            <w:pPr>
              <w:pStyle w:val="Tablesmallheading"/>
              <w:jc w:val="center"/>
            </w:pPr>
            <w:r w:rsidRPr="00863E1E">
              <w:t>Phase 1 (1999/2000 – 2003/2004)</w:t>
            </w:r>
          </w:p>
        </w:tc>
        <w:tc>
          <w:tcPr>
            <w:tcW w:w="845" w:type="pct"/>
            <w:shd w:val="clear" w:color="auto" w:fill="5185C0"/>
            <w:vAlign w:val="center"/>
          </w:tcPr>
          <w:p w:rsidR="00102107" w:rsidRPr="00863E1E" w:rsidRDefault="00102107" w:rsidP="00102107">
            <w:pPr>
              <w:pStyle w:val="Tablesmallheading"/>
              <w:jc w:val="center"/>
            </w:pPr>
            <w:r w:rsidRPr="00863E1E">
              <w:t>Phase 2 (2004/2005 – 2008/2009)</w:t>
            </w:r>
          </w:p>
        </w:tc>
        <w:tc>
          <w:tcPr>
            <w:tcW w:w="845" w:type="pct"/>
            <w:shd w:val="clear" w:color="auto" w:fill="5185C0"/>
            <w:vAlign w:val="center"/>
          </w:tcPr>
          <w:p w:rsidR="00102107" w:rsidRPr="00863E1E" w:rsidRDefault="00102107" w:rsidP="00102107">
            <w:pPr>
              <w:pStyle w:val="Tablesmallheading"/>
              <w:jc w:val="center"/>
            </w:pPr>
            <w:r w:rsidRPr="00863E1E">
              <w:t>Phase 3 (2009/2010 – 2012/2013)</w:t>
            </w:r>
          </w:p>
        </w:tc>
        <w:tc>
          <w:tcPr>
            <w:tcW w:w="845" w:type="pct"/>
            <w:shd w:val="clear" w:color="auto" w:fill="5185C0"/>
            <w:vAlign w:val="center"/>
          </w:tcPr>
          <w:p w:rsidR="00102107" w:rsidRPr="00863E1E" w:rsidRDefault="00102107" w:rsidP="00102107">
            <w:pPr>
              <w:pStyle w:val="Tablesmallheading"/>
              <w:jc w:val="center"/>
            </w:pPr>
            <w:r w:rsidRPr="00863E1E">
              <w:t>Remaining Phase 3 (2013/2014)</w:t>
            </w:r>
          </w:p>
        </w:tc>
        <w:tc>
          <w:tcPr>
            <w:tcW w:w="804" w:type="pct"/>
            <w:shd w:val="clear" w:color="auto" w:fill="5185C0"/>
            <w:vAlign w:val="center"/>
          </w:tcPr>
          <w:p w:rsidR="00102107" w:rsidRPr="00863E1E" w:rsidRDefault="00102107" w:rsidP="00102107">
            <w:pPr>
              <w:pStyle w:val="Tablesmallheading"/>
              <w:jc w:val="center"/>
            </w:pPr>
            <w:r w:rsidRPr="00863E1E">
              <w:t>Total</w:t>
            </w:r>
          </w:p>
        </w:tc>
      </w:tr>
      <w:tr w:rsidR="009A6312" w:rsidRPr="00863E1E" w:rsidTr="00EA27F0">
        <w:trPr>
          <w:cantSplit/>
        </w:trPr>
        <w:tc>
          <w:tcPr>
            <w:tcW w:w="816" w:type="pct"/>
          </w:tcPr>
          <w:p w:rsidR="009A6312" w:rsidRPr="00863E1E" w:rsidRDefault="009A6312" w:rsidP="00102107">
            <w:pPr>
              <w:pStyle w:val="Tablesmalltext"/>
            </w:pPr>
            <w:r w:rsidRPr="00863E1E">
              <w:t>Commonwealth</w:t>
            </w:r>
          </w:p>
        </w:tc>
        <w:tc>
          <w:tcPr>
            <w:tcW w:w="845" w:type="pct"/>
            <w:vAlign w:val="center"/>
          </w:tcPr>
          <w:p w:rsidR="009A6312" w:rsidRPr="00863E1E" w:rsidRDefault="009A6312" w:rsidP="00102107">
            <w:pPr>
              <w:pStyle w:val="Tablesmalltext"/>
              <w:jc w:val="center"/>
            </w:pPr>
            <w:r>
              <w:t>28.39</w:t>
            </w:r>
          </w:p>
        </w:tc>
        <w:tc>
          <w:tcPr>
            <w:tcW w:w="845" w:type="pct"/>
            <w:vAlign w:val="center"/>
          </w:tcPr>
          <w:p w:rsidR="009A6312" w:rsidRPr="00863E1E" w:rsidRDefault="009A6312" w:rsidP="00102107">
            <w:pPr>
              <w:pStyle w:val="Tablesmalltext"/>
              <w:jc w:val="center"/>
            </w:pPr>
            <w:r>
              <w:t>39.89</w:t>
            </w:r>
          </w:p>
        </w:tc>
        <w:tc>
          <w:tcPr>
            <w:tcW w:w="845" w:type="pct"/>
            <w:vAlign w:val="center"/>
          </w:tcPr>
          <w:p w:rsidR="009A6312" w:rsidRPr="00863E1E" w:rsidRDefault="009A6312" w:rsidP="009A6312">
            <w:pPr>
              <w:pStyle w:val="Tablesmalltext"/>
              <w:jc w:val="center"/>
            </w:pPr>
            <w:r>
              <w:t>30.95</w:t>
            </w:r>
          </w:p>
        </w:tc>
        <w:tc>
          <w:tcPr>
            <w:tcW w:w="845" w:type="pct"/>
            <w:vAlign w:val="center"/>
          </w:tcPr>
          <w:p w:rsidR="009A6312" w:rsidRPr="00863E1E" w:rsidRDefault="009A6312" w:rsidP="00102107">
            <w:pPr>
              <w:pStyle w:val="Tablesmalltext"/>
              <w:jc w:val="center"/>
            </w:pPr>
            <w:r>
              <w:t>15.83</w:t>
            </w:r>
          </w:p>
        </w:tc>
        <w:tc>
          <w:tcPr>
            <w:tcW w:w="804" w:type="pct"/>
          </w:tcPr>
          <w:p w:rsidR="009A6312" w:rsidRPr="009A6312" w:rsidRDefault="009A6312" w:rsidP="009A6312">
            <w:pPr>
              <w:pStyle w:val="Tablesmalltext"/>
              <w:jc w:val="center"/>
              <w:rPr>
                <w:b/>
              </w:rPr>
            </w:pPr>
            <w:r w:rsidRPr="009A6312">
              <w:rPr>
                <w:b/>
              </w:rPr>
              <w:t>115.06</w:t>
            </w:r>
          </w:p>
        </w:tc>
      </w:tr>
      <w:tr w:rsidR="009A6312" w:rsidRPr="00863E1E" w:rsidTr="00EA27F0">
        <w:trPr>
          <w:cantSplit/>
        </w:trPr>
        <w:tc>
          <w:tcPr>
            <w:tcW w:w="816" w:type="pct"/>
          </w:tcPr>
          <w:p w:rsidR="009A6312" w:rsidRPr="00863E1E" w:rsidRDefault="009A6312" w:rsidP="00102107">
            <w:pPr>
              <w:pStyle w:val="Tablesmalltext"/>
            </w:pPr>
            <w:r w:rsidRPr="00863E1E">
              <w:t>South Australia</w:t>
            </w:r>
          </w:p>
        </w:tc>
        <w:tc>
          <w:tcPr>
            <w:tcW w:w="845" w:type="pct"/>
            <w:vAlign w:val="center"/>
          </w:tcPr>
          <w:p w:rsidR="009A6312" w:rsidRPr="00863E1E" w:rsidRDefault="009A6312" w:rsidP="00102107">
            <w:pPr>
              <w:pStyle w:val="Tablesmalltext"/>
              <w:jc w:val="center"/>
            </w:pPr>
            <w:r>
              <w:t>1.75</w:t>
            </w:r>
          </w:p>
        </w:tc>
        <w:tc>
          <w:tcPr>
            <w:tcW w:w="845" w:type="pct"/>
            <w:vAlign w:val="center"/>
          </w:tcPr>
          <w:p w:rsidR="009A6312" w:rsidRPr="00863E1E" w:rsidRDefault="009A6312" w:rsidP="00102107">
            <w:pPr>
              <w:pStyle w:val="Tablesmalltext"/>
              <w:jc w:val="center"/>
            </w:pPr>
            <w:r>
              <w:t>0.20</w:t>
            </w:r>
          </w:p>
        </w:tc>
        <w:tc>
          <w:tcPr>
            <w:tcW w:w="845" w:type="pct"/>
            <w:vAlign w:val="center"/>
          </w:tcPr>
          <w:p w:rsidR="009A6312" w:rsidRPr="00863E1E" w:rsidRDefault="009A6312" w:rsidP="00102107">
            <w:pPr>
              <w:pStyle w:val="Tablesmalltext"/>
              <w:jc w:val="center"/>
            </w:pPr>
            <w:r>
              <w:t>2.25</w:t>
            </w:r>
          </w:p>
        </w:tc>
        <w:tc>
          <w:tcPr>
            <w:tcW w:w="845" w:type="pct"/>
            <w:vAlign w:val="center"/>
          </w:tcPr>
          <w:p w:rsidR="009A6312" w:rsidRPr="00863E1E" w:rsidRDefault="009A6312" w:rsidP="00102107">
            <w:pPr>
              <w:pStyle w:val="Tablesmalltext"/>
              <w:jc w:val="center"/>
            </w:pPr>
            <w:r>
              <w:t>1.60</w:t>
            </w:r>
          </w:p>
        </w:tc>
        <w:tc>
          <w:tcPr>
            <w:tcW w:w="804" w:type="pct"/>
          </w:tcPr>
          <w:p w:rsidR="009A6312" w:rsidRPr="009A6312" w:rsidRDefault="009A6312" w:rsidP="009A6312">
            <w:pPr>
              <w:pStyle w:val="Tablesmalltext"/>
              <w:jc w:val="center"/>
              <w:rPr>
                <w:b/>
              </w:rPr>
            </w:pPr>
            <w:r w:rsidRPr="009A6312">
              <w:rPr>
                <w:b/>
              </w:rPr>
              <w:t>5.8</w:t>
            </w:r>
          </w:p>
        </w:tc>
      </w:tr>
      <w:tr w:rsidR="009A6312" w:rsidRPr="00863E1E" w:rsidTr="00EA27F0">
        <w:trPr>
          <w:cantSplit/>
        </w:trPr>
        <w:tc>
          <w:tcPr>
            <w:tcW w:w="816" w:type="pct"/>
          </w:tcPr>
          <w:p w:rsidR="009A6312" w:rsidRPr="00863E1E" w:rsidRDefault="009A6312" w:rsidP="00102107">
            <w:pPr>
              <w:pStyle w:val="Tablesmalltext"/>
            </w:pPr>
            <w:r w:rsidRPr="00863E1E">
              <w:t>New South Wales</w:t>
            </w:r>
          </w:p>
        </w:tc>
        <w:tc>
          <w:tcPr>
            <w:tcW w:w="845" w:type="pct"/>
            <w:vAlign w:val="center"/>
          </w:tcPr>
          <w:p w:rsidR="009A6312" w:rsidRPr="00863E1E" w:rsidRDefault="009A6312" w:rsidP="00102107">
            <w:pPr>
              <w:pStyle w:val="Tablesmalltext"/>
              <w:jc w:val="center"/>
            </w:pPr>
            <w:r>
              <w:t>12.34</w:t>
            </w:r>
          </w:p>
        </w:tc>
        <w:tc>
          <w:tcPr>
            <w:tcW w:w="845" w:type="pct"/>
            <w:vAlign w:val="center"/>
          </w:tcPr>
          <w:p w:rsidR="009A6312" w:rsidRPr="00863E1E" w:rsidRDefault="009A6312" w:rsidP="00102107">
            <w:pPr>
              <w:pStyle w:val="Tablesmalltext"/>
              <w:jc w:val="center"/>
            </w:pPr>
            <w:r>
              <w:t>15.79</w:t>
            </w:r>
          </w:p>
        </w:tc>
        <w:tc>
          <w:tcPr>
            <w:tcW w:w="845" w:type="pct"/>
            <w:vAlign w:val="center"/>
          </w:tcPr>
          <w:p w:rsidR="009A6312" w:rsidRPr="00863E1E" w:rsidRDefault="009A6312" w:rsidP="00102107">
            <w:pPr>
              <w:pStyle w:val="Tablesmalltext"/>
              <w:jc w:val="center"/>
            </w:pPr>
            <w:r>
              <w:t>13.00</w:t>
            </w:r>
          </w:p>
        </w:tc>
        <w:tc>
          <w:tcPr>
            <w:tcW w:w="845" w:type="pct"/>
            <w:vAlign w:val="center"/>
          </w:tcPr>
          <w:p w:rsidR="009A6312" w:rsidRPr="00863E1E" w:rsidRDefault="009A6312" w:rsidP="00102107">
            <w:pPr>
              <w:pStyle w:val="Tablesmalltext"/>
              <w:jc w:val="center"/>
            </w:pPr>
            <w:r>
              <w:t>7.40</w:t>
            </w:r>
          </w:p>
        </w:tc>
        <w:tc>
          <w:tcPr>
            <w:tcW w:w="804" w:type="pct"/>
          </w:tcPr>
          <w:p w:rsidR="009A6312" w:rsidRPr="009A6312" w:rsidRDefault="009A6312" w:rsidP="009A6312">
            <w:pPr>
              <w:pStyle w:val="Tablesmalltext"/>
              <w:jc w:val="center"/>
              <w:rPr>
                <w:b/>
              </w:rPr>
            </w:pPr>
            <w:r w:rsidRPr="009A6312">
              <w:rPr>
                <w:b/>
              </w:rPr>
              <w:t>48.53</w:t>
            </w:r>
          </w:p>
        </w:tc>
      </w:tr>
      <w:tr w:rsidR="009A6312" w:rsidRPr="00863E1E" w:rsidTr="00EA27F0">
        <w:trPr>
          <w:cantSplit/>
        </w:trPr>
        <w:tc>
          <w:tcPr>
            <w:tcW w:w="816" w:type="pct"/>
          </w:tcPr>
          <w:p w:rsidR="009A6312" w:rsidRPr="00863E1E" w:rsidRDefault="009A6312" w:rsidP="00102107">
            <w:pPr>
              <w:pStyle w:val="Tablesmalltext"/>
            </w:pPr>
            <w:r w:rsidRPr="00863E1E">
              <w:t>Queensland</w:t>
            </w:r>
          </w:p>
        </w:tc>
        <w:tc>
          <w:tcPr>
            <w:tcW w:w="845" w:type="pct"/>
            <w:vAlign w:val="center"/>
          </w:tcPr>
          <w:p w:rsidR="009A6312" w:rsidRPr="00863E1E" w:rsidRDefault="009A6312" w:rsidP="00102107">
            <w:pPr>
              <w:pStyle w:val="Tablesmalltext"/>
              <w:jc w:val="center"/>
            </w:pPr>
            <w:r>
              <w:t>13.23</w:t>
            </w:r>
          </w:p>
        </w:tc>
        <w:tc>
          <w:tcPr>
            <w:tcW w:w="845" w:type="pct"/>
            <w:vAlign w:val="center"/>
          </w:tcPr>
          <w:p w:rsidR="009A6312" w:rsidRPr="00863E1E" w:rsidRDefault="009A6312" w:rsidP="00102107">
            <w:pPr>
              <w:pStyle w:val="Tablesmalltext"/>
              <w:jc w:val="center"/>
            </w:pPr>
            <w:r>
              <w:t>23.88</w:t>
            </w:r>
          </w:p>
        </w:tc>
        <w:tc>
          <w:tcPr>
            <w:tcW w:w="845" w:type="pct"/>
            <w:vAlign w:val="center"/>
          </w:tcPr>
          <w:p w:rsidR="009A6312" w:rsidRPr="00863E1E" w:rsidRDefault="009A6312" w:rsidP="00102107">
            <w:pPr>
              <w:pStyle w:val="Tablesmalltext"/>
              <w:jc w:val="center"/>
            </w:pPr>
            <w:r>
              <w:t>16.49</w:t>
            </w:r>
          </w:p>
        </w:tc>
        <w:tc>
          <w:tcPr>
            <w:tcW w:w="845" w:type="pct"/>
            <w:vAlign w:val="center"/>
          </w:tcPr>
          <w:p w:rsidR="009A6312" w:rsidRPr="00863E1E" w:rsidRDefault="009A6312" w:rsidP="00102107">
            <w:pPr>
              <w:pStyle w:val="Tablesmalltext"/>
              <w:jc w:val="center"/>
            </w:pPr>
            <w:r>
              <w:t>6.83</w:t>
            </w:r>
          </w:p>
        </w:tc>
        <w:tc>
          <w:tcPr>
            <w:tcW w:w="804" w:type="pct"/>
          </w:tcPr>
          <w:p w:rsidR="009A6312" w:rsidRPr="009A6312" w:rsidRDefault="009A6312" w:rsidP="009A6312">
            <w:pPr>
              <w:pStyle w:val="Tablesmalltext"/>
              <w:jc w:val="center"/>
              <w:rPr>
                <w:b/>
              </w:rPr>
            </w:pPr>
            <w:r w:rsidRPr="009A6312">
              <w:rPr>
                <w:b/>
              </w:rPr>
              <w:t>60.43</w:t>
            </w:r>
          </w:p>
        </w:tc>
      </w:tr>
      <w:tr w:rsidR="009A6312" w:rsidRPr="00863E1E" w:rsidTr="009A6312">
        <w:trPr>
          <w:cantSplit/>
        </w:trPr>
        <w:tc>
          <w:tcPr>
            <w:tcW w:w="816" w:type="pct"/>
          </w:tcPr>
          <w:p w:rsidR="009A6312" w:rsidRPr="00863E1E" w:rsidRDefault="009A6312" w:rsidP="00102107">
            <w:pPr>
              <w:pStyle w:val="Tablesmalltext"/>
              <w:rPr>
                <w:b/>
                <w:i/>
              </w:rPr>
            </w:pPr>
            <w:r w:rsidRPr="00863E1E">
              <w:rPr>
                <w:b/>
                <w:i/>
              </w:rPr>
              <w:t xml:space="preserve">Total </w:t>
            </w:r>
            <w:r>
              <w:rPr>
                <w:b/>
                <w:i/>
              </w:rPr>
              <w:t>(</w:t>
            </w:r>
            <w:r w:rsidRPr="00863E1E">
              <w:rPr>
                <w:b/>
                <w:i/>
              </w:rPr>
              <w:t>government</w:t>
            </w:r>
            <w:r>
              <w:rPr>
                <w:b/>
                <w:i/>
              </w:rPr>
              <w:t>)</w:t>
            </w:r>
          </w:p>
        </w:tc>
        <w:tc>
          <w:tcPr>
            <w:tcW w:w="845" w:type="pct"/>
            <w:vAlign w:val="center"/>
          </w:tcPr>
          <w:p w:rsidR="009A6312" w:rsidRPr="009A6312" w:rsidRDefault="009A6312" w:rsidP="009A6312">
            <w:pPr>
              <w:pStyle w:val="Tablesmalltext"/>
              <w:jc w:val="center"/>
              <w:rPr>
                <w:b/>
              </w:rPr>
            </w:pPr>
            <w:r w:rsidRPr="009A6312">
              <w:rPr>
                <w:b/>
              </w:rPr>
              <w:t>55.71</w:t>
            </w:r>
          </w:p>
        </w:tc>
        <w:tc>
          <w:tcPr>
            <w:tcW w:w="845" w:type="pct"/>
            <w:vAlign w:val="center"/>
          </w:tcPr>
          <w:p w:rsidR="009A6312" w:rsidRPr="009A6312" w:rsidRDefault="009A6312" w:rsidP="009A6312">
            <w:pPr>
              <w:pStyle w:val="Tablesmalltext"/>
              <w:jc w:val="center"/>
              <w:rPr>
                <w:b/>
              </w:rPr>
            </w:pPr>
            <w:r w:rsidRPr="009A6312">
              <w:rPr>
                <w:b/>
              </w:rPr>
              <w:t>79.76</w:t>
            </w:r>
          </w:p>
        </w:tc>
        <w:tc>
          <w:tcPr>
            <w:tcW w:w="845" w:type="pct"/>
            <w:vAlign w:val="center"/>
          </w:tcPr>
          <w:p w:rsidR="009A6312" w:rsidRPr="009A6312" w:rsidRDefault="009A6312" w:rsidP="009A6312">
            <w:pPr>
              <w:pStyle w:val="Tablesmalltext"/>
              <w:jc w:val="center"/>
              <w:rPr>
                <w:b/>
              </w:rPr>
            </w:pPr>
            <w:r w:rsidRPr="009A6312">
              <w:rPr>
                <w:b/>
              </w:rPr>
              <w:t>62.69</w:t>
            </w:r>
          </w:p>
        </w:tc>
        <w:tc>
          <w:tcPr>
            <w:tcW w:w="845" w:type="pct"/>
            <w:vAlign w:val="center"/>
          </w:tcPr>
          <w:p w:rsidR="009A6312" w:rsidRPr="009A6312" w:rsidRDefault="009A6312" w:rsidP="009A6312">
            <w:pPr>
              <w:pStyle w:val="Tablesmalltext"/>
              <w:jc w:val="center"/>
              <w:rPr>
                <w:b/>
              </w:rPr>
            </w:pPr>
            <w:r w:rsidRPr="009A6312">
              <w:rPr>
                <w:b/>
              </w:rPr>
              <w:t>31.66</w:t>
            </w:r>
          </w:p>
        </w:tc>
        <w:tc>
          <w:tcPr>
            <w:tcW w:w="804" w:type="pct"/>
            <w:vAlign w:val="center"/>
          </w:tcPr>
          <w:p w:rsidR="009A6312" w:rsidRPr="009A6312" w:rsidRDefault="009A6312" w:rsidP="009A6312">
            <w:pPr>
              <w:pStyle w:val="Tablesmalltext"/>
              <w:jc w:val="center"/>
              <w:rPr>
                <w:b/>
                <w:i/>
              </w:rPr>
            </w:pPr>
            <w:r w:rsidRPr="009A6312">
              <w:rPr>
                <w:b/>
                <w:i/>
              </w:rPr>
              <w:t>229.82</w:t>
            </w:r>
          </w:p>
        </w:tc>
      </w:tr>
    </w:tbl>
    <w:p w:rsidR="0007513D" w:rsidRPr="00863E1E" w:rsidRDefault="00E123ED" w:rsidP="00E123ED">
      <w:pPr>
        <w:pStyle w:val="Heading2"/>
      </w:pPr>
      <w:bookmarkStart w:id="11" w:name="_Toc378163297"/>
      <w:r w:rsidRPr="00863E1E">
        <w:t>Achievements</w:t>
      </w:r>
      <w:bookmarkEnd w:id="11"/>
    </w:p>
    <w:p w:rsidR="00F40B4B" w:rsidRPr="00863E1E" w:rsidRDefault="00F40B4B" w:rsidP="00F40B4B">
      <w:pPr>
        <w:pStyle w:val="Para0"/>
      </w:pPr>
      <w:r w:rsidRPr="00863E1E">
        <w:t>GABSI achievements are typically summarised as works completed and water saved. These results are based on annual reports provided by the GABCC</w:t>
      </w:r>
      <w:r w:rsidR="00080BDD">
        <w:t xml:space="preserve"> and input from jurisdictions</w:t>
      </w:r>
      <w:r w:rsidRPr="00863E1E">
        <w:t>.</w:t>
      </w:r>
      <w:r w:rsidR="00583D8B">
        <w:t xml:space="preserve"> </w:t>
      </w:r>
      <w:r w:rsidRPr="00863E1E">
        <w:t>The tables below summarise the key achievements under GABSI to date in terms of works undertaken in each of the jurisdictions.</w:t>
      </w:r>
      <w:r w:rsidR="00824349">
        <w:t xml:space="preserve"> Note that these tables are based on actual works completed (i.e. up to June 2013 for Phase 3, excluding potential 2013/14 works).</w:t>
      </w:r>
      <w:r w:rsidR="00080BDD">
        <w:rPr>
          <w:rStyle w:val="FootnoteReference"/>
        </w:rPr>
        <w:footnoteReference w:id="3"/>
      </w:r>
    </w:p>
    <w:p w:rsidR="00F40B4B" w:rsidRDefault="00F40B4B" w:rsidP="00F40B4B">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2</w:t>
      </w:r>
      <w:r w:rsidR="006768F1">
        <w:fldChar w:fldCharType="end"/>
      </w:r>
      <w:r w:rsidRPr="00863E1E">
        <w:t>: Number of bores controlled</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702"/>
        <w:gridCol w:w="1701"/>
        <w:gridCol w:w="1701"/>
        <w:gridCol w:w="1701"/>
        <w:gridCol w:w="1701"/>
        <w:gridCol w:w="1417"/>
      </w:tblGrid>
      <w:tr w:rsidR="00F669FB" w:rsidRPr="00863E1E" w:rsidTr="003001DF">
        <w:trPr>
          <w:cantSplit/>
          <w:tblHeader/>
        </w:trPr>
        <w:tc>
          <w:tcPr>
            <w:tcW w:w="858" w:type="pct"/>
            <w:shd w:val="clear" w:color="auto" w:fill="5185C0"/>
            <w:vAlign w:val="bottom"/>
          </w:tcPr>
          <w:p w:rsidR="00102107" w:rsidRPr="00863E1E" w:rsidRDefault="00102107" w:rsidP="00102107">
            <w:pPr>
              <w:pStyle w:val="Tablesmallheading"/>
            </w:pPr>
            <w:r w:rsidRPr="00863E1E">
              <w:t>State</w:t>
            </w:r>
          </w:p>
        </w:tc>
        <w:tc>
          <w:tcPr>
            <w:tcW w:w="857" w:type="pct"/>
            <w:shd w:val="clear" w:color="auto" w:fill="5185C0"/>
            <w:vAlign w:val="center"/>
          </w:tcPr>
          <w:p w:rsidR="00102107" w:rsidRPr="00863E1E" w:rsidRDefault="00102107" w:rsidP="00102107">
            <w:pPr>
              <w:pStyle w:val="Tablesmallheading"/>
              <w:jc w:val="center"/>
            </w:pPr>
            <w:r w:rsidRPr="00863E1E">
              <w:t>Bores controlled pre GABSI (prior to July 1999)</w:t>
            </w:r>
          </w:p>
        </w:tc>
        <w:tc>
          <w:tcPr>
            <w:tcW w:w="857" w:type="pct"/>
            <w:shd w:val="clear" w:color="auto" w:fill="5185C0"/>
            <w:vAlign w:val="center"/>
          </w:tcPr>
          <w:p w:rsidR="00102107" w:rsidRPr="00863E1E" w:rsidRDefault="00102107" w:rsidP="00102107">
            <w:pPr>
              <w:pStyle w:val="Tablesmallheading"/>
              <w:jc w:val="center"/>
            </w:pPr>
            <w:r w:rsidRPr="00863E1E">
              <w:t>Bores controlled under GABSI Phase 1</w:t>
            </w:r>
          </w:p>
        </w:tc>
        <w:tc>
          <w:tcPr>
            <w:tcW w:w="857" w:type="pct"/>
            <w:shd w:val="clear" w:color="auto" w:fill="5185C0"/>
            <w:vAlign w:val="center"/>
          </w:tcPr>
          <w:p w:rsidR="00102107" w:rsidRPr="00863E1E" w:rsidRDefault="00102107" w:rsidP="00102107">
            <w:pPr>
              <w:pStyle w:val="Tablesmallheading"/>
              <w:jc w:val="center"/>
            </w:pPr>
            <w:r w:rsidRPr="00863E1E">
              <w:t>Bores controlled under GABSI Phase 2</w:t>
            </w:r>
          </w:p>
        </w:tc>
        <w:tc>
          <w:tcPr>
            <w:tcW w:w="857" w:type="pct"/>
            <w:shd w:val="clear" w:color="auto" w:fill="5185C0"/>
            <w:vAlign w:val="center"/>
          </w:tcPr>
          <w:p w:rsidR="00102107" w:rsidRPr="00863E1E" w:rsidRDefault="00102107" w:rsidP="00102107">
            <w:pPr>
              <w:pStyle w:val="Tablesmallheading"/>
              <w:jc w:val="center"/>
            </w:pPr>
            <w:r w:rsidRPr="00863E1E">
              <w:t>Bores controlled under GABSI Phase 3</w:t>
            </w:r>
            <w:r>
              <w:t xml:space="preserve"> (up to June 2013)</w:t>
            </w:r>
          </w:p>
        </w:tc>
        <w:tc>
          <w:tcPr>
            <w:tcW w:w="715" w:type="pct"/>
            <w:shd w:val="clear" w:color="auto" w:fill="5185C0"/>
            <w:vAlign w:val="center"/>
          </w:tcPr>
          <w:p w:rsidR="00102107" w:rsidRPr="00863E1E" w:rsidRDefault="00430674" w:rsidP="00430674">
            <w:pPr>
              <w:pStyle w:val="Tablesmallheading"/>
              <w:jc w:val="center"/>
            </w:pPr>
            <w:r>
              <w:t>TOTAL bores controlled under GABSI</w:t>
            </w:r>
          </w:p>
        </w:tc>
      </w:tr>
      <w:tr w:rsidR="00102107" w:rsidRPr="00863E1E" w:rsidTr="003001DF">
        <w:trPr>
          <w:cantSplit/>
        </w:trPr>
        <w:tc>
          <w:tcPr>
            <w:tcW w:w="858" w:type="pct"/>
          </w:tcPr>
          <w:p w:rsidR="00102107" w:rsidRPr="00863E1E" w:rsidRDefault="00102107" w:rsidP="00102107">
            <w:pPr>
              <w:pStyle w:val="Tablesmalltext"/>
            </w:pPr>
            <w:r w:rsidRPr="00863E1E">
              <w:t>South Australia</w:t>
            </w:r>
          </w:p>
        </w:tc>
        <w:tc>
          <w:tcPr>
            <w:tcW w:w="857" w:type="pct"/>
            <w:vAlign w:val="center"/>
          </w:tcPr>
          <w:p w:rsidR="00102107" w:rsidRPr="00863E1E" w:rsidRDefault="00102107" w:rsidP="00102107">
            <w:pPr>
              <w:pStyle w:val="Tablesmalltext"/>
              <w:jc w:val="center"/>
            </w:pPr>
            <w:r w:rsidRPr="00863E1E">
              <w:t>230</w:t>
            </w:r>
          </w:p>
        </w:tc>
        <w:tc>
          <w:tcPr>
            <w:tcW w:w="857" w:type="pct"/>
            <w:vAlign w:val="center"/>
          </w:tcPr>
          <w:p w:rsidR="00102107" w:rsidRPr="00863E1E" w:rsidRDefault="00102107" w:rsidP="00102107">
            <w:pPr>
              <w:pStyle w:val="Tablesmalltext"/>
              <w:jc w:val="center"/>
            </w:pPr>
            <w:r w:rsidRPr="00863E1E">
              <w:t>10</w:t>
            </w:r>
          </w:p>
        </w:tc>
        <w:tc>
          <w:tcPr>
            <w:tcW w:w="857" w:type="pct"/>
            <w:vAlign w:val="center"/>
          </w:tcPr>
          <w:p w:rsidR="00102107" w:rsidRPr="00863E1E" w:rsidRDefault="00102107" w:rsidP="00102107">
            <w:pPr>
              <w:pStyle w:val="Tablesmalltext"/>
              <w:jc w:val="center"/>
            </w:pPr>
            <w:r w:rsidRPr="00863E1E">
              <w:t>4</w:t>
            </w:r>
          </w:p>
        </w:tc>
        <w:tc>
          <w:tcPr>
            <w:tcW w:w="857" w:type="pct"/>
            <w:vAlign w:val="center"/>
          </w:tcPr>
          <w:p w:rsidR="00102107" w:rsidRPr="00863E1E" w:rsidRDefault="00102107" w:rsidP="00102107">
            <w:pPr>
              <w:pStyle w:val="Tablesmalltext"/>
              <w:jc w:val="center"/>
            </w:pPr>
            <w:r>
              <w:t>8</w:t>
            </w:r>
          </w:p>
        </w:tc>
        <w:tc>
          <w:tcPr>
            <w:tcW w:w="715" w:type="pct"/>
            <w:vAlign w:val="center"/>
          </w:tcPr>
          <w:p w:rsidR="00102107" w:rsidRPr="00D37D93" w:rsidRDefault="00430674" w:rsidP="00102107">
            <w:pPr>
              <w:pStyle w:val="Tablesmalltext"/>
              <w:jc w:val="center"/>
              <w:rPr>
                <w:b/>
              </w:rPr>
            </w:pPr>
            <w:r>
              <w:rPr>
                <w:b/>
              </w:rPr>
              <w:t>22</w:t>
            </w:r>
          </w:p>
        </w:tc>
      </w:tr>
      <w:tr w:rsidR="00102107" w:rsidRPr="00863E1E" w:rsidTr="003001DF">
        <w:trPr>
          <w:cantSplit/>
        </w:trPr>
        <w:tc>
          <w:tcPr>
            <w:tcW w:w="858" w:type="pct"/>
          </w:tcPr>
          <w:p w:rsidR="00102107" w:rsidRPr="00863E1E" w:rsidRDefault="00102107" w:rsidP="00102107">
            <w:pPr>
              <w:pStyle w:val="Tablesmalltext"/>
            </w:pPr>
            <w:r w:rsidRPr="00863E1E">
              <w:t>New South Wales</w:t>
            </w:r>
          </w:p>
        </w:tc>
        <w:tc>
          <w:tcPr>
            <w:tcW w:w="857" w:type="pct"/>
            <w:vAlign w:val="bottom"/>
          </w:tcPr>
          <w:p w:rsidR="00102107" w:rsidRPr="00863E1E" w:rsidRDefault="00102107" w:rsidP="00102107">
            <w:pPr>
              <w:pStyle w:val="Tablesmalltext"/>
              <w:jc w:val="center"/>
            </w:pPr>
            <w:r w:rsidRPr="00863E1E">
              <w:t>86</w:t>
            </w:r>
          </w:p>
        </w:tc>
        <w:tc>
          <w:tcPr>
            <w:tcW w:w="857" w:type="pct"/>
            <w:vAlign w:val="bottom"/>
          </w:tcPr>
          <w:p w:rsidR="00102107" w:rsidRPr="00863E1E" w:rsidRDefault="00102107" w:rsidP="00102107">
            <w:pPr>
              <w:pStyle w:val="Tablesmalltext"/>
              <w:jc w:val="center"/>
            </w:pPr>
            <w:r w:rsidRPr="00863E1E">
              <w:t>111</w:t>
            </w:r>
          </w:p>
        </w:tc>
        <w:tc>
          <w:tcPr>
            <w:tcW w:w="857" w:type="pct"/>
            <w:vAlign w:val="bottom"/>
          </w:tcPr>
          <w:p w:rsidR="00102107" w:rsidRPr="00863E1E" w:rsidRDefault="00102107" w:rsidP="00102107">
            <w:pPr>
              <w:pStyle w:val="Tablesmalltext"/>
              <w:jc w:val="center"/>
            </w:pPr>
            <w:r w:rsidRPr="00863E1E">
              <w:t>117</w:t>
            </w:r>
          </w:p>
        </w:tc>
        <w:tc>
          <w:tcPr>
            <w:tcW w:w="857" w:type="pct"/>
            <w:vAlign w:val="bottom"/>
          </w:tcPr>
          <w:p w:rsidR="00102107" w:rsidRPr="00863E1E" w:rsidRDefault="00102107" w:rsidP="00102107">
            <w:pPr>
              <w:pStyle w:val="Tablesmalltext"/>
              <w:jc w:val="center"/>
            </w:pPr>
            <w:r>
              <w:t>63</w:t>
            </w:r>
          </w:p>
        </w:tc>
        <w:tc>
          <w:tcPr>
            <w:tcW w:w="715" w:type="pct"/>
            <w:vAlign w:val="bottom"/>
          </w:tcPr>
          <w:p w:rsidR="00102107" w:rsidRPr="00D37D93" w:rsidRDefault="00430674" w:rsidP="00102107">
            <w:pPr>
              <w:pStyle w:val="Tablesmalltext"/>
              <w:jc w:val="center"/>
              <w:rPr>
                <w:b/>
              </w:rPr>
            </w:pPr>
            <w:r>
              <w:rPr>
                <w:b/>
              </w:rPr>
              <w:t>291</w:t>
            </w:r>
          </w:p>
        </w:tc>
      </w:tr>
      <w:tr w:rsidR="00102107" w:rsidRPr="00863E1E" w:rsidTr="003001DF">
        <w:trPr>
          <w:cantSplit/>
          <w:trHeight w:val="77"/>
        </w:trPr>
        <w:tc>
          <w:tcPr>
            <w:tcW w:w="858" w:type="pct"/>
          </w:tcPr>
          <w:p w:rsidR="00102107" w:rsidRPr="00863E1E" w:rsidRDefault="00102107" w:rsidP="00102107">
            <w:pPr>
              <w:pStyle w:val="Tablesmalltext"/>
            </w:pPr>
            <w:r w:rsidRPr="00863E1E">
              <w:t>Queensland</w:t>
            </w:r>
          </w:p>
        </w:tc>
        <w:tc>
          <w:tcPr>
            <w:tcW w:w="857" w:type="pct"/>
            <w:vAlign w:val="bottom"/>
          </w:tcPr>
          <w:p w:rsidR="00102107" w:rsidRPr="00863E1E" w:rsidRDefault="00102107" w:rsidP="00102107">
            <w:pPr>
              <w:pStyle w:val="Tablesmalltext"/>
              <w:jc w:val="center"/>
            </w:pPr>
            <w:r w:rsidRPr="00863E1E">
              <w:t>3</w:t>
            </w:r>
            <w:r>
              <w:t>12</w:t>
            </w:r>
          </w:p>
        </w:tc>
        <w:tc>
          <w:tcPr>
            <w:tcW w:w="857" w:type="pct"/>
            <w:vAlign w:val="bottom"/>
          </w:tcPr>
          <w:p w:rsidR="00102107" w:rsidRPr="00863E1E" w:rsidRDefault="00102107" w:rsidP="00102107">
            <w:pPr>
              <w:pStyle w:val="Tablesmalltext"/>
              <w:jc w:val="center"/>
            </w:pPr>
            <w:r w:rsidRPr="00863E1E">
              <w:t>150</w:t>
            </w:r>
          </w:p>
        </w:tc>
        <w:tc>
          <w:tcPr>
            <w:tcW w:w="857" w:type="pct"/>
            <w:vAlign w:val="bottom"/>
          </w:tcPr>
          <w:p w:rsidR="00102107" w:rsidRPr="00863E1E" w:rsidRDefault="00102107" w:rsidP="00102107">
            <w:pPr>
              <w:pStyle w:val="Tablesmalltext"/>
              <w:jc w:val="center"/>
            </w:pPr>
            <w:r w:rsidRPr="00863E1E">
              <w:t>89</w:t>
            </w:r>
          </w:p>
        </w:tc>
        <w:tc>
          <w:tcPr>
            <w:tcW w:w="857" w:type="pct"/>
            <w:vAlign w:val="bottom"/>
          </w:tcPr>
          <w:p w:rsidR="00102107" w:rsidRPr="00863E1E" w:rsidRDefault="00102107" w:rsidP="00102107">
            <w:pPr>
              <w:pStyle w:val="Tablesmalltext"/>
              <w:jc w:val="center"/>
            </w:pPr>
            <w:r>
              <w:t>95</w:t>
            </w:r>
          </w:p>
        </w:tc>
        <w:tc>
          <w:tcPr>
            <w:tcW w:w="715" w:type="pct"/>
            <w:vAlign w:val="bottom"/>
          </w:tcPr>
          <w:p w:rsidR="00102107" w:rsidRPr="00D37D93" w:rsidRDefault="00430674" w:rsidP="00102107">
            <w:pPr>
              <w:pStyle w:val="Tablesmalltext"/>
              <w:jc w:val="center"/>
              <w:rPr>
                <w:b/>
              </w:rPr>
            </w:pPr>
            <w:r>
              <w:rPr>
                <w:b/>
              </w:rPr>
              <w:t>334</w:t>
            </w:r>
          </w:p>
        </w:tc>
      </w:tr>
      <w:tr w:rsidR="00A670A3" w:rsidRPr="00863E1E" w:rsidTr="003001DF">
        <w:trPr>
          <w:cantSplit/>
        </w:trPr>
        <w:tc>
          <w:tcPr>
            <w:tcW w:w="858" w:type="pct"/>
          </w:tcPr>
          <w:p w:rsidR="00A670A3" w:rsidRPr="00863E1E" w:rsidRDefault="00A670A3" w:rsidP="00102107">
            <w:pPr>
              <w:pStyle w:val="Tablesmalltext"/>
              <w:rPr>
                <w:b/>
              </w:rPr>
            </w:pPr>
            <w:r w:rsidRPr="00863E1E">
              <w:rPr>
                <w:b/>
              </w:rPr>
              <w:t>TOTAL</w:t>
            </w:r>
          </w:p>
        </w:tc>
        <w:tc>
          <w:tcPr>
            <w:tcW w:w="857" w:type="pct"/>
            <w:vAlign w:val="center"/>
          </w:tcPr>
          <w:p w:rsidR="00A670A3" w:rsidRPr="00A670A3" w:rsidRDefault="00A670A3" w:rsidP="0044428D">
            <w:pPr>
              <w:pStyle w:val="Tablesmalltext"/>
              <w:jc w:val="center"/>
              <w:rPr>
                <w:b/>
              </w:rPr>
            </w:pPr>
            <w:r w:rsidRPr="00A670A3">
              <w:rPr>
                <w:b/>
              </w:rPr>
              <w:t>628</w:t>
            </w:r>
          </w:p>
        </w:tc>
        <w:tc>
          <w:tcPr>
            <w:tcW w:w="857" w:type="pct"/>
            <w:vAlign w:val="center"/>
          </w:tcPr>
          <w:p w:rsidR="00A670A3" w:rsidRPr="00A670A3" w:rsidRDefault="00A670A3" w:rsidP="0044428D">
            <w:pPr>
              <w:pStyle w:val="Tablesmalltext"/>
              <w:jc w:val="center"/>
              <w:rPr>
                <w:b/>
              </w:rPr>
            </w:pPr>
            <w:r w:rsidRPr="00A670A3">
              <w:rPr>
                <w:b/>
              </w:rPr>
              <w:t>271</w:t>
            </w:r>
          </w:p>
        </w:tc>
        <w:tc>
          <w:tcPr>
            <w:tcW w:w="857" w:type="pct"/>
            <w:vAlign w:val="center"/>
          </w:tcPr>
          <w:p w:rsidR="00A670A3" w:rsidRPr="00A670A3" w:rsidRDefault="00A670A3" w:rsidP="0044428D">
            <w:pPr>
              <w:pStyle w:val="Tablesmalltext"/>
              <w:jc w:val="center"/>
              <w:rPr>
                <w:b/>
              </w:rPr>
            </w:pPr>
            <w:r w:rsidRPr="00A670A3">
              <w:rPr>
                <w:b/>
              </w:rPr>
              <w:t>210</w:t>
            </w:r>
          </w:p>
        </w:tc>
        <w:tc>
          <w:tcPr>
            <w:tcW w:w="857" w:type="pct"/>
            <w:vAlign w:val="center"/>
          </w:tcPr>
          <w:p w:rsidR="00A670A3" w:rsidRPr="00A670A3" w:rsidRDefault="00A670A3" w:rsidP="0044428D">
            <w:pPr>
              <w:pStyle w:val="Tablesmalltext"/>
              <w:jc w:val="center"/>
              <w:rPr>
                <w:b/>
              </w:rPr>
            </w:pPr>
            <w:r w:rsidRPr="00A670A3">
              <w:rPr>
                <w:b/>
              </w:rPr>
              <w:t>166</w:t>
            </w:r>
          </w:p>
        </w:tc>
        <w:tc>
          <w:tcPr>
            <w:tcW w:w="715" w:type="pct"/>
            <w:vAlign w:val="bottom"/>
          </w:tcPr>
          <w:p w:rsidR="00A670A3" w:rsidRPr="00863E1E" w:rsidRDefault="00A670A3" w:rsidP="00102107">
            <w:pPr>
              <w:pStyle w:val="Tablesmalltext"/>
              <w:jc w:val="center"/>
              <w:rPr>
                <w:b/>
              </w:rPr>
            </w:pPr>
            <w:r>
              <w:rPr>
                <w:b/>
              </w:rPr>
              <w:t>647</w:t>
            </w:r>
          </w:p>
        </w:tc>
      </w:tr>
    </w:tbl>
    <w:p w:rsidR="00F40B4B" w:rsidRDefault="00F40B4B" w:rsidP="00F40B4B">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3</w:t>
      </w:r>
      <w:r w:rsidR="006768F1">
        <w:fldChar w:fldCharType="end"/>
      </w:r>
      <w:r w:rsidRPr="00863E1E">
        <w:t>: Kilometres of bore drains deleted</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700"/>
        <w:gridCol w:w="1844"/>
        <w:gridCol w:w="1560"/>
        <w:gridCol w:w="1546"/>
        <w:gridCol w:w="1677"/>
        <w:gridCol w:w="1596"/>
      </w:tblGrid>
      <w:tr w:rsidR="00F669FB" w:rsidRPr="00863E1E" w:rsidTr="002E4907">
        <w:trPr>
          <w:cantSplit/>
          <w:tblHeader/>
        </w:trPr>
        <w:tc>
          <w:tcPr>
            <w:tcW w:w="857" w:type="pct"/>
            <w:shd w:val="clear" w:color="auto" w:fill="5185C0"/>
            <w:vAlign w:val="bottom"/>
          </w:tcPr>
          <w:p w:rsidR="00102107" w:rsidRPr="00863E1E" w:rsidRDefault="00102107" w:rsidP="00102107">
            <w:pPr>
              <w:pStyle w:val="Tablesmallheading"/>
            </w:pPr>
            <w:r w:rsidRPr="00863E1E">
              <w:t>State</w:t>
            </w:r>
          </w:p>
        </w:tc>
        <w:tc>
          <w:tcPr>
            <w:tcW w:w="929" w:type="pct"/>
            <w:shd w:val="clear" w:color="auto" w:fill="5185C0"/>
            <w:vAlign w:val="center"/>
          </w:tcPr>
          <w:p w:rsidR="00102107" w:rsidRPr="00863E1E" w:rsidRDefault="00102107" w:rsidP="00102107">
            <w:pPr>
              <w:pStyle w:val="Tablesmallheading"/>
              <w:jc w:val="center"/>
            </w:pPr>
            <w:r w:rsidRPr="00863E1E">
              <w:t>Bores drains deleted pre GABSI (prior to July 1999)</w:t>
            </w:r>
          </w:p>
        </w:tc>
        <w:tc>
          <w:tcPr>
            <w:tcW w:w="786" w:type="pct"/>
            <w:shd w:val="clear" w:color="auto" w:fill="5185C0"/>
            <w:vAlign w:val="center"/>
          </w:tcPr>
          <w:p w:rsidR="00102107" w:rsidRPr="00863E1E" w:rsidRDefault="00102107" w:rsidP="00102107">
            <w:pPr>
              <w:pStyle w:val="Tablesmallheading"/>
              <w:jc w:val="center"/>
            </w:pPr>
            <w:r w:rsidRPr="00863E1E">
              <w:t>Bores drains deleted under GABSI Phase 1</w:t>
            </w:r>
          </w:p>
        </w:tc>
        <w:tc>
          <w:tcPr>
            <w:tcW w:w="779" w:type="pct"/>
            <w:shd w:val="clear" w:color="auto" w:fill="5185C0"/>
            <w:vAlign w:val="center"/>
          </w:tcPr>
          <w:p w:rsidR="00102107" w:rsidRPr="00863E1E" w:rsidRDefault="00102107" w:rsidP="00102107">
            <w:pPr>
              <w:pStyle w:val="Tablesmallheading"/>
              <w:jc w:val="center"/>
            </w:pPr>
            <w:r w:rsidRPr="00863E1E">
              <w:t>Bores drained deleted under GABSI Phase 2</w:t>
            </w:r>
          </w:p>
        </w:tc>
        <w:tc>
          <w:tcPr>
            <w:tcW w:w="845" w:type="pct"/>
            <w:shd w:val="clear" w:color="auto" w:fill="5185C0"/>
            <w:vAlign w:val="center"/>
          </w:tcPr>
          <w:p w:rsidR="00102107" w:rsidRPr="00863E1E" w:rsidRDefault="00102107" w:rsidP="00102107">
            <w:pPr>
              <w:pStyle w:val="Tablesmallheading"/>
              <w:jc w:val="center"/>
            </w:pPr>
            <w:r w:rsidRPr="00863E1E">
              <w:t>Bores drained deleted under GABSI Phase 3</w:t>
            </w:r>
            <w:r w:rsidR="00BA3F6D">
              <w:t xml:space="preserve"> (up to June 2013)</w:t>
            </w:r>
          </w:p>
        </w:tc>
        <w:tc>
          <w:tcPr>
            <w:tcW w:w="804" w:type="pct"/>
            <w:shd w:val="clear" w:color="auto" w:fill="5185C0"/>
            <w:vAlign w:val="center"/>
          </w:tcPr>
          <w:p w:rsidR="00102107" w:rsidRPr="00863E1E" w:rsidRDefault="00430674" w:rsidP="00430674">
            <w:pPr>
              <w:pStyle w:val="Tablesmallheading"/>
              <w:jc w:val="center"/>
            </w:pPr>
            <w:r>
              <w:t>TOTAL b</w:t>
            </w:r>
            <w:r w:rsidRPr="00863E1E">
              <w:t>ores drained deleted under GABSI</w:t>
            </w:r>
          </w:p>
        </w:tc>
      </w:tr>
      <w:tr w:rsidR="00102107" w:rsidRPr="00863E1E" w:rsidTr="00824349">
        <w:trPr>
          <w:cantSplit/>
        </w:trPr>
        <w:tc>
          <w:tcPr>
            <w:tcW w:w="857" w:type="pct"/>
          </w:tcPr>
          <w:p w:rsidR="00102107" w:rsidRPr="00863E1E" w:rsidRDefault="00102107" w:rsidP="00102107">
            <w:pPr>
              <w:pStyle w:val="Tablesmalltext"/>
            </w:pPr>
            <w:r w:rsidRPr="00863E1E">
              <w:t>South Australia</w:t>
            </w:r>
          </w:p>
        </w:tc>
        <w:tc>
          <w:tcPr>
            <w:tcW w:w="929" w:type="pct"/>
            <w:vAlign w:val="center"/>
          </w:tcPr>
          <w:p w:rsidR="00102107" w:rsidRPr="00863E1E" w:rsidRDefault="00102107" w:rsidP="00102107">
            <w:pPr>
              <w:pStyle w:val="Tablesmalltext"/>
              <w:jc w:val="center"/>
            </w:pPr>
            <w:r w:rsidRPr="00863E1E">
              <w:t>NA</w:t>
            </w:r>
          </w:p>
        </w:tc>
        <w:tc>
          <w:tcPr>
            <w:tcW w:w="786" w:type="pct"/>
            <w:vAlign w:val="center"/>
          </w:tcPr>
          <w:p w:rsidR="00102107" w:rsidRPr="00863E1E" w:rsidRDefault="00102107" w:rsidP="00102107">
            <w:pPr>
              <w:pStyle w:val="Tablesmalltext"/>
              <w:jc w:val="center"/>
            </w:pPr>
            <w:r w:rsidRPr="00863E1E">
              <w:t>185</w:t>
            </w:r>
          </w:p>
        </w:tc>
        <w:tc>
          <w:tcPr>
            <w:tcW w:w="779" w:type="pct"/>
            <w:vAlign w:val="center"/>
          </w:tcPr>
          <w:p w:rsidR="00102107" w:rsidRPr="00863E1E" w:rsidRDefault="00102107" w:rsidP="00102107">
            <w:pPr>
              <w:pStyle w:val="Tablesmalltext"/>
              <w:jc w:val="center"/>
            </w:pPr>
            <w:r w:rsidRPr="00863E1E">
              <w:t>0</w:t>
            </w:r>
          </w:p>
        </w:tc>
        <w:tc>
          <w:tcPr>
            <w:tcW w:w="845" w:type="pct"/>
            <w:vAlign w:val="center"/>
          </w:tcPr>
          <w:p w:rsidR="00102107" w:rsidRPr="00863E1E" w:rsidRDefault="00102107" w:rsidP="00102107">
            <w:pPr>
              <w:pStyle w:val="Tablesmalltext"/>
              <w:jc w:val="center"/>
            </w:pPr>
            <w:r>
              <w:t>11</w:t>
            </w:r>
          </w:p>
        </w:tc>
        <w:tc>
          <w:tcPr>
            <w:tcW w:w="804" w:type="pct"/>
            <w:vAlign w:val="center"/>
          </w:tcPr>
          <w:p w:rsidR="00102107" w:rsidRPr="00D37D93" w:rsidRDefault="00430674" w:rsidP="00102107">
            <w:pPr>
              <w:pStyle w:val="Tablesmalltext"/>
              <w:jc w:val="center"/>
              <w:rPr>
                <w:b/>
              </w:rPr>
            </w:pPr>
            <w:r>
              <w:rPr>
                <w:b/>
              </w:rPr>
              <w:t>196</w:t>
            </w:r>
          </w:p>
        </w:tc>
      </w:tr>
      <w:tr w:rsidR="00102107" w:rsidRPr="00863E1E" w:rsidTr="00824349">
        <w:trPr>
          <w:cantSplit/>
        </w:trPr>
        <w:tc>
          <w:tcPr>
            <w:tcW w:w="857" w:type="pct"/>
          </w:tcPr>
          <w:p w:rsidR="00102107" w:rsidRPr="00863E1E" w:rsidRDefault="00102107" w:rsidP="00102107">
            <w:pPr>
              <w:pStyle w:val="Tablesmalltext"/>
            </w:pPr>
            <w:r w:rsidRPr="00863E1E">
              <w:t>New South Wales</w:t>
            </w:r>
          </w:p>
        </w:tc>
        <w:tc>
          <w:tcPr>
            <w:tcW w:w="929" w:type="pct"/>
            <w:vAlign w:val="bottom"/>
          </w:tcPr>
          <w:p w:rsidR="00102107" w:rsidRPr="00863E1E" w:rsidRDefault="00102107" w:rsidP="00102107">
            <w:pPr>
              <w:pStyle w:val="Tablesmalltext"/>
              <w:jc w:val="center"/>
            </w:pPr>
            <w:r w:rsidRPr="00863E1E">
              <w:t>1,391</w:t>
            </w:r>
          </w:p>
        </w:tc>
        <w:tc>
          <w:tcPr>
            <w:tcW w:w="786" w:type="pct"/>
            <w:vAlign w:val="bottom"/>
          </w:tcPr>
          <w:p w:rsidR="00102107" w:rsidRPr="00863E1E" w:rsidRDefault="00102107" w:rsidP="00102107">
            <w:pPr>
              <w:pStyle w:val="Tablesmalltext"/>
              <w:jc w:val="center"/>
            </w:pPr>
            <w:r w:rsidRPr="00863E1E">
              <w:t>3,409</w:t>
            </w:r>
          </w:p>
        </w:tc>
        <w:tc>
          <w:tcPr>
            <w:tcW w:w="779" w:type="pct"/>
            <w:vAlign w:val="bottom"/>
          </w:tcPr>
          <w:p w:rsidR="00102107" w:rsidRPr="00863E1E" w:rsidRDefault="00102107" w:rsidP="00102107">
            <w:pPr>
              <w:pStyle w:val="Tablesmalltext"/>
              <w:jc w:val="center"/>
            </w:pPr>
            <w:r w:rsidRPr="00863E1E">
              <w:t>3,036</w:t>
            </w:r>
          </w:p>
        </w:tc>
        <w:tc>
          <w:tcPr>
            <w:tcW w:w="845" w:type="pct"/>
            <w:vAlign w:val="bottom"/>
          </w:tcPr>
          <w:p w:rsidR="00102107" w:rsidRPr="00863E1E" w:rsidRDefault="00102107" w:rsidP="00102107">
            <w:pPr>
              <w:pStyle w:val="Tablesmalltext"/>
              <w:jc w:val="center"/>
            </w:pPr>
            <w:r>
              <w:t>1,698</w:t>
            </w:r>
          </w:p>
        </w:tc>
        <w:tc>
          <w:tcPr>
            <w:tcW w:w="804" w:type="pct"/>
            <w:vAlign w:val="bottom"/>
          </w:tcPr>
          <w:p w:rsidR="00102107" w:rsidRPr="00D37D93" w:rsidRDefault="00430674" w:rsidP="00102107">
            <w:pPr>
              <w:pStyle w:val="Tablesmalltext"/>
              <w:jc w:val="center"/>
              <w:rPr>
                <w:b/>
              </w:rPr>
            </w:pPr>
            <w:r>
              <w:rPr>
                <w:b/>
              </w:rPr>
              <w:t>8,143</w:t>
            </w:r>
          </w:p>
        </w:tc>
      </w:tr>
      <w:tr w:rsidR="00102107" w:rsidRPr="00863E1E" w:rsidTr="00824349">
        <w:trPr>
          <w:cantSplit/>
        </w:trPr>
        <w:tc>
          <w:tcPr>
            <w:tcW w:w="857" w:type="pct"/>
          </w:tcPr>
          <w:p w:rsidR="00102107" w:rsidRPr="00863E1E" w:rsidRDefault="00102107" w:rsidP="00102107">
            <w:pPr>
              <w:pStyle w:val="Tablesmalltext"/>
            </w:pPr>
            <w:r w:rsidRPr="00863E1E">
              <w:t>Queensland</w:t>
            </w:r>
          </w:p>
        </w:tc>
        <w:tc>
          <w:tcPr>
            <w:tcW w:w="929" w:type="pct"/>
            <w:vAlign w:val="bottom"/>
          </w:tcPr>
          <w:p w:rsidR="00102107" w:rsidRPr="00863E1E" w:rsidRDefault="00102107" w:rsidP="00102107">
            <w:pPr>
              <w:pStyle w:val="Tablesmalltext"/>
              <w:jc w:val="center"/>
            </w:pPr>
            <w:r w:rsidRPr="00863E1E">
              <w:t>1,843</w:t>
            </w:r>
          </w:p>
        </w:tc>
        <w:tc>
          <w:tcPr>
            <w:tcW w:w="786" w:type="pct"/>
            <w:vAlign w:val="bottom"/>
          </w:tcPr>
          <w:p w:rsidR="00102107" w:rsidRPr="00863E1E" w:rsidRDefault="00102107" w:rsidP="00102107">
            <w:pPr>
              <w:pStyle w:val="Tablesmalltext"/>
              <w:jc w:val="center"/>
            </w:pPr>
            <w:r w:rsidRPr="00863E1E">
              <w:t>4,</w:t>
            </w:r>
            <w:r>
              <w:t>774</w:t>
            </w:r>
          </w:p>
        </w:tc>
        <w:tc>
          <w:tcPr>
            <w:tcW w:w="779" w:type="pct"/>
            <w:vAlign w:val="bottom"/>
          </w:tcPr>
          <w:p w:rsidR="00102107" w:rsidRPr="00863E1E" w:rsidRDefault="00102107" w:rsidP="00102107">
            <w:pPr>
              <w:pStyle w:val="Tablesmalltext"/>
              <w:jc w:val="center"/>
            </w:pPr>
            <w:r>
              <w:t>4,211</w:t>
            </w:r>
          </w:p>
        </w:tc>
        <w:tc>
          <w:tcPr>
            <w:tcW w:w="845" w:type="pct"/>
            <w:vAlign w:val="bottom"/>
          </w:tcPr>
          <w:p w:rsidR="00102107" w:rsidRPr="00863E1E" w:rsidRDefault="00102107" w:rsidP="00102107">
            <w:pPr>
              <w:pStyle w:val="Tablesmalltext"/>
              <w:jc w:val="center"/>
            </w:pPr>
            <w:r>
              <w:t>1,854</w:t>
            </w:r>
          </w:p>
        </w:tc>
        <w:tc>
          <w:tcPr>
            <w:tcW w:w="804" w:type="pct"/>
            <w:vAlign w:val="bottom"/>
          </w:tcPr>
          <w:p w:rsidR="00102107" w:rsidRPr="00D37D93" w:rsidRDefault="00430674" w:rsidP="00102107">
            <w:pPr>
              <w:pStyle w:val="Tablesmalltext"/>
              <w:jc w:val="center"/>
              <w:rPr>
                <w:b/>
              </w:rPr>
            </w:pPr>
            <w:r>
              <w:rPr>
                <w:b/>
              </w:rPr>
              <w:t>10,839</w:t>
            </w:r>
          </w:p>
        </w:tc>
      </w:tr>
      <w:tr w:rsidR="00A670A3" w:rsidRPr="00863E1E" w:rsidTr="00824349">
        <w:trPr>
          <w:cantSplit/>
        </w:trPr>
        <w:tc>
          <w:tcPr>
            <w:tcW w:w="857" w:type="pct"/>
          </w:tcPr>
          <w:p w:rsidR="00A670A3" w:rsidRPr="00863E1E" w:rsidRDefault="00A670A3" w:rsidP="00102107">
            <w:pPr>
              <w:pStyle w:val="Tablesmalltext"/>
              <w:rPr>
                <w:b/>
              </w:rPr>
            </w:pPr>
            <w:r w:rsidRPr="00863E1E">
              <w:rPr>
                <w:b/>
              </w:rPr>
              <w:t>TOTAL</w:t>
            </w:r>
          </w:p>
        </w:tc>
        <w:tc>
          <w:tcPr>
            <w:tcW w:w="929" w:type="pct"/>
            <w:vAlign w:val="center"/>
          </w:tcPr>
          <w:p w:rsidR="00A670A3" w:rsidRPr="00A670A3" w:rsidRDefault="00A670A3" w:rsidP="00A670A3">
            <w:pPr>
              <w:pStyle w:val="Tablesmalltext"/>
              <w:jc w:val="center"/>
              <w:rPr>
                <w:b/>
              </w:rPr>
            </w:pPr>
            <w:r w:rsidRPr="00A670A3">
              <w:rPr>
                <w:b/>
              </w:rPr>
              <w:t>3,234</w:t>
            </w:r>
          </w:p>
        </w:tc>
        <w:tc>
          <w:tcPr>
            <w:tcW w:w="786" w:type="pct"/>
            <w:vAlign w:val="center"/>
          </w:tcPr>
          <w:p w:rsidR="00A670A3" w:rsidRPr="00A670A3" w:rsidRDefault="00A670A3" w:rsidP="00A670A3">
            <w:pPr>
              <w:pStyle w:val="Tablesmalltext"/>
              <w:jc w:val="center"/>
              <w:rPr>
                <w:b/>
              </w:rPr>
            </w:pPr>
            <w:r w:rsidRPr="00A670A3">
              <w:rPr>
                <w:b/>
              </w:rPr>
              <w:t>8,368</w:t>
            </w:r>
          </w:p>
        </w:tc>
        <w:tc>
          <w:tcPr>
            <w:tcW w:w="779" w:type="pct"/>
            <w:vAlign w:val="center"/>
          </w:tcPr>
          <w:p w:rsidR="00A670A3" w:rsidRPr="00A670A3" w:rsidRDefault="00A670A3" w:rsidP="00A670A3">
            <w:pPr>
              <w:pStyle w:val="Tablesmalltext"/>
              <w:jc w:val="center"/>
              <w:rPr>
                <w:b/>
              </w:rPr>
            </w:pPr>
            <w:r w:rsidRPr="00A670A3">
              <w:rPr>
                <w:b/>
              </w:rPr>
              <w:t>7,247</w:t>
            </w:r>
          </w:p>
        </w:tc>
        <w:tc>
          <w:tcPr>
            <w:tcW w:w="845" w:type="pct"/>
            <w:vAlign w:val="center"/>
          </w:tcPr>
          <w:p w:rsidR="00A670A3" w:rsidRPr="00A670A3" w:rsidRDefault="00A670A3" w:rsidP="00A670A3">
            <w:pPr>
              <w:pStyle w:val="Tablesmalltext"/>
              <w:jc w:val="center"/>
              <w:rPr>
                <w:b/>
              </w:rPr>
            </w:pPr>
            <w:r w:rsidRPr="00A670A3">
              <w:rPr>
                <w:b/>
              </w:rPr>
              <w:t>3,563</w:t>
            </w:r>
          </w:p>
        </w:tc>
        <w:tc>
          <w:tcPr>
            <w:tcW w:w="804" w:type="pct"/>
            <w:vAlign w:val="bottom"/>
          </w:tcPr>
          <w:p w:rsidR="00A670A3" w:rsidRPr="00863E1E" w:rsidRDefault="00A670A3" w:rsidP="00102107">
            <w:pPr>
              <w:pStyle w:val="Tablesmalltext"/>
              <w:jc w:val="center"/>
              <w:rPr>
                <w:b/>
              </w:rPr>
            </w:pPr>
            <w:r>
              <w:rPr>
                <w:b/>
              </w:rPr>
              <w:t>19,178</w:t>
            </w:r>
          </w:p>
        </w:tc>
      </w:tr>
    </w:tbl>
    <w:p w:rsidR="00F40B4B" w:rsidRDefault="00F40B4B" w:rsidP="00F40B4B">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4</w:t>
      </w:r>
      <w:r w:rsidR="006768F1">
        <w:fldChar w:fldCharType="end"/>
      </w:r>
      <w:r w:rsidRPr="00863E1E">
        <w:t>: Kilometres of piping installed</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700"/>
        <w:gridCol w:w="1596"/>
        <w:gridCol w:w="1677"/>
        <w:gridCol w:w="1677"/>
        <w:gridCol w:w="1677"/>
        <w:gridCol w:w="1596"/>
      </w:tblGrid>
      <w:tr w:rsidR="00F669FB" w:rsidRPr="00863E1E" w:rsidTr="002E4907">
        <w:trPr>
          <w:cantSplit/>
          <w:tblHeader/>
        </w:trPr>
        <w:tc>
          <w:tcPr>
            <w:tcW w:w="857" w:type="pct"/>
            <w:shd w:val="clear" w:color="auto" w:fill="5185C0"/>
            <w:vAlign w:val="bottom"/>
          </w:tcPr>
          <w:p w:rsidR="00102107" w:rsidRPr="00863E1E" w:rsidRDefault="00102107" w:rsidP="00102107">
            <w:pPr>
              <w:pStyle w:val="Tablesmallheading"/>
            </w:pPr>
            <w:r w:rsidRPr="00863E1E">
              <w:t>State</w:t>
            </w:r>
          </w:p>
        </w:tc>
        <w:tc>
          <w:tcPr>
            <w:tcW w:w="804" w:type="pct"/>
            <w:shd w:val="clear" w:color="auto" w:fill="5185C0"/>
            <w:vAlign w:val="center"/>
          </w:tcPr>
          <w:p w:rsidR="00102107" w:rsidRPr="00863E1E" w:rsidRDefault="00102107" w:rsidP="00102107">
            <w:pPr>
              <w:pStyle w:val="Tablesmallheading"/>
              <w:jc w:val="center"/>
            </w:pPr>
            <w:r w:rsidRPr="00863E1E">
              <w:t>Piping installed pre GABSI (prior to July 1999)</w:t>
            </w:r>
          </w:p>
        </w:tc>
        <w:tc>
          <w:tcPr>
            <w:tcW w:w="845" w:type="pct"/>
            <w:shd w:val="clear" w:color="auto" w:fill="5185C0"/>
            <w:vAlign w:val="center"/>
          </w:tcPr>
          <w:p w:rsidR="00102107" w:rsidRPr="00863E1E" w:rsidRDefault="00102107" w:rsidP="00102107">
            <w:pPr>
              <w:pStyle w:val="Tablesmallheading"/>
              <w:jc w:val="center"/>
            </w:pPr>
            <w:r w:rsidRPr="00863E1E">
              <w:t>Piping installed under GABSI Phase 1</w:t>
            </w:r>
          </w:p>
        </w:tc>
        <w:tc>
          <w:tcPr>
            <w:tcW w:w="845" w:type="pct"/>
            <w:shd w:val="clear" w:color="auto" w:fill="5185C0"/>
            <w:vAlign w:val="center"/>
          </w:tcPr>
          <w:p w:rsidR="00102107" w:rsidRPr="00863E1E" w:rsidRDefault="00102107" w:rsidP="00102107">
            <w:pPr>
              <w:pStyle w:val="Tablesmallheading"/>
              <w:jc w:val="center"/>
            </w:pPr>
            <w:r w:rsidRPr="00863E1E">
              <w:t>Piping installed under GABSI Phase 2</w:t>
            </w:r>
          </w:p>
        </w:tc>
        <w:tc>
          <w:tcPr>
            <w:tcW w:w="845" w:type="pct"/>
            <w:shd w:val="clear" w:color="auto" w:fill="5185C0"/>
            <w:vAlign w:val="center"/>
          </w:tcPr>
          <w:p w:rsidR="00102107" w:rsidRPr="00863E1E" w:rsidRDefault="00102107" w:rsidP="00102107">
            <w:pPr>
              <w:pStyle w:val="Tablesmallheading"/>
              <w:jc w:val="center"/>
            </w:pPr>
            <w:r w:rsidRPr="00863E1E">
              <w:t>Piping installed under GABSI Phase 3</w:t>
            </w:r>
            <w:r w:rsidR="00BA3F6D">
              <w:t xml:space="preserve"> (up to June 2013)</w:t>
            </w:r>
          </w:p>
        </w:tc>
        <w:tc>
          <w:tcPr>
            <w:tcW w:w="805" w:type="pct"/>
            <w:shd w:val="clear" w:color="auto" w:fill="5185C0"/>
            <w:vAlign w:val="center"/>
          </w:tcPr>
          <w:p w:rsidR="00102107" w:rsidRPr="00863E1E" w:rsidRDefault="00430674" w:rsidP="00102107">
            <w:pPr>
              <w:pStyle w:val="Tablesmallheading"/>
              <w:jc w:val="center"/>
            </w:pPr>
            <w:r>
              <w:t>TOTAL p</w:t>
            </w:r>
            <w:r w:rsidRPr="00863E1E">
              <w:t>iping installed under GABSI</w:t>
            </w:r>
          </w:p>
        </w:tc>
      </w:tr>
      <w:tr w:rsidR="00102107" w:rsidRPr="00863E1E" w:rsidTr="00824349">
        <w:trPr>
          <w:cantSplit/>
        </w:trPr>
        <w:tc>
          <w:tcPr>
            <w:tcW w:w="857" w:type="pct"/>
          </w:tcPr>
          <w:p w:rsidR="00102107" w:rsidRPr="00863E1E" w:rsidRDefault="00102107" w:rsidP="00102107">
            <w:pPr>
              <w:pStyle w:val="Tablesmalltext"/>
            </w:pPr>
            <w:r w:rsidRPr="00863E1E">
              <w:t>South Australia</w:t>
            </w:r>
          </w:p>
        </w:tc>
        <w:tc>
          <w:tcPr>
            <w:tcW w:w="804" w:type="pct"/>
            <w:vAlign w:val="center"/>
          </w:tcPr>
          <w:p w:rsidR="00102107" w:rsidRPr="00863E1E" w:rsidRDefault="00102107" w:rsidP="00102107">
            <w:pPr>
              <w:pStyle w:val="Tablesmalltext"/>
              <w:jc w:val="center"/>
            </w:pPr>
            <w:r w:rsidRPr="00863E1E">
              <w:t>NA</w:t>
            </w:r>
          </w:p>
        </w:tc>
        <w:tc>
          <w:tcPr>
            <w:tcW w:w="845" w:type="pct"/>
            <w:vAlign w:val="center"/>
          </w:tcPr>
          <w:p w:rsidR="00102107" w:rsidRPr="00863E1E" w:rsidRDefault="00102107" w:rsidP="00102107">
            <w:pPr>
              <w:pStyle w:val="Tablesmalltext"/>
              <w:jc w:val="center"/>
            </w:pPr>
            <w:r w:rsidRPr="00863E1E">
              <w:t>439</w:t>
            </w:r>
          </w:p>
        </w:tc>
        <w:tc>
          <w:tcPr>
            <w:tcW w:w="845" w:type="pct"/>
            <w:vAlign w:val="center"/>
          </w:tcPr>
          <w:p w:rsidR="00102107" w:rsidRPr="00863E1E" w:rsidRDefault="00102107" w:rsidP="00102107">
            <w:pPr>
              <w:pStyle w:val="Tablesmalltext"/>
              <w:jc w:val="center"/>
            </w:pPr>
            <w:r w:rsidRPr="00863E1E">
              <w:t>0</w:t>
            </w:r>
          </w:p>
        </w:tc>
        <w:tc>
          <w:tcPr>
            <w:tcW w:w="845" w:type="pct"/>
            <w:vAlign w:val="center"/>
          </w:tcPr>
          <w:p w:rsidR="00102107" w:rsidRPr="00863E1E" w:rsidRDefault="00102107" w:rsidP="00824349">
            <w:pPr>
              <w:pStyle w:val="Tablesmalltext"/>
              <w:jc w:val="center"/>
            </w:pPr>
            <w:r>
              <w:t>25</w:t>
            </w:r>
          </w:p>
        </w:tc>
        <w:tc>
          <w:tcPr>
            <w:tcW w:w="805" w:type="pct"/>
            <w:vAlign w:val="center"/>
          </w:tcPr>
          <w:p w:rsidR="00102107" w:rsidRPr="00430674" w:rsidRDefault="00340245" w:rsidP="00102107">
            <w:pPr>
              <w:pStyle w:val="Tablesmalltext"/>
              <w:jc w:val="center"/>
              <w:rPr>
                <w:b/>
              </w:rPr>
            </w:pPr>
            <w:r>
              <w:rPr>
                <w:b/>
              </w:rPr>
              <w:t>464</w:t>
            </w:r>
          </w:p>
        </w:tc>
      </w:tr>
      <w:tr w:rsidR="00102107" w:rsidRPr="00863E1E" w:rsidTr="00824349">
        <w:trPr>
          <w:cantSplit/>
        </w:trPr>
        <w:tc>
          <w:tcPr>
            <w:tcW w:w="857" w:type="pct"/>
          </w:tcPr>
          <w:p w:rsidR="00102107" w:rsidRPr="00863E1E" w:rsidRDefault="00102107" w:rsidP="00102107">
            <w:pPr>
              <w:pStyle w:val="Tablesmalltext"/>
            </w:pPr>
            <w:r w:rsidRPr="00863E1E">
              <w:t>New South Wales</w:t>
            </w:r>
          </w:p>
        </w:tc>
        <w:tc>
          <w:tcPr>
            <w:tcW w:w="804" w:type="pct"/>
            <w:vAlign w:val="bottom"/>
          </w:tcPr>
          <w:p w:rsidR="00102107" w:rsidRPr="00863E1E" w:rsidRDefault="00102107" w:rsidP="00102107">
            <w:pPr>
              <w:pStyle w:val="Tablesmalltext"/>
              <w:jc w:val="center"/>
            </w:pPr>
            <w:r w:rsidRPr="00863E1E">
              <w:t>2,812</w:t>
            </w:r>
          </w:p>
        </w:tc>
        <w:tc>
          <w:tcPr>
            <w:tcW w:w="845" w:type="pct"/>
            <w:vAlign w:val="bottom"/>
          </w:tcPr>
          <w:p w:rsidR="00102107" w:rsidRPr="00863E1E" w:rsidRDefault="00102107" w:rsidP="00102107">
            <w:pPr>
              <w:pStyle w:val="Tablesmalltext"/>
              <w:jc w:val="center"/>
            </w:pPr>
            <w:r w:rsidRPr="00863E1E">
              <w:t>6,285</w:t>
            </w:r>
          </w:p>
        </w:tc>
        <w:tc>
          <w:tcPr>
            <w:tcW w:w="845" w:type="pct"/>
            <w:vAlign w:val="bottom"/>
          </w:tcPr>
          <w:p w:rsidR="00102107" w:rsidRPr="00863E1E" w:rsidRDefault="00102107" w:rsidP="00102107">
            <w:pPr>
              <w:pStyle w:val="Tablesmalltext"/>
              <w:jc w:val="center"/>
            </w:pPr>
            <w:r w:rsidRPr="00863E1E">
              <w:t>5,256</w:t>
            </w:r>
          </w:p>
        </w:tc>
        <w:tc>
          <w:tcPr>
            <w:tcW w:w="845" w:type="pct"/>
            <w:vAlign w:val="bottom"/>
          </w:tcPr>
          <w:p w:rsidR="00102107" w:rsidRPr="00863E1E" w:rsidRDefault="00102107" w:rsidP="00102107">
            <w:pPr>
              <w:pStyle w:val="Tablesmalltext"/>
              <w:jc w:val="center"/>
            </w:pPr>
            <w:r>
              <w:t>2,809</w:t>
            </w:r>
          </w:p>
        </w:tc>
        <w:tc>
          <w:tcPr>
            <w:tcW w:w="805" w:type="pct"/>
            <w:vAlign w:val="bottom"/>
          </w:tcPr>
          <w:p w:rsidR="00102107" w:rsidRPr="00430674" w:rsidRDefault="00430674" w:rsidP="00102107">
            <w:pPr>
              <w:pStyle w:val="Tablesmalltext"/>
              <w:jc w:val="center"/>
              <w:rPr>
                <w:b/>
              </w:rPr>
            </w:pPr>
            <w:r w:rsidRPr="00430674">
              <w:rPr>
                <w:b/>
              </w:rPr>
              <w:t>14,350</w:t>
            </w:r>
          </w:p>
        </w:tc>
      </w:tr>
      <w:tr w:rsidR="00102107" w:rsidRPr="00863E1E" w:rsidTr="00824349">
        <w:trPr>
          <w:cantSplit/>
        </w:trPr>
        <w:tc>
          <w:tcPr>
            <w:tcW w:w="857" w:type="pct"/>
          </w:tcPr>
          <w:p w:rsidR="00102107" w:rsidRPr="00863E1E" w:rsidRDefault="00102107" w:rsidP="00102107">
            <w:pPr>
              <w:pStyle w:val="Tablesmalltext"/>
            </w:pPr>
            <w:r w:rsidRPr="00863E1E">
              <w:t>Queensland</w:t>
            </w:r>
          </w:p>
        </w:tc>
        <w:tc>
          <w:tcPr>
            <w:tcW w:w="804" w:type="pct"/>
            <w:vAlign w:val="bottom"/>
          </w:tcPr>
          <w:p w:rsidR="00102107" w:rsidRPr="00863E1E" w:rsidRDefault="00102107" w:rsidP="00102107">
            <w:pPr>
              <w:pStyle w:val="Tablesmalltext"/>
              <w:jc w:val="center"/>
            </w:pPr>
            <w:r w:rsidRPr="00863E1E">
              <w:t>2,698</w:t>
            </w:r>
          </w:p>
        </w:tc>
        <w:tc>
          <w:tcPr>
            <w:tcW w:w="845" w:type="pct"/>
            <w:vAlign w:val="bottom"/>
          </w:tcPr>
          <w:p w:rsidR="00102107" w:rsidRPr="00863E1E" w:rsidRDefault="00102107" w:rsidP="00102107">
            <w:pPr>
              <w:pStyle w:val="Tablesmalltext"/>
              <w:jc w:val="center"/>
            </w:pPr>
            <w:r w:rsidRPr="00863E1E">
              <w:t>6,384</w:t>
            </w:r>
          </w:p>
        </w:tc>
        <w:tc>
          <w:tcPr>
            <w:tcW w:w="845" w:type="pct"/>
            <w:vAlign w:val="bottom"/>
          </w:tcPr>
          <w:p w:rsidR="00102107" w:rsidRPr="00863E1E" w:rsidRDefault="00102107" w:rsidP="00102107">
            <w:pPr>
              <w:pStyle w:val="Tablesmalltext"/>
              <w:jc w:val="center"/>
            </w:pPr>
            <w:r>
              <w:t>4,491</w:t>
            </w:r>
          </w:p>
        </w:tc>
        <w:tc>
          <w:tcPr>
            <w:tcW w:w="845" w:type="pct"/>
            <w:vAlign w:val="bottom"/>
          </w:tcPr>
          <w:p w:rsidR="00102107" w:rsidRPr="00863E1E" w:rsidRDefault="00102107" w:rsidP="00102107">
            <w:pPr>
              <w:pStyle w:val="Tablesmalltext"/>
              <w:jc w:val="center"/>
            </w:pPr>
            <w:r>
              <w:t>2,656</w:t>
            </w:r>
          </w:p>
        </w:tc>
        <w:tc>
          <w:tcPr>
            <w:tcW w:w="805" w:type="pct"/>
            <w:vAlign w:val="bottom"/>
          </w:tcPr>
          <w:p w:rsidR="00102107" w:rsidRPr="00430674" w:rsidRDefault="00430674" w:rsidP="00102107">
            <w:pPr>
              <w:pStyle w:val="Tablesmalltext"/>
              <w:jc w:val="center"/>
              <w:rPr>
                <w:b/>
              </w:rPr>
            </w:pPr>
            <w:r w:rsidRPr="00430674">
              <w:rPr>
                <w:b/>
              </w:rPr>
              <w:t>13,531</w:t>
            </w:r>
          </w:p>
        </w:tc>
      </w:tr>
      <w:tr w:rsidR="00102107" w:rsidRPr="00863E1E" w:rsidTr="00824349">
        <w:trPr>
          <w:cantSplit/>
        </w:trPr>
        <w:tc>
          <w:tcPr>
            <w:tcW w:w="857" w:type="pct"/>
          </w:tcPr>
          <w:p w:rsidR="00102107" w:rsidRPr="00863E1E" w:rsidRDefault="00102107" w:rsidP="00102107">
            <w:pPr>
              <w:pStyle w:val="Tablesmalltext"/>
              <w:rPr>
                <w:b/>
              </w:rPr>
            </w:pPr>
            <w:r w:rsidRPr="00863E1E">
              <w:rPr>
                <w:b/>
              </w:rPr>
              <w:t>TOTAL</w:t>
            </w:r>
          </w:p>
        </w:tc>
        <w:tc>
          <w:tcPr>
            <w:tcW w:w="804" w:type="pct"/>
            <w:vAlign w:val="bottom"/>
          </w:tcPr>
          <w:p w:rsidR="00102107" w:rsidRPr="00863E1E" w:rsidRDefault="00102107" w:rsidP="00102107">
            <w:pPr>
              <w:pStyle w:val="Tablesmalltext"/>
              <w:jc w:val="center"/>
              <w:rPr>
                <w:b/>
              </w:rPr>
            </w:pPr>
            <w:r w:rsidRPr="00863E1E">
              <w:rPr>
                <w:b/>
              </w:rPr>
              <w:t>5,510</w:t>
            </w:r>
          </w:p>
        </w:tc>
        <w:tc>
          <w:tcPr>
            <w:tcW w:w="845" w:type="pct"/>
            <w:vAlign w:val="bottom"/>
          </w:tcPr>
          <w:p w:rsidR="00102107" w:rsidRPr="00863E1E" w:rsidRDefault="00102107" w:rsidP="00102107">
            <w:pPr>
              <w:pStyle w:val="Tablesmalltext"/>
              <w:jc w:val="center"/>
              <w:rPr>
                <w:b/>
              </w:rPr>
            </w:pPr>
            <w:r w:rsidRPr="00863E1E">
              <w:rPr>
                <w:b/>
              </w:rPr>
              <w:t>13,108</w:t>
            </w:r>
          </w:p>
        </w:tc>
        <w:tc>
          <w:tcPr>
            <w:tcW w:w="845" w:type="pct"/>
            <w:vAlign w:val="bottom"/>
          </w:tcPr>
          <w:p w:rsidR="00102107" w:rsidRPr="00863E1E" w:rsidRDefault="00340245" w:rsidP="00102107">
            <w:pPr>
              <w:pStyle w:val="Tablesmalltext"/>
              <w:jc w:val="center"/>
              <w:rPr>
                <w:b/>
              </w:rPr>
            </w:pPr>
            <w:r>
              <w:rPr>
                <w:b/>
              </w:rPr>
              <w:t>9,747</w:t>
            </w:r>
          </w:p>
        </w:tc>
        <w:tc>
          <w:tcPr>
            <w:tcW w:w="845" w:type="pct"/>
            <w:vAlign w:val="bottom"/>
          </w:tcPr>
          <w:p w:rsidR="00102107" w:rsidRPr="00863E1E" w:rsidRDefault="00340245" w:rsidP="00102107">
            <w:pPr>
              <w:pStyle w:val="Tablesmalltext"/>
              <w:jc w:val="center"/>
              <w:rPr>
                <w:b/>
              </w:rPr>
            </w:pPr>
            <w:r>
              <w:rPr>
                <w:b/>
              </w:rPr>
              <w:t>5,490</w:t>
            </w:r>
          </w:p>
        </w:tc>
        <w:tc>
          <w:tcPr>
            <w:tcW w:w="805" w:type="pct"/>
            <w:vAlign w:val="bottom"/>
          </w:tcPr>
          <w:p w:rsidR="00102107" w:rsidRPr="00863E1E" w:rsidRDefault="00340245" w:rsidP="00102107">
            <w:pPr>
              <w:pStyle w:val="Tablesmalltext"/>
              <w:jc w:val="center"/>
              <w:rPr>
                <w:b/>
              </w:rPr>
            </w:pPr>
            <w:r>
              <w:rPr>
                <w:b/>
              </w:rPr>
              <w:t>28,345</w:t>
            </w:r>
          </w:p>
        </w:tc>
      </w:tr>
    </w:tbl>
    <w:p w:rsidR="00F40B4B" w:rsidRPr="00863E1E" w:rsidRDefault="00F40B4B" w:rsidP="00F40B4B">
      <w:pPr>
        <w:pStyle w:val="Para0"/>
      </w:pPr>
      <w:r w:rsidRPr="00863E1E">
        <w:t>The completion of these works has resulted in significant water savings across the GAB as outlined in the following table.</w:t>
      </w:r>
    </w:p>
    <w:p w:rsidR="00F40B4B" w:rsidRPr="00863E1E" w:rsidRDefault="00F40B4B" w:rsidP="00F40B4B">
      <w:pPr>
        <w:pStyle w:val="Caption"/>
      </w:pPr>
      <w:bookmarkStart w:id="12" w:name="_Ref373396991"/>
      <w:r w:rsidRPr="00863E1E">
        <w:t xml:space="preserve">Table </w:t>
      </w:r>
      <w:r w:rsidR="006768F1">
        <w:fldChar w:fldCharType="begin"/>
      </w:r>
      <w:r w:rsidR="00F843FC">
        <w:instrText xml:space="preserve"> SEQ Table \* ARABIC </w:instrText>
      </w:r>
      <w:r w:rsidR="006768F1">
        <w:fldChar w:fldCharType="separate"/>
      </w:r>
      <w:r w:rsidR="00516D07">
        <w:rPr>
          <w:noProof/>
        </w:rPr>
        <w:t>5</w:t>
      </w:r>
      <w:r w:rsidR="006768F1">
        <w:fldChar w:fldCharType="end"/>
      </w:r>
      <w:bookmarkEnd w:id="12"/>
      <w:r w:rsidRPr="00863E1E">
        <w:t>: Water savings (ML/year)</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700"/>
        <w:gridCol w:w="1596"/>
        <w:gridCol w:w="1677"/>
        <w:gridCol w:w="1677"/>
        <w:gridCol w:w="1677"/>
        <w:gridCol w:w="1596"/>
      </w:tblGrid>
      <w:tr w:rsidR="00F669FB" w:rsidRPr="00863E1E" w:rsidTr="002E4907">
        <w:trPr>
          <w:cantSplit/>
          <w:tblHeader/>
        </w:trPr>
        <w:tc>
          <w:tcPr>
            <w:tcW w:w="857" w:type="pct"/>
            <w:shd w:val="clear" w:color="auto" w:fill="5185C0"/>
            <w:vAlign w:val="bottom"/>
          </w:tcPr>
          <w:p w:rsidR="00102107" w:rsidRPr="00863E1E" w:rsidRDefault="00102107" w:rsidP="00102107">
            <w:pPr>
              <w:pStyle w:val="Tablesmallheading"/>
            </w:pPr>
            <w:r w:rsidRPr="00863E1E">
              <w:t>State</w:t>
            </w:r>
          </w:p>
        </w:tc>
        <w:tc>
          <w:tcPr>
            <w:tcW w:w="804" w:type="pct"/>
            <w:shd w:val="clear" w:color="auto" w:fill="5185C0"/>
            <w:vAlign w:val="center"/>
          </w:tcPr>
          <w:p w:rsidR="00102107" w:rsidRPr="00863E1E" w:rsidRDefault="00102107" w:rsidP="00102107">
            <w:pPr>
              <w:pStyle w:val="Tablesmallheading"/>
              <w:jc w:val="center"/>
            </w:pPr>
            <w:r w:rsidRPr="00863E1E">
              <w:t>Water savings pre GABSI (prior to July 1999)</w:t>
            </w:r>
          </w:p>
        </w:tc>
        <w:tc>
          <w:tcPr>
            <w:tcW w:w="845" w:type="pct"/>
            <w:shd w:val="clear" w:color="auto" w:fill="5185C0"/>
            <w:vAlign w:val="center"/>
          </w:tcPr>
          <w:p w:rsidR="00102107" w:rsidRPr="00863E1E" w:rsidRDefault="00102107" w:rsidP="00102107">
            <w:pPr>
              <w:pStyle w:val="Tablesmallheading"/>
              <w:jc w:val="center"/>
            </w:pPr>
            <w:r w:rsidRPr="00863E1E">
              <w:t>Water savings under GABSI Phase 1</w:t>
            </w:r>
          </w:p>
        </w:tc>
        <w:tc>
          <w:tcPr>
            <w:tcW w:w="845" w:type="pct"/>
            <w:shd w:val="clear" w:color="auto" w:fill="5185C0"/>
            <w:vAlign w:val="center"/>
          </w:tcPr>
          <w:p w:rsidR="00102107" w:rsidRPr="00863E1E" w:rsidRDefault="00102107" w:rsidP="00102107">
            <w:pPr>
              <w:pStyle w:val="Tablesmallheading"/>
              <w:jc w:val="center"/>
            </w:pPr>
            <w:r w:rsidRPr="00863E1E">
              <w:t>Water savings under GABSI Phase 2</w:t>
            </w:r>
          </w:p>
        </w:tc>
        <w:tc>
          <w:tcPr>
            <w:tcW w:w="845" w:type="pct"/>
            <w:shd w:val="clear" w:color="auto" w:fill="5185C0"/>
            <w:vAlign w:val="center"/>
          </w:tcPr>
          <w:p w:rsidR="00102107" w:rsidRPr="00863E1E" w:rsidRDefault="00102107" w:rsidP="00102107">
            <w:pPr>
              <w:pStyle w:val="Tablesmallheading"/>
              <w:jc w:val="center"/>
            </w:pPr>
            <w:r w:rsidRPr="00863E1E">
              <w:t>Water savings under GABSI Phase 3</w:t>
            </w:r>
            <w:r w:rsidR="00BA3F6D">
              <w:t xml:space="preserve"> (up to June 2013)</w:t>
            </w:r>
          </w:p>
        </w:tc>
        <w:tc>
          <w:tcPr>
            <w:tcW w:w="805" w:type="pct"/>
            <w:shd w:val="clear" w:color="auto" w:fill="5185C0"/>
            <w:vAlign w:val="center"/>
          </w:tcPr>
          <w:p w:rsidR="00102107" w:rsidRPr="00863E1E" w:rsidRDefault="00430674" w:rsidP="00102107">
            <w:pPr>
              <w:pStyle w:val="Tablesmallheading"/>
              <w:jc w:val="center"/>
            </w:pPr>
            <w:r>
              <w:t>TOTAL w</w:t>
            </w:r>
            <w:r w:rsidRPr="00863E1E">
              <w:t>ater savings under GABSI</w:t>
            </w:r>
          </w:p>
        </w:tc>
      </w:tr>
      <w:tr w:rsidR="00102107" w:rsidRPr="00863E1E" w:rsidTr="00824349">
        <w:trPr>
          <w:cantSplit/>
        </w:trPr>
        <w:tc>
          <w:tcPr>
            <w:tcW w:w="857" w:type="pct"/>
          </w:tcPr>
          <w:p w:rsidR="00102107" w:rsidRPr="00863E1E" w:rsidRDefault="00102107" w:rsidP="00102107">
            <w:pPr>
              <w:pStyle w:val="Tablesmalltext"/>
            </w:pPr>
            <w:r w:rsidRPr="00863E1E">
              <w:t>South Australia</w:t>
            </w:r>
          </w:p>
        </w:tc>
        <w:tc>
          <w:tcPr>
            <w:tcW w:w="804" w:type="pct"/>
            <w:vAlign w:val="center"/>
          </w:tcPr>
          <w:p w:rsidR="00102107" w:rsidRPr="00863E1E" w:rsidRDefault="00102107" w:rsidP="00102107">
            <w:pPr>
              <w:pStyle w:val="Tablesmalltext"/>
              <w:jc w:val="center"/>
            </w:pPr>
            <w:r w:rsidRPr="00863E1E">
              <w:t>39,542</w:t>
            </w:r>
          </w:p>
        </w:tc>
        <w:tc>
          <w:tcPr>
            <w:tcW w:w="845" w:type="pct"/>
            <w:vAlign w:val="center"/>
          </w:tcPr>
          <w:p w:rsidR="00102107" w:rsidRPr="00863E1E" w:rsidRDefault="00102107" w:rsidP="00102107">
            <w:pPr>
              <w:pStyle w:val="Tablesmalltext"/>
              <w:jc w:val="center"/>
            </w:pPr>
            <w:r w:rsidRPr="00863E1E">
              <w:t>17,</w:t>
            </w:r>
            <w:r>
              <w:t>017</w:t>
            </w:r>
          </w:p>
        </w:tc>
        <w:tc>
          <w:tcPr>
            <w:tcW w:w="845" w:type="pct"/>
            <w:vAlign w:val="center"/>
          </w:tcPr>
          <w:p w:rsidR="00102107" w:rsidRPr="00863E1E" w:rsidRDefault="00102107" w:rsidP="00102107">
            <w:pPr>
              <w:pStyle w:val="Tablesmalltext"/>
              <w:jc w:val="center"/>
            </w:pPr>
            <w:r w:rsidRPr="00863E1E">
              <w:t>742</w:t>
            </w:r>
          </w:p>
        </w:tc>
        <w:tc>
          <w:tcPr>
            <w:tcW w:w="845" w:type="pct"/>
            <w:vAlign w:val="center"/>
          </w:tcPr>
          <w:p w:rsidR="00102107" w:rsidRPr="00863E1E" w:rsidRDefault="00102107" w:rsidP="00BA3F6D">
            <w:pPr>
              <w:pStyle w:val="Tablesmalltext"/>
              <w:jc w:val="center"/>
            </w:pPr>
            <w:r>
              <w:t>2,</w:t>
            </w:r>
            <w:r w:rsidR="00BA3F6D">
              <w:t>579</w:t>
            </w:r>
          </w:p>
        </w:tc>
        <w:tc>
          <w:tcPr>
            <w:tcW w:w="805" w:type="pct"/>
            <w:vAlign w:val="center"/>
          </w:tcPr>
          <w:p w:rsidR="00102107" w:rsidRPr="00863E1E" w:rsidRDefault="00340245" w:rsidP="00102107">
            <w:pPr>
              <w:pStyle w:val="Tablesmalltext"/>
              <w:jc w:val="center"/>
            </w:pPr>
            <w:r>
              <w:t>20,338</w:t>
            </w:r>
          </w:p>
        </w:tc>
      </w:tr>
      <w:tr w:rsidR="00102107" w:rsidRPr="00863E1E" w:rsidTr="00824349">
        <w:trPr>
          <w:cantSplit/>
        </w:trPr>
        <w:tc>
          <w:tcPr>
            <w:tcW w:w="857" w:type="pct"/>
          </w:tcPr>
          <w:p w:rsidR="00102107" w:rsidRPr="00863E1E" w:rsidRDefault="00102107" w:rsidP="00102107">
            <w:pPr>
              <w:pStyle w:val="Tablesmalltext"/>
            </w:pPr>
            <w:r w:rsidRPr="00863E1E">
              <w:t>New South Wales</w:t>
            </w:r>
          </w:p>
        </w:tc>
        <w:tc>
          <w:tcPr>
            <w:tcW w:w="804" w:type="pct"/>
            <w:vAlign w:val="bottom"/>
          </w:tcPr>
          <w:p w:rsidR="00102107" w:rsidRPr="00863E1E" w:rsidRDefault="00102107" w:rsidP="00102107">
            <w:pPr>
              <w:pStyle w:val="Tablesmalltext"/>
              <w:jc w:val="center"/>
            </w:pPr>
            <w:r w:rsidRPr="00863E1E">
              <w:t>9,051</w:t>
            </w:r>
          </w:p>
        </w:tc>
        <w:tc>
          <w:tcPr>
            <w:tcW w:w="845" w:type="pct"/>
            <w:vAlign w:val="bottom"/>
          </w:tcPr>
          <w:p w:rsidR="00102107" w:rsidRPr="00863E1E" w:rsidRDefault="00102107" w:rsidP="00102107">
            <w:pPr>
              <w:pStyle w:val="Tablesmalltext"/>
              <w:jc w:val="center"/>
            </w:pPr>
            <w:r w:rsidRPr="00863E1E">
              <w:t>26,093</w:t>
            </w:r>
          </w:p>
        </w:tc>
        <w:tc>
          <w:tcPr>
            <w:tcW w:w="845" w:type="pct"/>
            <w:vAlign w:val="bottom"/>
          </w:tcPr>
          <w:p w:rsidR="00102107" w:rsidRPr="00863E1E" w:rsidRDefault="00102107" w:rsidP="00102107">
            <w:pPr>
              <w:pStyle w:val="Tablesmalltext"/>
              <w:jc w:val="center"/>
            </w:pPr>
            <w:r w:rsidRPr="00863E1E">
              <w:t>25,075</w:t>
            </w:r>
          </w:p>
        </w:tc>
        <w:tc>
          <w:tcPr>
            <w:tcW w:w="845" w:type="pct"/>
            <w:vAlign w:val="bottom"/>
          </w:tcPr>
          <w:p w:rsidR="00102107" w:rsidRPr="00863E1E" w:rsidRDefault="00102107" w:rsidP="00102107">
            <w:pPr>
              <w:pStyle w:val="Tablesmalltext"/>
              <w:jc w:val="center"/>
            </w:pPr>
            <w:r>
              <w:t>13,803</w:t>
            </w:r>
          </w:p>
        </w:tc>
        <w:tc>
          <w:tcPr>
            <w:tcW w:w="805" w:type="pct"/>
            <w:vAlign w:val="bottom"/>
          </w:tcPr>
          <w:p w:rsidR="00102107" w:rsidRPr="00863E1E" w:rsidRDefault="00430674" w:rsidP="00102107">
            <w:pPr>
              <w:pStyle w:val="Tablesmalltext"/>
              <w:jc w:val="center"/>
            </w:pPr>
            <w:r>
              <w:t>64,971</w:t>
            </w:r>
          </w:p>
        </w:tc>
      </w:tr>
      <w:tr w:rsidR="00102107" w:rsidRPr="00863E1E" w:rsidTr="00824349">
        <w:trPr>
          <w:cantSplit/>
        </w:trPr>
        <w:tc>
          <w:tcPr>
            <w:tcW w:w="857" w:type="pct"/>
          </w:tcPr>
          <w:p w:rsidR="00102107" w:rsidRPr="00863E1E" w:rsidRDefault="00102107" w:rsidP="00102107">
            <w:pPr>
              <w:pStyle w:val="Tablesmalltext"/>
            </w:pPr>
            <w:r w:rsidRPr="00863E1E">
              <w:t>Queensland</w:t>
            </w:r>
          </w:p>
        </w:tc>
        <w:tc>
          <w:tcPr>
            <w:tcW w:w="804" w:type="pct"/>
            <w:vAlign w:val="bottom"/>
          </w:tcPr>
          <w:p w:rsidR="00102107" w:rsidRPr="00863E1E" w:rsidRDefault="00102107" w:rsidP="00102107">
            <w:pPr>
              <w:pStyle w:val="Tablesmalltext"/>
              <w:jc w:val="center"/>
            </w:pPr>
            <w:r>
              <w:t>63,205</w:t>
            </w:r>
          </w:p>
        </w:tc>
        <w:tc>
          <w:tcPr>
            <w:tcW w:w="845" w:type="pct"/>
            <w:vAlign w:val="bottom"/>
          </w:tcPr>
          <w:p w:rsidR="00102107" w:rsidRPr="00863E1E" w:rsidRDefault="00102107" w:rsidP="00102107">
            <w:pPr>
              <w:pStyle w:val="Tablesmalltext"/>
              <w:jc w:val="center"/>
            </w:pPr>
            <w:r>
              <w:t>48,657</w:t>
            </w:r>
          </w:p>
        </w:tc>
        <w:tc>
          <w:tcPr>
            <w:tcW w:w="845" w:type="pct"/>
            <w:vAlign w:val="bottom"/>
          </w:tcPr>
          <w:p w:rsidR="00102107" w:rsidRPr="00863E1E" w:rsidRDefault="00102107" w:rsidP="00102107">
            <w:pPr>
              <w:pStyle w:val="Tablesmalltext"/>
              <w:jc w:val="center"/>
            </w:pPr>
            <w:r>
              <w:t>49,167</w:t>
            </w:r>
          </w:p>
        </w:tc>
        <w:tc>
          <w:tcPr>
            <w:tcW w:w="845" w:type="pct"/>
            <w:vAlign w:val="bottom"/>
          </w:tcPr>
          <w:p w:rsidR="00102107" w:rsidRPr="00863E1E" w:rsidRDefault="00102107" w:rsidP="00102107">
            <w:pPr>
              <w:pStyle w:val="Tablesmalltext"/>
              <w:jc w:val="center"/>
            </w:pPr>
            <w:r>
              <w:t>21,393</w:t>
            </w:r>
          </w:p>
        </w:tc>
        <w:tc>
          <w:tcPr>
            <w:tcW w:w="805" w:type="pct"/>
            <w:vAlign w:val="bottom"/>
          </w:tcPr>
          <w:p w:rsidR="00102107" w:rsidRPr="00863E1E" w:rsidRDefault="00430674" w:rsidP="00102107">
            <w:pPr>
              <w:pStyle w:val="Tablesmalltext"/>
              <w:jc w:val="center"/>
            </w:pPr>
            <w:r>
              <w:t>119,217</w:t>
            </w:r>
          </w:p>
        </w:tc>
      </w:tr>
      <w:tr w:rsidR="00102107" w:rsidRPr="00863E1E" w:rsidTr="00824349">
        <w:trPr>
          <w:cantSplit/>
        </w:trPr>
        <w:tc>
          <w:tcPr>
            <w:tcW w:w="857" w:type="pct"/>
          </w:tcPr>
          <w:p w:rsidR="00102107" w:rsidRPr="00863E1E" w:rsidRDefault="00102107" w:rsidP="00102107">
            <w:pPr>
              <w:pStyle w:val="Tablesmalltext"/>
              <w:rPr>
                <w:b/>
              </w:rPr>
            </w:pPr>
            <w:r w:rsidRPr="00863E1E">
              <w:rPr>
                <w:b/>
              </w:rPr>
              <w:t>TOTAL</w:t>
            </w:r>
          </w:p>
        </w:tc>
        <w:tc>
          <w:tcPr>
            <w:tcW w:w="804" w:type="pct"/>
            <w:vAlign w:val="bottom"/>
          </w:tcPr>
          <w:p w:rsidR="00102107" w:rsidRPr="00863E1E" w:rsidRDefault="00805897" w:rsidP="00102107">
            <w:pPr>
              <w:pStyle w:val="Tablesmalltext"/>
              <w:jc w:val="center"/>
              <w:rPr>
                <w:b/>
              </w:rPr>
            </w:pPr>
            <w:r>
              <w:rPr>
                <w:b/>
              </w:rPr>
              <w:t>111,798</w:t>
            </w:r>
          </w:p>
        </w:tc>
        <w:tc>
          <w:tcPr>
            <w:tcW w:w="845" w:type="pct"/>
            <w:vAlign w:val="bottom"/>
          </w:tcPr>
          <w:p w:rsidR="00102107" w:rsidRPr="00863E1E" w:rsidRDefault="00102107" w:rsidP="003807E1">
            <w:pPr>
              <w:pStyle w:val="Tablesmalltext"/>
              <w:jc w:val="center"/>
              <w:rPr>
                <w:b/>
              </w:rPr>
            </w:pPr>
            <w:r w:rsidRPr="00863E1E">
              <w:rPr>
                <w:b/>
              </w:rPr>
              <w:t>9</w:t>
            </w:r>
            <w:r w:rsidR="003807E1">
              <w:rPr>
                <w:b/>
              </w:rPr>
              <w:t>1,76</w:t>
            </w:r>
            <w:r w:rsidR="00340245">
              <w:rPr>
                <w:b/>
              </w:rPr>
              <w:t>8</w:t>
            </w:r>
          </w:p>
        </w:tc>
        <w:tc>
          <w:tcPr>
            <w:tcW w:w="845" w:type="pct"/>
            <w:vAlign w:val="bottom"/>
          </w:tcPr>
          <w:p w:rsidR="00102107" w:rsidRPr="00863E1E" w:rsidRDefault="003807E1" w:rsidP="00102107">
            <w:pPr>
              <w:pStyle w:val="Tablesmalltext"/>
              <w:jc w:val="center"/>
              <w:rPr>
                <w:b/>
              </w:rPr>
            </w:pPr>
            <w:r>
              <w:rPr>
                <w:b/>
              </w:rPr>
              <w:t>74,984</w:t>
            </w:r>
          </w:p>
        </w:tc>
        <w:tc>
          <w:tcPr>
            <w:tcW w:w="845" w:type="pct"/>
            <w:vAlign w:val="bottom"/>
          </w:tcPr>
          <w:p w:rsidR="00102107" w:rsidRPr="00863E1E" w:rsidRDefault="00102107" w:rsidP="00102107">
            <w:pPr>
              <w:pStyle w:val="Tablesmalltext"/>
              <w:jc w:val="center"/>
              <w:rPr>
                <w:b/>
              </w:rPr>
            </w:pPr>
            <w:r>
              <w:rPr>
                <w:b/>
              </w:rPr>
              <w:t>37,</w:t>
            </w:r>
            <w:r w:rsidR="00340245">
              <w:rPr>
                <w:b/>
              </w:rPr>
              <w:t>775</w:t>
            </w:r>
          </w:p>
        </w:tc>
        <w:tc>
          <w:tcPr>
            <w:tcW w:w="805" w:type="pct"/>
            <w:vAlign w:val="bottom"/>
          </w:tcPr>
          <w:p w:rsidR="00102107" w:rsidRPr="00863E1E" w:rsidRDefault="00430674" w:rsidP="00340245">
            <w:pPr>
              <w:pStyle w:val="Tablesmalltext"/>
              <w:jc w:val="center"/>
              <w:rPr>
                <w:b/>
              </w:rPr>
            </w:pPr>
            <w:r>
              <w:rPr>
                <w:b/>
              </w:rPr>
              <w:t>20</w:t>
            </w:r>
            <w:r w:rsidR="00340245">
              <w:rPr>
                <w:b/>
              </w:rPr>
              <w:t>4,527</w:t>
            </w:r>
          </w:p>
        </w:tc>
      </w:tr>
    </w:tbl>
    <w:p w:rsidR="000E2EE8" w:rsidRPr="00863E1E" w:rsidRDefault="00A4747C" w:rsidP="00C17CF7">
      <w:pPr>
        <w:pStyle w:val="Heading1"/>
      </w:pPr>
      <w:bookmarkStart w:id="13" w:name="_Toc378163298"/>
      <w:r w:rsidRPr="00863E1E">
        <w:t>Review methodology</w:t>
      </w:r>
      <w:bookmarkEnd w:id="13"/>
    </w:p>
    <w:p w:rsidR="00B142B8" w:rsidRPr="00863E1E" w:rsidRDefault="00147B95" w:rsidP="00B142B8">
      <w:pPr>
        <w:pStyle w:val="Heading2"/>
      </w:pPr>
      <w:bookmarkStart w:id="14" w:name="_Ref373398311"/>
      <w:bookmarkStart w:id="15" w:name="_Toc378163299"/>
      <w:r w:rsidRPr="00863E1E">
        <w:t>Total economic</w:t>
      </w:r>
      <w:r w:rsidR="00B142B8" w:rsidRPr="00863E1E">
        <w:t xml:space="preserve"> valuation framework</w:t>
      </w:r>
      <w:bookmarkEnd w:id="14"/>
      <w:bookmarkEnd w:id="15"/>
    </w:p>
    <w:p w:rsidR="000B5AAB" w:rsidRPr="00863E1E" w:rsidRDefault="000B5AAB" w:rsidP="000B5AAB">
      <w:pPr>
        <w:pStyle w:val="Para0"/>
      </w:pPr>
      <w:bookmarkStart w:id="16" w:name="_Ref365620712"/>
      <w:r w:rsidRPr="00863E1E">
        <w:t xml:space="preserve">Return on investment from GABSI, across each phase and for the program as a whole, is most accurately assessed using </w:t>
      </w:r>
      <w:r w:rsidR="00C433F3">
        <w:t xml:space="preserve">a </w:t>
      </w:r>
      <w:r w:rsidRPr="00863E1E">
        <w:t xml:space="preserve">total economic value (TEV) assessment framework to measure the full range of benefits from the program. The TEV framework categorises the benefits from the GABSI program based on the full range of use and non-use benefits, where: </w:t>
      </w:r>
    </w:p>
    <w:p w:rsidR="000B5AAB" w:rsidRPr="00AF3EEE" w:rsidRDefault="000B5AAB" w:rsidP="00F669FB">
      <w:pPr>
        <w:pStyle w:val="Para0"/>
        <w:pBdr>
          <w:top w:val="single" w:sz="4" w:space="1" w:color="366295" w:themeColor="accent6" w:themeShade="BF"/>
          <w:left w:val="single" w:sz="4" w:space="4" w:color="366295" w:themeColor="accent6" w:themeShade="BF"/>
          <w:bottom w:val="single" w:sz="4" w:space="1" w:color="366295" w:themeColor="accent6" w:themeShade="BF"/>
          <w:right w:val="single" w:sz="4" w:space="4" w:color="366295" w:themeColor="accent6" w:themeShade="BF"/>
        </w:pBdr>
        <w:jc w:val="center"/>
        <w:rPr>
          <w:rFonts w:ascii="Cambria Math" w:hAnsi="Cambria Math"/>
          <w:b/>
          <w:i/>
          <w:color w:val="366295" w:themeColor="accent6" w:themeShade="BF"/>
        </w:rPr>
      </w:pPr>
      <w:r w:rsidRPr="00F669FB">
        <w:rPr>
          <w:rFonts w:ascii="Cambria Math" w:hAnsi="Cambria Math"/>
          <w:b/>
          <w:i/>
          <w:color w:val="366295" w:themeColor="accent6" w:themeShade="BF"/>
        </w:rPr>
        <w:t>TEV = direct-use value + indirect-use value + options value + bequest value + existence value</w:t>
      </w:r>
    </w:p>
    <w:p w:rsidR="000B5AAB" w:rsidRPr="00863E1E" w:rsidRDefault="000B5AAB" w:rsidP="000B5AAB">
      <w:pPr>
        <w:pStyle w:val="Caption"/>
        <w:spacing w:after="0"/>
      </w:pPr>
      <w:bookmarkStart w:id="17" w:name="_Ref370735111"/>
      <w:r w:rsidRPr="00863E1E">
        <w:t xml:space="preserve">Figure </w:t>
      </w:r>
      <w:r w:rsidR="006768F1">
        <w:fldChar w:fldCharType="begin"/>
      </w:r>
      <w:r w:rsidR="00DB2AA7">
        <w:instrText xml:space="preserve"> SEQ Figure \* ARABIC </w:instrText>
      </w:r>
      <w:r w:rsidR="006768F1">
        <w:fldChar w:fldCharType="separate"/>
      </w:r>
      <w:r w:rsidR="00516D07">
        <w:rPr>
          <w:noProof/>
        </w:rPr>
        <w:t>3</w:t>
      </w:r>
      <w:r w:rsidR="006768F1">
        <w:fldChar w:fldCharType="end"/>
      </w:r>
      <w:bookmarkEnd w:id="17"/>
      <w:r w:rsidRPr="00863E1E">
        <w:t xml:space="preserve">: Total </w:t>
      </w:r>
      <w:r w:rsidR="004A666E" w:rsidRPr="00863E1E">
        <w:t xml:space="preserve">economic value </w:t>
      </w:r>
      <w:r w:rsidRPr="00863E1E">
        <w:t>framework for GABSI</w:t>
      </w:r>
    </w:p>
    <w:p w:rsidR="00371BF9" w:rsidRPr="00863E1E" w:rsidRDefault="00B83523" w:rsidP="000B5AAB">
      <w:pPr>
        <w:pStyle w:val="Para0"/>
      </w:pPr>
      <w:r>
        <w:rPr>
          <w:noProof/>
          <w:lang w:eastAsia="en-AU"/>
        </w:rPr>
        <w:drawing>
          <wp:inline distT="0" distB="0" distL="0" distR="0">
            <wp:extent cx="6209665" cy="4582795"/>
            <wp:effectExtent l="0" t="0" r="635" b="8255"/>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665" cy="4582795"/>
                    </a:xfrm>
                    <a:prstGeom prst="rect">
                      <a:avLst/>
                    </a:prstGeom>
                    <a:noFill/>
                    <a:ln>
                      <a:noFill/>
                    </a:ln>
                  </pic:spPr>
                </pic:pic>
              </a:graphicData>
            </a:graphic>
          </wp:inline>
        </w:drawing>
      </w:r>
    </w:p>
    <w:p w:rsidR="00293F1E" w:rsidRPr="00863E1E" w:rsidRDefault="00293F1E" w:rsidP="004A666E">
      <w:pPr>
        <w:pStyle w:val="Para0"/>
      </w:pPr>
      <w:r w:rsidRPr="00863E1E">
        <w:t xml:space="preserve">Categorisation of use and non-use value applied in this assessment is presented in </w:t>
      </w:r>
      <w:fldSimple w:instr=" REF _Ref370735111 \h  \* MERGEFORMAT ">
        <w:r w:rsidR="00516D07" w:rsidRPr="00863E1E">
          <w:t xml:space="preserve">Figure </w:t>
        </w:r>
        <w:r w:rsidR="00516D07">
          <w:t>3</w:t>
        </w:r>
      </w:fldSimple>
      <w:r w:rsidRPr="00863E1E">
        <w:t xml:space="preserve"> and includes the </w:t>
      </w:r>
      <w:r w:rsidRPr="004A666E">
        <w:t>following</w:t>
      </w:r>
      <w:r w:rsidRPr="00863E1E">
        <w:t>:</w:t>
      </w:r>
    </w:p>
    <w:p w:rsidR="000263F6" w:rsidRPr="00863E1E" w:rsidRDefault="000263F6" w:rsidP="000263F6">
      <w:pPr>
        <w:pStyle w:val="Para0bullet"/>
        <w:tabs>
          <w:tab w:val="clear" w:pos="851"/>
          <w:tab w:val="left" w:pos="426"/>
        </w:tabs>
        <w:ind w:left="426" w:hanging="426"/>
      </w:pPr>
      <w:r w:rsidRPr="00863E1E">
        <w:rPr>
          <w:b/>
        </w:rPr>
        <w:t xml:space="preserve">Direct use value. </w:t>
      </w:r>
      <w:r w:rsidRPr="00863E1E">
        <w:t xml:space="preserve">This refers to values arising from the direct </w:t>
      </w:r>
      <w:r w:rsidRPr="00863E1E">
        <w:rPr>
          <w:b/>
        </w:rPr>
        <w:t>consumptive</w:t>
      </w:r>
      <w:r w:rsidRPr="00863E1E">
        <w:t xml:space="preserve"> and </w:t>
      </w:r>
      <w:r w:rsidRPr="00863E1E">
        <w:rPr>
          <w:b/>
        </w:rPr>
        <w:t>non-consumptive</w:t>
      </w:r>
      <w:r w:rsidRPr="00863E1E">
        <w:t xml:space="preserve"> benefits from GABSI</w:t>
      </w:r>
      <w:r w:rsidR="00743065">
        <w:t>.</w:t>
      </w:r>
      <w:r w:rsidRPr="00863E1E">
        <w:t xml:space="preserve"> </w:t>
      </w:r>
      <w:r w:rsidR="00743065">
        <w:t>C</w:t>
      </w:r>
      <w:r w:rsidRPr="00863E1E">
        <w:t>onsumptive benefits relate to the benefits to water users from the consumption of GAB water – e.g. consumption of water saved or from the improved efficiency of consumption of GAB water as a result of any pressure recovery</w:t>
      </w:r>
      <w:r>
        <w:t>;</w:t>
      </w:r>
      <w:r w:rsidRPr="00863E1E">
        <w:t xml:space="preserve"> GAB pressure</w:t>
      </w:r>
      <w:r>
        <w:t>;</w:t>
      </w:r>
      <w:r w:rsidRPr="00863E1E">
        <w:t xml:space="preserve"> </w:t>
      </w:r>
      <w:r>
        <w:t>and n</w:t>
      </w:r>
      <w:r w:rsidRPr="00863E1E">
        <w:t xml:space="preserve">on-consumptive benefits </w:t>
      </w:r>
      <w:r w:rsidR="00743065">
        <w:t xml:space="preserve">are </w:t>
      </w:r>
      <w:r w:rsidRPr="00863E1E">
        <w:t xml:space="preserve">from improved recreational, tourism, heritage, and amenity benefits. They also include benefits to landowners participating in the scheme that realise land management benefits such as pest and weed control to private and public landowners. </w:t>
      </w:r>
    </w:p>
    <w:p w:rsidR="00293F1E" w:rsidRPr="00863E1E" w:rsidRDefault="00293F1E" w:rsidP="00293F1E">
      <w:pPr>
        <w:pStyle w:val="Para0bullet"/>
        <w:tabs>
          <w:tab w:val="clear" w:pos="851"/>
          <w:tab w:val="left" w:pos="426"/>
        </w:tabs>
        <w:ind w:left="426" w:hanging="426"/>
      </w:pPr>
      <w:r w:rsidRPr="00863E1E">
        <w:rPr>
          <w:b/>
        </w:rPr>
        <w:t xml:space="preserve">Indirect </w:t>
      </w:r>
      <w:r w:rsidR="007A6C69" w:rsidRPr="00863E1E">
        <w:rPr>
          <w:b/>
        </w:rPr>
        <w:t>value</w:t>
      </w:r>
      <w:r w:rsidRPr="00863E1E">
        <w:rPr>
          <w:b/>
        </w:rPr>
        <w:t>.</w:t>
      </w:r>
      <w:r w:rsidRPr="00863E1E">
        <w:t xml:space="preserve"> This refers to the indirect support that GABSI has on communities and their economic performance. These communities may not directly depend on the GAB water directly, but rather on the industries that the water supports.</w:t>
      </w:r>
    </w:p>
    <w:p w:rsidR="00293F1E" w:rsidRPr="00863E1E" w:rsidRDefault="00C44196" w:rsidP="00293F1E">
      <w:pPr>
        <w:pStyle w:val="Para0bullet"/>
        <w:tabs>
          <w:tab w:val="clear" w:pos="851"/>
          <w:tab w:val="left" w:pos="426"/>
        </w:tabs>
        <w:ind w:left="426" w:hanging="426"/>
      </w:pPr>
      <w:r w:rsidRPr="00863E1E">
        <w:rPr>
          <w:b/>
        </w:rPr>
        <w:t>Option v</w:t>
      </w:r>
      <w:r w:rsidR="00293F1E" w:rsidRPr="00863E1E">
        <w:rPr>
          <w:b/>
        </w:rPr>
        <w:t>alue.</w:t>
      </w:r>
      <w:r w:rsidR="00293F1E" w:rsidRPr="00863E1E">
        <w:t xml:space="preserve"> This refers to the value one places on protecting or enhancing the option of deriving benefit from the GAB sometime in the future.</w:t>
      </w:r>
    </w:p>
    <w:p w:rsidR="005E2B88" w:rsidRPr="00863E1E" w:rsidRDefault="005E2B88" w:rsidP="005E2B88">
      <w:pPr>
        <w:pStyle w:val="Para0bullet"/>
        <w:tabs>
          <w:tab w:val="clear" w:pos="851"/>
          <w:tab w:val="left" w:pos="426"/>
        </w:tabs>
        <w:ind w:left="426" w:hanging="426"/>
      </w:pPr>
      <w:r w:rsidRPr="00863E1E">
        <w:rPr>
          <w:b/>
        </w:rPr>
        <w:t xml:space="preserve">Bequest / altruism value. </w:t>
      </w:r>
      <w:r w:rsidRPr="00863E1E">
        <w:t>This refers to the value that the public may hold in preserving or enhancing the value of the GAB for future generations.</w:t>
      </w:r>
      <w:r w:rsidRPr="00863E1E">
        <w:rPr>
          <w:b/>
        </w:rPr>
        <w:t xml:space="preserve"> </w:t>
      </w:r>
    </w:p>
    <w:p w:rsidR="00293F1E" w:rsidRPr="00863E1E" w:rsidRDefault="00293F1E" w:rsidP="00293F1E">
      <w:pPr>
        <w:pStyle w:val="Para0bullet"/>
        <w:tabs>
          <w:tab w:val="clear" w:pos="851"/>
          <w:tab w:val="left" w:pos="426"/>
        </w:tabs>
        <w:ind w:left="426" w:hanging="426"/>
      </w:pPr>
      <w:r w:rsidRPr="00863E1E">
        <w:rPr>
          <w:b/>
        </w:rPr>
        <w:t xml:space="preserve">Existence </w:t>
      </w:r>
      <w:r w:rsidR="00C44196" w:rsidRPr="00863E1E">
        <w:rPr>
          <w:b/>
        </w:rPr>
        <w:t>v</w:t>
      </w:r>
      <w:r w:rsidRPr="00863E1E">
        <w:rPr>
          <w:b/>
        </w:rPr>
        <w:t>alue.</w:t>
      </w:r>
      <w:r w:rsidRPr="00863E1E">
        <w:t xml:space="preserve"> This refers to the value one places on protecting or enhancing the GAB for its intrinsic existence value. Individuals place a value on the GAB’s existence, even if they have no intention of using its resources or visiting the site. </w:t>
      </w:r>
    </w:p>
    <w:p w:rsidR="000B5AAB" w:rsidRPr="00863E1E" w:rsidRDefault="000B5AAB" w:rsidP="000B5AAB">
      <w:pPr>
        <w:pStyle w:val="Para0"/>
      </w:pPr>
      <w:r w:rsidRPr="004A666E">
        <w:t xml:space="preserve">The benefits illustrated in </w:t>
      </w:r>
      <w:fldSimple w:instr=" REF _Ref370735111 \h  \* MERGEFORMAT ">
        <w:r w:rsidR="00516D07" w:rsidRPr="00863E1E">
          <w:t xml:space="preserve">Figure </w:t>
        </w:r>
        <w:r w:rsidR="00516D07">
          <w:t>3</w:t>
        </w:r>
      </w:fldSimple>
      <w:r w:rsidRPr="004A666E">
        <w:t xml:space="preserve"> have been colour-coded according to whether they have been considered quantitatively or qualitatively</w:t>
      </w:r>
      <w:r w:rsidR="004A666E" w:rsidRPr="004A666E">
        <w:t xml:space="preserve"> (or a combination of both)</w:t>
      </w:r>
      <w:r w:rsidRPr="004A666E">
        <w:t xml:space="preserve"> in the assessment.</w:t>
      </w:r>
      <w:r w:rsidRPr="00863E1E">
        <w:t xml:space="preserve"> </w:t>
      </w:r>
      <w:bookmarkStart w:id="18" w:name="_Toc371920334"/>
    </w:p>
    <w:p w:rsidR="000263F6" w:rsidRDefault="000263F6" w:rsidP="000263F6">
      <w:pPr>
        <w:pStyle w:val="Para0"/>
      </w:pPr>
      <w:r w:rsidRPr="00863E1E">
        <w:t xml:space="preserve">A key aspect of the TEV assessment is that only the incremental benefits are being considered. Many of the existing studies which estimate the value of groundwater consider the value of </w:t>
      </w:r>
      <w:r>
        <w:t xml:space="preserve">activities relying on </w:t>
      </w:r>
      <w:r w:rsidRPr="00863E1E">
        <w:t>existing groundwater usage</w:t>
      </w:r>
      <w:r>
        <w:t xml:space="preserve"> (and the value of maintaining these activities in the absence of / reduce groundwater usage)</w:t>
      </w:r>
      <w:r w:rsidRPr="00863E1E">
        <w:t>. Th</w:t>
      </w:r>
      <w:r>
        <w:t>is</w:t>
      </w:r>
      <w:r w:rsidRPr="00863E1E">
        <w:t xml:space="preserve"> assessment considered </w:t>
      </w:r>
      <w:r>
        <w:t>the</w:t>
      </w:r>
      <w:r w:rsidRPr="00863E1E">
        <w:t xml:space="preserve"> additional value (use and non-use) that would be realised from additional groundwater being made available or from GAB pressure being recovered. </w:t>
      </w:r>
    </w:p>
    <w:p w:rsidR="00CC1549" w:rsidRDefault="00CC1549" w:rsidP="00CC1549">
      <w:pPr>
        <w:pStyle w:val="Para0"/>
      </w:pPr>
      <w:r>
        <w:t>TEV on its own does not measure value for money (VfM). VfM is assessed as the TEV per dollar invested in the program. The condition criteria for VfM are as follows:</w:t>
      </w:r>
    </w:p>
    <w:p w:rsidR="000263F6" w:rsidRPr="00241794" w:rsidRDefault="000263F6" w:rsidP="00F669FB">
      <w:pPr>
        <w:pStyle w:val="Para0"/>
        <w:pBdr>
          <w:top w:val="single" w:sz="4" w:space="1" w:color="auto"/>
          <w:left w:val="single" w:sz="4" w:space="4" w:color="auto"/>
          <w:bottom w:val="single" w:sz="4" w:space="0" w:color="auto"/>
          <w:right w:val="single" w:sz="4" w:space="4" w:color="auto"/>
        </w:pBdr>
        <w:shd w:val="clear" w:color="auto" w:fill="DCE6F2" w:themeFill="accent6" w:themeFillTint="33"/>
        <w:tabs>
          <w:tab w:val="left" w:pos="426"/>
        </w:tabs>
        <w:spacing w:before="0"/>
        <w:ind w:left="425" w:hanging="425"/>
        <w:rPr>
          <w:b/>
        </w:rPr>
      </w:pPr>
      <w:r w:rsidRPr="00241794">
        <w:rPr>
          <w:b/>
        </w:rPr>
        <w:t>VfM condition Criteria</w:t>
      </w:r>
    </w:p>
    <w:p w:rsidR="000263F6" w:rsidRDefault="000263F6" w:rsidP="00AF3EEE">
      <w:pPr>
        <w:pStyle w:val="Para0"/>
        <w:numPr>
          <w:ilvl w:val="0"/>
          <w:numId w:val="35"/>
        </w:numPr>
        <w:pBdr>
          <w:top w:val="single" w:sz="4" w:space="1" w:color="auto"/>
          <w:left w:val="single" w:sz="4" w:space="4" w:color="auto"/>
          <w:bottom w:val="single" w:sz="4" w:space="0" w:color="auto"/>
          <w:right w:val="single" w:sz="4" w:space="4" w:color="auto"/>
        </w:pBdr>
        <w:shd w:val="clear" w:color="auto" w:fill="DCE6F2" w:themeFill="accent6" w:themeFillTint="33"/>
        <w:tabs>
          <w:tab w:val="left" w:pos="426"/>
        </w:tabs>
        <w:spacing w:before="0"/>
      </w:pPr>
      <w:r w:rsidRPr="00D74E65">
        <w:rPr>
          <w:b/>
        </w:rPr>
        <w:t>VfM</w:t>
      </w:r>
      <w:r>
        <w:t xml:space="preserve"> = </w:t>
      </w:r>
      <w:r w:rsidRPr="00D74E65">
        <w:rPr>
          <w:b/>
        </w:rPr>
        <w:t>TEV</w:t>
      </w:r>
      <w:r>
        <w:t xml:space="preserve"> (present value) </w:t>
      </w:r>
      <w:r w:rsidRPr="00D74E65">
        <w:rPr>
          <w:b/>
        </w:rPr>
        <w:t>/$ investment</w:t>
      </w:r>
      <w:r>
        <w:t xml:space="preserve"> (present value) = </w:t>
      </w:r>
      <w:r w:rsidRPr="00D74E65">
        <w:rPr>
          <w:b/>
        </w:rPr>
        <w:t>Benefit Cost Ratio (BCR)</w:t>
      </w:r>
    </w:p>
    <w:p w:rsidR="000263F6" w:rsidRDefault="000263F6" w:rsidP="00824349">
      <w:pPr>
        <w:pStyle w:val="Para0"/>
        <w:numPr>
          <w:ilvl w:val="0"/>
          <w:numId w:val="35"/>
        </w:numPr>
        <w:pBdr>
          <w:top w:val="single" w:sz="4" w:space="1" w:color="auto"/>
          <w:left w:val="single" w:sz="4" w:space="4" w:color="auto"/>
          <w:bottom w:val="single" w:sz="4" w:space="0" w:color="auto"/>
          <w:right w:val="single" w:sz="4" w:space="4" w:color="auto"/>
        </w:pBdr>
        <w:shd w:val="clear" w:color="auto" w:fill="DCE6F2" w:themeFill="accent6" w:themeFillTint="33"/>
        <w:tabs>
          <w:tab w:val="left" w:pos="426"/>
        </w:tabs>
        <w:spacing w:before="0"/>
      </w:pPr>
      <w:r w:rsidRPr="00241794">
        <w:rPr>
          <w:b/>
        </w:rPr>
        <w:t>BCR&gt;1</w:t>
      </w:r>
      <w:r>
        <w:t xml:space="preserve"> implies Value for Money, where the TEV (present value) is greater than the cost of the program. Overall, there is a net economic benefit to society. </w:t>
      </w:r>
    </w:p>
    <w:p w:rsidR="000263F6" w:rsidRPr="00863E1E" w:rsidRDefault="000263F6" w:rsidP="00824349">
      <w:pPr>
        <w:pStyle w:val="Para0"/>
        <w:numPr>
          <w:ilvl w:val="0"/>
          <w:numId w:val="35"/>
        </w:numPr>
        <w:pBdr>
          <w:top w:val="single" w:sz="4" w:space="1" w:color="auto"/>
          <w:left w:val="single" w:sz="4" w:space="4" w:color="auto"/>
          <w:bottom w:val="single" w:sz="4" w:space="0" w:color="auto"/>
          <w:right w:val="single" w:sz="4" w:space="4" w:color="auto"/>
        </w:pBdr>
        <w:shd w:val="clear" w:color="auto" w:fill="DCE6F2" w:themeFill="accent6" w:themeFillTint="33"/>
        <w:tabs>
          <w:tab w:val="left" w:pos="426"/>
        </w:tabs>
        <w:spacing w:before="0"/>
      </w:pPr>
      <w:r w:rsidRPr="00241794">
        <w:rPr>
          <w:b/>
        </w:rPr>
        <w:t>BCR&lt;1</w:t>
      </w:r>
      <w:r>
        <w:t xml:space="preserve"> implies that cost of the program (present value) exceeds the TEV (present value) and there is a net cost to society.</w:t>
      </w:r>
    </w:p>
    <w:p w:rsidR="00BE558C" w:rsidRPr="00863E1E" w:rsidRDefault="00BE558C" w:rsidP="00BE558C">
      <w:pPr>
        <w:pStyle w:val="Heading2"/>
      </w:pPr>
      <w:bookmarkStart w:id="19" w:name="_Toc378163300"/>
      <w:r w:rsidRPr="00863E1E">
        <w:t>Overarching assumptions and considerations</w:t>
      </w:r>
      <w:bookmarkEnd w:id="19"/>
    </w:p>
    <w:p w:rsidR="00BE558C" w:rsidRPr="00863E1E" w:rsidRDefault="00BE558C" w:rsidP="00BE558C">
      <w:pPr>
        <w:pStyle w:val="Para0"/>
      </w:pPr>
      <w:r w:rsidRPr="00863E1E">
        <w:t>The key consideration</w:t>
      </w:r>
      <w:r w:rsidR="00EA6F4D" w:rsidRPr="00863E1E">
        <w:t>s</w:t>
      </w:r>
      <w:r w:rsidRPr="00863E1E">
        <w:t xml:space="preserve"> and assumptions relevant to the </w:t>
      </w:r>
      <w:r w:rsidR="00EA6F4D" w:rsidRPr="00863E1E">
        <w:t>TEV assessment are:</w:t>
      </w:r>
    </w:p>
    <w:p w:rsidR="00BE558C" w:rsidRPr="00863E1E" w:rsidRDefault="00BE558C" w:rsidP="00BE558C">
      <w:pPr>
        <w:pStyle w:val="Para0bullet"/>
        <w:tabs>
          <w:tab w:val="clear" w:pos="851"/>
          <w:tab w:val="left" w:pos="426"/>
        </w:tabs>
        <w:ind w:left="426" w:hanging="426"/>
      </w:pPr>
      <w:r w:rsidRPr="00863E1E">
        <w:t>The assessment only considers the benefits that are directly attributable to investment undertaken as part of GABSI. When considering the impacts of individual GABSI phases, only benefits that are directly attributable to investment undertaken in that phase are considered.</w:t>
      </w:r>
      <w:r w:rsidR="00D016A6">
        <w:t xml:space="preserve"> </w:t>
      </w:r>
    </w:p>
    <w:p w:rsidR="00BA138D" w:rsidRPr="00863E1E" w:rsidRDefault="00BA138D" w:rsidP="00BA138D">
      <w:pPr>
        <w:pStyle w:val="Para0bullet"/>
        <w:tabs>
          <w:tab w:val="clear" w:pos="851"/>
          <w:tab w:val="left" w:pos="426"/>
        </w:tabs>
        <w:ind w:left="426" w:hanging="426"/>
      </w:pPr>
      <w:r w:rsidRPr="00863E1E">
        <w:t xml:space="preserve">All expenditure is presented in current (2013) dollars unless stated otherwise. </w:t>
      </w:r>
      <w:r>
        <w:t>ABS Consumer Price Index (CPI) was used to convert dollars to 2012/13 dollars.</w:t>
      </w:r>
    </w:p>
    <w:p w:rsidR="00BE558C" w:rsidRPr="00863E1E" w:rsidRDefault="00AF68EC" w:rsidP="00AF68EC">
      <w:pPr>
        <w:pStyle w:val="Para0bullet"/>
      </w:pPr>
      <w:r w:rsidRPr="00863E1E">
        <w:t>Where possible, value for money is assessed as the ratio of TEV per dollar invested. For these calculations, the present value of the program’s costs and benefits are estimated, giving consideration to the timing of expenditure and benefits.</w:t>
      </w:r>
      <w:r w:rsidR="00D016A6">
        <w:t xml:space="preserve"> </w:t>
      </w:r>
      <w:r w:rsidRPr="00863E1E">
        <w:t>Given the program started in 1999/2000 and the benefits will continue to be realised for many years to come, the present value of the program overall incorporates the costs and benefit that have occurred prior to 2013 (escalated to the present), and the discounted value of the costs and benefits that are anticipated to occur future years. A discount rate (or annual rate of interest where future value is estimated) is assumed to be 7% (real) consistent with the recommended approach on the Commonwealth Governments cost benefit analysis guidance material</w:t>
      </w:r>
      <w:r w:rsidR="00BE558C" w:rsidRPr="00863E1E">
        <w:rPr>
          <w:vertAlign w:val="superscript"/>
        </w:rPr>
        <w:footnoteReference w:id="4"/>
      </w:r>
      <w:r w:rsidR="00BE558C" w:rsidRPr="00863E1E">
        <w:t>.</w:t>
      </w:r>
      <w:r w:rsidR="00D016A6">
        <w:t xml:space="preserve"> </w:t>
      </w:r>
      <w:r w:rsidR="00BE558C" w:rsidRPr="00863E1E">
        <w:t xml:space="preserve">The sensitivity analysis also tests a discount rate of 3% and 10%. </w:t>
      </w:r>
    </w:p>
    <w:p w:rsidR="00BE558C" w:rsidRPr="00863E1E" w:rsidRDefault="00BE558C" w:rsidP="00BE558C">
      <w:pPr>
        <w:pStyle w:val="Para0bullet"/>
        <w:tabs>
          <w:tab w:val="clear" w:pos="851"/>
          <w:tab w:val="left" w:pos="426"/>
        </w:tabs>
        <w:ind w:left="426" w:hanging="426"/>
      </w:pPr>
      <w:r w:rsidRPr="00863E1E">
        <w:t>The assessment has been undertaken over the period 1999/2000 from GABSI commencement to 2044. This assessment period allows for 30 years of benefits to be captured f</w:t>
      </w:r>
      <w:r w:rsidR="00EA6F4D" w:rsidRPr="00863E1E">
        <w:t>rom works completed in 2013/14.</w:t>
      </w:r>
    </w:p>
    <w:p w:rsidR="00BE558C" w:rsidRPr="00863E1E" w:rsidRDefault="00BE558C" w:rsidP="00BE558C">
      <w:pPr>
        <w:pStyle w:val="Para0bullet"/>
        <w:tabs>
          <w:tab w:val="clear" w:pos="851"/>
          <w:tab w:val="left" w:pos="426"/>
        </w:tabs>
        <w:ind w:left="426" w:hanging="426"/>
      </w:pPr>
      <w:r w:rsidRPr="00863E1E">
        <w:t xml:space="preserve">It is assumed that bores rehabilitated have the same economic life as a new bore, which is estimated at 50 years. Similarly it is assumed that pipes installed have an economic life of 50 years. As such, it is assumed that benefits from any works undertaken will be realised for the full assessment period. </w:t>
      </w:r>
    </w:p>
    <w:p w:rsidR="00BE558C" w:rsidRPr="00863E1E" w:rsidRDefault="00BE558C" w:rsidP="00BE558C">
      <w:pPr>
        <w:pStyle w:val="Para0bullet"/>
        <w:tabs>
          <w:tab w:val="clear" w:pos="851"/>
          <w:tab w:val="left" w:pos="426"/>
        </w:tabs>
        <w:ind w:left="426" w:hanging="426"/>
      </w:pPr>
      <w:r w:rsidRPr="00863E1E">
        <w:t>Any recorded water saving or impact provided by jurisdictions for this assessment is assumed to be directly attributable to GABSI and not as a result of any other initiative. Similarly, it is assumed that the full benefits of GABSI are captured in available data, even if some are offset by other water use decisions – e.g</w:t>
      </w:r>
      <w:r w:rsidR="009D113E">
        <w:t xml:space="preserve">. additional allocation to </w:t>
      </w:r>
      <w:r w:rsidR="00896F06">
        <w:t>natural gas from coal seams</w:t>
      </w:r>
      <w:r w:rsidR="009D113E">
        <w:t>.</w:t>
      </w:r>
    </w:p>
    <w:p w:rsidR="00BE558C" w:rsidRPr="00863E1E" w:rsidRDefault="00BE558C" w:rsidP="00BE558C">
      <w:pPr>
        <w:pStyle w:val="Para0bullet"/>
        <w:tabs>
          <w:tab w:val="clear" w:pos="851"/>
          <w:tab w:val="left" w:pos="426"/>
        </w:tabs>
        <w:ind w:left="426" w:hanging="426"/>
      </w:pPr>
      <w:r w:rsidRPr="00863E1E">
        <w:t>The benefits are assumed to be homogenous within jurisdictions. In reality, the benefits associated with GABSI vary spatially, depending on the location of the works</w:t>
      </w:r>
      <w:r w:rsidR="00B35A00" w:rsidRPr="00863E1E">
        <w:t>, t</w:t>
      </w:r>
      <w:r w:rsidRPr="00863E1E">
        <w:t>he extent of groundwater dependent ecosystems, and the proximity and connectivity to other bores and spring.</w:t>
      </w:r>
      <w:r w:rsidR="00D016A6">
        <w:t xml:space="preserve"> </w:t>
      </w:r>
      <w:r w:rsidRPr="00863E1E">
        <w:t xml:space="preserve">However, most of the information for this assessment has been provided at the jurisdiction level and therefore, for the purpose of this assessment, it has been assumed that the benefits within a jurisdiction are consistent. This means that a ML saved, or pressure restored within a given jurisdiction has the same benefit irrespective of where these impacts occur. </w:t>
      </w:r>
    </w:p>
    <w:p w:rsidR="000B5AAB" w:rsidRPr="00863E1E" w:rsidRDefault="009D113E" w:rsidP="000B5AAB">
      <w:pPr>
        <w:pStyle w:val="Heading2"/>
      </w:pPr>
      <w:bookmarkStart w:id="20" w:name="_Toc378163301"/>
      <w:r>
        <w:t>Data and information</w:t>
      </w:r>
      <w:r w:rsidR="000B5AAB" w:rsidRPr="00863E1E">
        <w:t xml:space="preserve"> sources</w:t>
      </w:r>
      <w:bookmarkEnd w:id="20"/>
    </w:p>
    <w:p w:rsidR="000B5AAB" w:rsidRPr="00863E1E" w:rsidRDefault="000B5AAB" w:rsidP="000B5AAB">
      <w:pPr>
        <w:pStyle w:val="Para0"/>
      </w:pPr>
      <w:r w:rsidRPr="00863E1E">
        <w:t>The TEV framework is based on existing information and data publicly available or provided by the funding parties of the GABSI program (Commonwealth, Queensland, NSW</w:t>
      </w:r>
      <w:r w:rsidR="009D113E">
        <w:t>,</w:t>
      </w:r>
      <w:r w:rsidRPr="00863E1E">
        <w:t xml:space="preserve"> and SA governments). Where insufficient information is available to quantity the benefits, the assessment discusses the metrics which could be applied if better information was to become available. Where possible, qualitative metrics are considered and assessed. </w:t>
      </w:r>
    </w:p>
    <w:p w:rsidR="000B5AAB" w:rsidRPr="00863E1E" w:rsidRDefault="000B5AAB" w:rsidP="000B5AAB">
      <w:pPr>
        <w:pStyle w:val="Heading2"/>
      </w:pPr>
      <w:bookmarkStart w:id="21" w:name="_Toc378163302"/>
      <w:bookmarkEnd w:id="16"/>
      <w:bookmarkEnd w:id="18"/>
      <w:r w:rsidRPr="00863E1E">
        <w:t>Limitations</w:t>
      </w:r>
      <w:bookmarkEnd w:id="21"/>
    </w:p>
    <w:p w:rsidR="000B5AAB" w:rsidRPr="00863E1E" w:rsidRDefault="000B5AAB" w:rsidP="000B5AAB">
      <w:pPr>
        <w:pStyle w:val="Para0"/>
      </w:pPr>
      <w:r w:rsidRPr="00863E1E">
        <w:t>Limitations to the value for money assessment include:</w:t>
      </w:r>
    </w:p>
    <w:p w:rsidR="00D43CA4" w:rsidRPr="00863E1E" w:rsidRDefault="000B5AAB" w:rsidP="000B5AAB">
      <w:pPr>
        <w:pStyle w:val="Para0bullet"/>
        <w:tabs>
          <w:tab w:val="clear" w:pos="851"/>
          <w:tab w:val="left" w:pos="426"/>
        </w:tabs>
        <w:ind w:left="426" w:hanging="426"/>
      </w:pPr>
      <w:r w:rsidRPr="00863E1E">
        <w:t xml:space="preserve">Timing of </w:t>
      </w:r>
      <w:r w:rsidR="00E07B1D" w:rsidRPr="00863E1E">
        <w:t>a</w:t>
      </w:r>
      <w:r w:rsidRPr="00863E1E">
        <w:t>rtesian equilibrium is unknown. For example, pressure recovered in GABSI 1 may only be</w:t>
      </w:r>
      <w:r w:rsidR="00D43CA4" w:rsidRPr="00863E1E">
        <w:t xml:space="preserve"> apparent in future years. Given that the scope of this analysis did not include modelling of pressure impacts, benefits associated with pressure recovery captured in the TEV assessment are limited to those that have been identified (or witnessed) between 1999 and 2013.</w:t>
      </w:r>
      <w:r w:rsidR="00A00A05">
        <w:t xml:space="preserve"> In essence the VfM review is a </w:t>
      </w:r>
      <w:r w:rsidR="00A00A05" w:rsidRPr="00FF25CB">
        <w:rPr>
          <w:i/>
        </w:rPr>
        <w:t>snapshot</w:t>
      </w:r>
      <w:r w:rsidR="00A00A05">
        <w:t xml:space="preserve"> in time and does not account for declining benefits had GABSI not proceeded, nor does it account for a potential increase in benefits. It may be reasonable to conclude that the review will estimate VfM at a lower level by not considering these non-linear trends in benefits.</w:t>
      </w:r>
    </w:p>
    <w:p w:rsidR="00826F60" w:rsidRPr="00503E0C" w:rsidRDefault="00826F60" w:rsidP="00826F60">
      <w:pPr>
        <w:pStyle w:val="Para0bullet"/>
      </w:pPr>
      <w:r>
        <w:t>The i</w:t>
      </w:r>
      <w:r w:rsidRPr="00503E0C">
        <w:t xml:space="preserve">mpacts </w:t>
      </w:r>
      <w:r>
        <w:t xml:space="preserve">that </w:t>
      </w:r>
      <w:r w:rsidRPr="00503E0C">
        <w:t>GABSI</w:t>
      </w:r>
      <w:r>
        <w:t xml:space="preserve"> and the extraction of associated water during natural gas production from coal seam tenures</w:t>
      </w:r>
      <w:r w:rsidRPr="00503E0C">
        <w:t xml:space="preserve"> have had on one another</w:t>
      </w:r>
      <w:r>
        <w:t xml:space="preserve"> have not been assessed.</w:t>
      </w:r>
    </w:p>
    <w:p w:rsidR="000B5AAB" w:rsidRPr="00863E1E" w:rsidRDefault="000B5AAB" w:rsidP="000B5AAB">
      <w:pPr>
        <w:pStyle w:val="Para0bullet"/>
        <w:tabs>
          <w:tab w:val="clear" w:pos="851"/>
          <w:tab w:val="left" w:pos="426"/>
        </w:tabs>
        <w:ind w:left="426" w:hanging="426"/>
      </w:pPr>
      <w:r w:rsidRPr="00863E1E">
        <w:t>The value of groundwater is not fixed and is driven by a range of factors which can change over time. factors have not been considered</w:t>
      </w:r>
      <w:r w:rsidR="00D016A6">
        <w:t xml:space="preserve"> </w:t>
      </w:r>
      <w:r w:rsidRPr="00863E1E">
        <w:t xml:space="preserve">included include: </w:t>
      </w:r>
    </w:p>
    <w:p w:rsidR="000B5AAB" w:rsidRPr="00863E1E" w:rsidRDefault="000B5AAB" w:rsidP="000B5AAB">
      <w:pPr>
        <w:pStyle w:val="Para0dash"/>
        <w:tabs>
          <w:tab w:val="clear" w:pos="851"/>
          <w:tab w:val="left" w:pos="1134"/>
        </w:tabs>
        <w:ind w:left="1134"/>
      </w:pPr>
      <w:r w:rsidRPr="00863E1E">
        <w:rPr>
          <w:b/>
        </w:rPr>
        <w:t>Scarcity –</w:t>
      </w:r>
      <w:r w:rsidRPr="00863E1E">
        <w:t xml:space="preserve"> during period of high scarcity such as droughts, the value of water significantly increases</w:t>
      </w:r>
      <w:r w:rsidR="00E07B1D" w:rsidRPr="00863E1E">
        <w:t>.</w:t>
      </w:r>
    </w:p>
    <w:p w:rsidR="000263F6" w:rsidRPr="00863E1E" w:rsidRDefault="000263F6" w:rsidP="000263F6">
      <w:pPr>
        <w:pStyle w:val="Para0dash"/>
        <w:tabs>
          <w:tab w:val="clear" w:pos="851"/>
          <w:tab w:val="left" w:pos="1134"/>
        </w:tabs>
        <w:ind w:left="1134"/>
      </w:pPr>
      <w:r w:rsidRPr="00863E1E">
        <w:rPr>
          <w:b/>
        </w:rPr>
        <w:t>Substitutability –</w:t>
      </w:r>
      <w:r w:rsidRPr="00863E1E">
        <w:t xml:space="preserve"> for example, in areas where groundwater users also have access to surface water or desalinated water (for example in coastal areas), the marginal value of groundwater will </w:t>
      </w:r>
      <w:r>
        <w:t xml:space="preserve">be bounded by the cost of accessing the alternative water source and may </w:t>
      </w:r>
      <w:r w:rsidRPr="00863E1E">
        <w:t>be lower than in areas with no alternative water source.</w:t>
      </w:r>
    </w:p>
    <w:p w:rsidR="000B5AAB" w:rsidRPr="00863E1E" w:rsidRDefault="000B5AAB" w:rsidP="000B5AAB">
      <w:pPr>
        <w:pStyle w:val="Para0dash"/>
        <w:tabs>
          <w:tab w:val="clear" w:pos="851"/>
          <w:tab w:val="left" w:pos="1134"/>
        </w:tabs>
        <w:ind w:left="1134"/>
      </w:pPr>
      <w:r w:rsidRPr="009F79BB">
        <w:rPr>
          <w:b/>
        </w:rPr>
        <w:t>Quality –</w:t>
      </w:r>
      <w:r w:rsidRPr="009F79BB">
        <w:t xml:space="preserve"> the quality of the water will determine potential end uses. In areas where only groundwater</w:t>
      </w:r>
      <w:r w:rsidRPr="00863E1E">
        <w:t xml:space="preserve"> is available, agricultural use is predominantly limited to grazing (pastoral use) due to the quality of the water. Where shandying of groundwater with </w:t>
      </w:r>
      <w:r w:rsidR="008C01ED">
        <w:t>better</w:t>
      </w:r>
      <w:r w:rsidRPr="00863E1E">
        <w:t xml:space="preserve"> quality water is possible, it is more likely that the water can be used for irrigation purposes. Better quality water provides water users with more flexibility to allocate that water to highest value use</w:t>
      </w:r>
      <w:r w:rsidR="006B5D74">
        <w:t>s.</w:t>
      </w:r>
      <w:r w:rsidRPr="00863E1E">
        <w:t xml:space="preserve">). </w:t>
      </w:r>
    </w:p>
    <w:p w:rsidR="000B5AAB" w:rsidRPr="00863E1E" w:rsidRDefault="000B5AAB" w:rsidP="00A03576">
      <w:pPr>
        <w:pStyle w:val="Para0bullet"/>
        <w:numPr>
          <w:ilvl w:val="0"/>
          <w:numId w:val="0"/>
        </w:numPr>
        <w:tabs>
          <w:tab w:val="clear" w:pos="851"/>
          <w:tab w:val="left" w:pos="426"/>
        </w:tabs>
        <w:ind w:left="426"/>
      </w:pPr>
      <w:r w:rsidRPr="00863E1E">
        <w:t xml:space="preserve">There is insufficient information available to consider how these factors may differ within and between jurisdiction and over time, and as such, they have not been captured in the analysis. The value of GABSI is therefore assumed to be fixed and homogeneous across jurisdictions. </w:t>
      </w:r>
    </w:p>
    <w:p w:rsidR="000263F6" w:rsidRDefault="000263F6" w:rsidP="000263F6">
      <w:pPr>
        <w:pStyle w:val="Para0bullet"/>
        <w:tabs>
          <w:tab w:val="clear" w:pos="851"/>
          <w:tab w:val="left" w:pos="426"/>
        </w:tabs>
        <w:ind w:left="426" w:hanging="426"/>
      </w:pPr>
      <w:r>
        <w:t>The water savings and pressure recovery achieved from each GABSI phase is assumed to be fixed for the duration of the assessment period. This is a simplistic assumption given that as pressure is restored, flow rates will increase in uncontrolled bores and springs. This will offset some of the water savings and pressure recovery benefits estimated. In reality, this means that:</w:t>
      </w:r>
    </w:p>
    <w:p w:rsidR="000263F6" w:rsidRDefault="000263F6" w:rsidP="000263F6">
      <w:pPr>
        <w:pStyle w:val="Para1dash"/>
      </w:pPr>
      <w:r>
        <w:t>Works undertaken in Phase 2 help preserve the benefits achieved in Phase 1 and works undertaken in Phase 3 help preserve benefits achieved in Phase 2 and 3</w:t>
      </w:r>
    </w:p>
    <w:p w:rsidR="000263F6" w:rsidRDefault="000263F6" w:rsidP="000263F6">
      <w:pPr>
        <w:pStyle w:val="Para1dash"/>
      </w:pPr>
      <w:r>
        <w:t>If works in following phases are not undertaken, benefits from preceding phases will be lower than estimated.</w:t>
      </w:r>
    </w:p>
    <w:p w:rsidR="000263F6" w:rsidRPr="00863E1E" w:rsidRDefault="000263F6" w:rsidP="000263F6">
      <w:pPr>
        <w:pStyle w:val="Para1dash"/>
        <w:numPr>
          <w:ilvl w:val="0"/>
          <w:numId w:val="0"/>
        </w:numPr>
        <w:ind w:left="425"/>
      </w:pPr>
      <w:r>
        <w:t>Given that there is no data to establish a relationship between program phases, the analysis assumes that works and benefits with</w:t>
      </w:r>
      <w:r w:rsidR="00A00A05">
        <w:t>in</w:t>
      </w:r>
      <w:r>
        <w:t xml:space="preserve"> a given phase are independent from works and benefits in other phases.</w:t>
      </w:r>
    </w:p>
    <w:p w:rsidR="00D43CA4" w:rsidRPr="00863E1E" w:rsidRDefault="00860280" w:rsidP="00D43CA4">
      <w:pPr>
        <w:pStyle w:val="Para0"/>
      </w:pPr>
      <w:r>
        <w:t xml:space="preserve">As there is </w:t>
      </w:r>
      <w:r w:rsidR="00D43CA4" w:rsidRPr="00863E1E">
        <w:t xml:space="preserve">varying quality and completeness of data </w:t>
      </w:r>
      <w:r>
        <w:t xml:space="preserve">to inform the quantification of </w:t>
      </w:r>
      <w:r w:rsidR="00D43CA4" w:rsidRPr="00863E1E">
        <w:t xml:space="preserve">the benefits, the sensitivity of the value for money assessment to key assumptions has been tested (refer to a Section </w:t>
      </w:r>
      <w:r w:rsidR="006768F1">
        <w:fldChar w:fldCharType="begin"/>
      </w:r>
      <w:r w:rsidR="00D47072">
        <w:instrText xml:space="preserve"> REF _Ref373311219 \n \h </w:instrText>
      </w:r>
      <w:r w:rsidR="006768F1">
        <w:fldChar w:fldCharType="separate"/>
      </w:r>
      <w:r w:rsidR="00516D07">
        <w:t>5</w:t>
      </w:r>
      <w:r w:rsidR="006768F1">
        <w:fldChar w:fldCharType="end"/>
      </w:r>
      <w:r w:rsidR="00D47072">
        <w:t xml:space="preserve"> </w:t>
      </w:r>
      <w:r w:rsidR="00D43CA4" w:rsidRPr="00863E1E">
        <w:t xml:space="preserve">for the sensitivity assessment). </w:t>
      </w:r>
    </w:p>
    <w:p w:rsidR="000B5AAB" w:rsidRPr="00863E1E" w:rsidRDefault="000B5AAB" w:rsidP="000B5AAB">
      <w:pPr>
        <w:pStyle w:val="Para0"/>
      </w:pPr>
    </w:p>
    <w:p w:rsidR="005146F3" w:rsidRPr="00863E1E" w:rsidRDefault="00E611E2" w:rsidP="000B7CEA">
      <w:pPr>
        <w:pStyle w:val="Heading1"/>
      </w:pPr>
      <w:bookmarkStart w:id="22" w:name="_Ref373228999"/>
      <w:bookmarkStart w:id="23" w:name="_Toc378163303"/>
      <w:r w:rsidRPr="00863E1E">
        <w:t>Measuring the benefits of GABSI</w:t>
      </w:r>
      <w:bookmarkEnd w:id="22"/>
      <w:bookmarkEnd w:id="23"/>
    </w:p>
    <w:p w:rsidR="00293F1E" w:rsidRPr="00863E1E" w:rsidRDefault="00293F1E" w:rsidP="00293F1E">
      <w:pPr>
        <w:pStyle w:val="Heading2"/>
      </w:pPr>
      <w:bookmarkStart w:id="24" w:name="_Toc378163304"/>
      <w:r w:rsidRPr="00863E1E">
        <w:t>Consumptive benefits</w:t>
      </w:r>
      <w:bookmarkEnd w:id="24"/>
    </w:p>
    <w:p w:rsidR="000B5AAB" w:rsidRPr="00863E1E" w:rsidRDefault="000B5AAB" w:rsidP="000B5AAB">
      <w:pPr>
        <w:pStyle w:val="Para0"/>
      </w:pPr>
      <w:r w:rsidRPr="00863E1E">
        <w:t>Consumptive benefits have been defined as those realised through direct consumption of the GAB water. These relate to</w:t>
      </w:r>
      <w:r w:rsidR="005B19BB" w:rsidRPr="00863E1E">
        <w:t xml:space="preserve"> benefits from: </w:t>
      </w:r>
      <w:r w:rsidR="0072333D">
        <w:t>(</w:t>
      </w:r>
      <w:r w:rsidR="005B19BB" w:rsidRPr="00863E1E">
        <w:t xml:space="preserve">a) reallocating </w:t>
      </w:r>
      <w:r w:rsidRPr="00863E1E">
        <w:t>savings for consumptive purposes</w:t>
      </w:r>
      <w:r w:rsidR="005B19BB" w:rsidRPr="00863E1E">
        <w:t xml:space="preserve">; and </w:t>
      </w:r>
      <w:r w:rsidR="0072333D">
        <w:t>(</w:t>
      </w:r>
      <w:r w:rsidR="005B19BB" w:rsidRPr="00863E1E">
        <w:t xml:space="preserve">b) </w:t>
      </w:r>
      <w:r w:rsidRPr="00863E1E">
        <w:t>pressure improvements</w:t>
      </w:r>
      <w:r w:rsidR="005B19BB" w:rsidRPr="00863E1E">
        <w:t xml:space="preserve"> for water users</w:t>
      </w:r>
      <w:r w:rsidRPr="00863E1E">
        <w:t>.</w:t>
      </w:r>
    </w:p>
    <w:p w:rsidR="000B5AAB" w:rsidRPr="00863E1E" w:rsidRDefault="000B5AAB" w:rsidP="000B5AAB">
      <w:pPr>
        <w:pStyle w:val="Heading3"/>
      </w:pPr>
      <w:bookmarkStart w:id="25" w:name="_Ref373259106"/>
      <w:r w:rsidRPr="00863E1E">
        <w:t>Consumptive benefits from reallocated water</w:t>
      </w:r>
      <w:bookmarkEnd w:id="25"/>
    </w:p>
    <w:p w:rsidR="00E97C45" w:rsidRPr="00863E1E" w:rsidRDefault="00E97C45" w:rsidP="00E97C45">
      <w:pPr>
        <w:pStyle w:val="subhead"/>
      </w:pPr>
      <w:r w:rsidRPr="00863E1E">
        <w:t>Methodology</w:t>
      </w:r>
    </w:p>
    <w:p w:rsidR="000B5AAB" w:rsidRPr="00863E1E" w:rsidRDefault="00A03576" w:rsidP="000B5AAB">
      <w:pPr>
        <w:pStyle w:val="Para0"/>
      </w:pPr>
      <w:r w:rsidRPr="00863E1E">
        <w:t>Based on current GABSI implementation plans</w:t>
      </w:r>
      <w:r w:rsidR="00265525">
        <w:t xml:space="preserve"> prepared by each jurisdiction</w:t>
      </w:r>
      <w:r w:rsidRPr="00863E1E">
        <w:t>, a minimum of</w:t>
      </w:r>
      <w:r w:rsidR="009D21EF" w:rsidRPr="00863E1E">
        <w:t xml:space="preserve"> 7</w:t>
      </w:r>
      <w:r w:rsidR="000B5AAB" w:rsidRPr="00863E1E">
        <w:t xml:space="preserve">0% of any water saved </w:t>
      </w:r>
      <w:r w:rsidR="00293F1E" w:rsidRPr="00863E1E">
        <w:t>from</w:t>
      </w:r>
      <w:r w:rsidR="000B5AAB" w:rsidRPr="00863E1E">
        <w:t xml:space="preserve"> Queensland and NSW, and 50% from South </w:t>
      </w:r>
      <w:r w:rsidR="00293F1E" w:rsidRPr="00863E1E">
        <w:t>Australia</w:t>
      </w:r>
      <w:r w:rsidR="000B5AAB" w:rsidRPr="00863E1E">
        <w:t xml:space="preserve"> must be directly returned to the GAB to restore pressure. The remaining </w:t>
      </w:r>
      <w:r w:rsidR="009D21EF" w:rsidRPr="00863E1E">
        <w:t>30-50%</w:t>
      </w:r>
      <w:r w:rsidR="000B5AAB" w:rsidRPr="00863E1E">
        <w:t xml:space="preserve"> can be reallocated for consumptive purposes across any end use sector</w:t>
      </w:r>
      <w:r w:rsidR="005B19BB" w:rsidRPr="00863E1E">
        <w:t>, including</w:t>
      </w:r>
      <w:r w:rsidR="000B5AAB" w:rsidRPr="00863E1E">
        <w:t>:</w:t>
      </w:r>
    </w:p>
    <w:p w:rsidR="000B5AAB" w:rsidRPr="00863E1E" w:rsidRDefault="000B5AAB" w:rsidP="000B5AAB">
      <w:pPr>
        <w:pStyle w:val="Para0bullet"/>
        <w:tabs>
          <w:tab w:val="clear" w:pos="851"/>
          <w:tab w:val="left" w:pos="426"/>
        </w:tabs>
        <w:ind w:left="426" w:hanging="426"/>
      </w:pPr>
      <w:r w:rsidRPr="00863E1E">
        <w:t>Irrigated agriculture</w:t>
      </w:r>
    </w:p>
    <w:p w:rsidR="000B5AAB" w:rsidRPr="00863E1E" w:rsidRDefault="000B5AAB" w:rsidP="000B5AAB">
      <w:pPr>
        <w:pStyle w:val="Para0bullet"/>
        <w:tabs>
          <w:tab w:val="clear" w:pos="851"/>
          <w:tab w:val="left" w:pos="426"/>
        </w:tabs>
        <w:ind w:left="426" w:hanging="426"/>
      </w:pPr>
      <w:r w:rsidRPr="00863E1E">
        <w:t>Drinking water for livestock</w:t>
      </w:r>
    </w:p>
    <w:p w:rsidR="000B5AAB" w:rsidRPr="00863E1E" w:rsidRDefault="000B5AAB" w:rsidP="000B5AAB">
      <w:pPr>
        <w:pStyle w:val="Para0bullet"/>
        <w:tabs>
          <w:tab w:val="clear" w:pos="851"/>
          <w:tab w:val="left" w:pos="426"/>
        </w:tabs>
        <w:ind w:left="426" w:hanging="426"/>
      </w:pPr>
      <w:r w:rsidRPr="00863E1E">
        <w:t>Mining and related industries</w:t>
      </w:r>
    </w:p>
    <w:p w:rsidR="000B5AAB" w:rsidRPr="00863E1E" w:rsidRDefault="000B5AAB" w:rsidP="000B5AAB">
      <w:pPr>
        <w:pStyle w:val="Para0bullet"/>
        <w:tabs>
          <w:tab w:val="clear" w:pos="851"/>
          <w:tab w:val="left" w:pos="426"/>
        </w:tabs>
        <w:ind w:left="426" w:hanging="426"/>
      </w:pPr>
      <w:r w:rsidRPr="00863E1E">
        <w:t>Other industries</w:t>
      </w:r>
    </w:p>
    <w:p w:rsidR="000B5AAB" w:rsidRPr="00863E1E" w:rsidRDefault="000B5AAB" w:rsidP="000B5AAB">
      <w:pPr>
        <w:pStyle w:val="Para0bullet"/>
        <w:tabs>
          <w:tab w:val="clear" w:pos="851"/>
          <w:tab w:val="left" w:pos="426"/>
        </w:tabs>
        <w:ind w:left="426" w:hanging="426"/>
      </w:pPr>
      <w:r w:rsidRPr="00863E1E">
        <w:t>Water supply (treatment plants)</w:t>
      </w:r>
    </w:p>
    <w:p w:rsidR="000B5AAB" w:rsidRPr="00863E1E" w:rsidRDefault="000B5AAB" w:rsidP="000B5AAB">
      <w:pPr>
        <w:pStyle w:val="Para0bullet"/>
        <w:tabs>
          <w:tab w:val="clear" w:pos="851"/>
          <w:tab w:val="left" w:pos="426"/>
        </w:tabs>
        <w:ind w:left="426" w:hanging="426"/>
      </w:pPr>
      <w:r w:rsidRPr="00863E1E">
        <w:t>Households (direct)</w:t>
      </w:r>
    </w:p>
    <w:p w:rsidR="000B5AAB" w:rsidRPr="00863E1E" w:rsidRDefault="000B5AAB" w:rsidP="000B5AAB">
      <w:pPr>
        <w:pStyle w:val="Para0"/>
      </w:pPr>
      <w:r w:rsidRPr="00863E1E">
        <w:rPr>
          <w:bCs/>
        </w:rPr>
        <w:t>Although</w:t>
      </w:r>
      <w:r w:rsidRPr="00863E1E">
        <w:t xml:space="preserve"> less than 30% of saved water has been reallocated for consumptive use by Queensland and NSW, and less than 50% has been reallocated by South Australia, the option of allocating that water still exists. As such, </w:t>
      </w:r>
      <w:r w:rsidR="009D21EF" w:rsidRPr="00863E1E">
        <w:t xml:space="preserve">the volume of water that can be re-allocated is valued based on its </w:t>
      </w:r>
      <w:r w:rsidR="00A03576" w:rsidRPr="00863E1E">
        <w:t xml:space="preserve">potential </w:t>
      </w:r>
      <w:r w:rsidR="009D21EF" w:rsidRPr="00863E1E">
        <w:t xml:space="preserve">consumptive use value. </w:t>
      </w:r>
    </w:p>
    <w:p w:rsidR="000B5AAB" w:rsidRPr="00863E1E" w:rsidRDefault="000B5AAB" w:rsidP="00A10E54">
      <w:pPr>
        <w:pStyle w:val="Para0"/>
      </w:pPr>
      <w:r w:rsidRPr="00863E1E">
        <w:t xml:space="preserve">The </w:t>
      </w:r>
      <w:r w:rsidR="00A03576" w:rsidRPr="00863E1E">
        <w:t xml:space="preserve">consumptive </w:t>
      </w:r>
      <w:r w:rsidRPr="00863E1E">
        <w:t>value of the reallocated water can be estimated using a range of method</w:t>
      </w:r>
      <w:r w:rsidR="00265525">
        <w:t>s</w:t>
      </w:r>
      <w:r w:rsidRPr="00863E1E">
        <w:t>, includ</w:t>
      </w:r>
      <w:r w:rsidR="00A10E54" w:rsidRPr="00863E1E">
        <w:t xml:space="preserve">ing those outlined in </w:t>
      </w:r>
      <w:r w:rsidR="009D21EF" w:rsidRPr="00863E1E">
        <w:t>the following table.</w:t>
      </w:r>
    </w:p>
    <w:p w:rsidR="00A10E54" w:rsidRPr="00863E1E" w:rsidRDefault="00A10E54" w:rsidP="00A10E54">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6</w:t>
      </w:r>
      <w:r w:rsidR="006768F1">
        <w:fldChar w:fldCharType="end"/>
      </w:r>
      <w:r w:rsidRPr="00863E1E">
        <w:t>:</w:t>
      </w:r>
      <w:r w:rsidR="00A03576" w:rsidRPr="00863E1E">
        <w:t xml:space="preserve"> Potential valuation approached </w:t>
      </w:r>
      <w:r w:rsidRPr="00863E1E">
        <w:t xml:space="preserve">valuing </w:t>
      </w:r>
      <w:r w:rsidR="00A03576" w:rsidRPr="00863E1E">
        <w:t xml:space="preserve">saved water that can be </w:t>
      </w:r>
      <w:r w:rsidRPr="00863E1E">
        <w:t>reallocated</w:t>
      </w:r>
      <w:r w:rsidR="00A03576" w:rsidRPr="00863E1E">
        <w:t xml:space="preserve"> for consumptive use</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133"/>
        <w:gridCol w:w="1844"/>
        <w:gridCol w:w="6946"/>
      </w:tblGrid>
      <w:tr w:rsidR="00F669FB" w:rsidRPr="00863E1E" w:rsidTr="002E4907">
        <w:trPr>
          <w:cantSplit/>
          <w:tblHeader/>
        </w:trPr>
        <w:tc>
          <w:tcPr>
            <w:tcW w:w="571" w:type="pct"/>
            <w:shd w:val="clear" w:color="auto" w:fill="5185C0"/>
          </w:tcPr>
          <w:p w:rsidR="00A10E54" w:rsidRPr="00863E1E" w:rsidRDefault="00A10E54" w:rsidP="00A10E54">
            <w:pPr>
              <w:pStyle w:val="Tablesmallheading"/>
            </w:pPr>
            <w:r w:rsidRPr="00863E1E">
              <w:t>Method</w:t>
            </w:r>
          </w:p>
        </w:tc>
        <w:tc>
          <w:tcPr>
            <w:tcW w:w="929" w:type="pct"/>
            <w:shd w:val="clear" w:color="auto" w:fill="5185C0"/>
          </w:tcPr>
          <w:p w:rsidR="00A10E54" w:rsidRPr="00863E1E" w:rsidRDefault="00A10E54" w:rsidP="00A10E54">
            <w:pPr>
              <w:pStyle w:val="Tablesmallheading"/>
            </w:pPr>
            <w:r w:rsidRPr="00863E1E">
              <w:t>Description</w:t>
            </w:r>
          </w:p>
        </w:tc>
        <w:tc>
          <w:tcPr>
            <w:tcW w:w="3500" w:type="pct"/>
            <w:shd w:val="clear" w:color="auto" w:fill="5185C0"/>
          </w:tcPr>
          <w:p w:rsidR="00A10E54" w:rsidRPr="00863E1E" w:rsidRDefault="00A10E54" w:rsidP="00A10E54">
            <w:pPr>
              <w:pStyle w:val="Tablesmallheading"/>
            </w:pPr>
            <w:r w:rsidRPr="00863E1E">
              <w:t>Applicability of method</w:t>
            </w:r>
          </w:p>
        </w:tc>
      </w:tr>
      <w:tr w:rsidR="00A10E54" w:rsidRPr="00863E1E" w:rsidTr="00681AB7">
        <w:tc>
          <w:tcPr>
            <w:tcW w:w="571" w:type="pct"/>
          </w:tcPr>
          <w:p w:rsidR="00A10E54" w:rsidRPr="00863E1E" w:rsidRDefault="00A10E54" w:rsidP="00A10E54">
            <w:pPr>
              <w:pStyle w:val="Tablesmalltext"/>
            </w:pPr>
            <w:r w:rsidRPr="00863E1E">
              <w:rPr>
                <w:b/>
              </w:rPr>
              <w:t>Deprival method</w:t>
            </w:r>
          </w:p>
        </w:tc>
        <w:tc>
          <w:tcPr>
            <w:tcW w:w="929" w:type="pct"/>
          </w:tcPr>
          <w:p w:rsidR="00A10E54" w:rsidRPr="00863E1E" w:rsidRDefault="00A10E54" w:rsidP="00A10E54">
            <w:pPr>
              <w:pStyle w:val="Tablesmalltext"/>
            </w:pPr>
            <w:r w:rsidRPr="00863E1E">
              <w:t>Under this method, the value of water is assumed to equal the cost of accessing the same volume of water from the next cheapest alternative water source (MJA, 2012).</w:t>
            </w:r>
          </w:p>
        </w:tc>
        <w:tc>
          <w:tcPr>
            <w:tcW w:w="3500" w:type="pct"/>
          </w:tcPr>
          <w:p w:rsidR="00A10E54" w:rsidRPr="00863E1E" w:rsidRDefault="00A10E54" w:rsidP="00A10E54">
            <w:pPr>
              <w:pStyle w:val="Tablesmalltext"/>
            </w:pPr>
            <w:r w:rsidRPr="00863E1E">
              <w:t xml:space="preserve">Studies by Deloitte Access Economics – Economic Value of Groundwater for Australia (2013), Marsden Jacob Associates (2012) and a Victorian study by RMCG (2008) provide estimates of the value of water ($/ML) for different sectors using the deprival method. A summary of these values is provided in </w:t>
            </w:r>
            <w:fldSimple w:instr=" REF _Ref372124427 \w \h  \* MERGEFORMAT ">
              <w:r w:rsidR="00516D07">
                <w:t>0</w:t>
              </w:r>
            </w:fldSimple>
            <w:r w:rsidRPr="00863E1E">
              <w:t>).</w:t>
            </w:r>
          </w:p>
          <w:p w:rsidR="00A10E54" w:rsidRPr="00863E1E" w:rsidRDefault="00A10E54" w:rsidP="007758E4">
            <w:pPr>
              <w:pStyle w:val="Tablesmalltext"/>
            </w:pPr>
            <w:r w:rsidRPr="00863E1E">
              <w:t xml:space="preserve">The deprival values listed in </w:t>
            </w:r>
            <w:fldSimple w:instr=" REF _Ref372124427 \w \h  \* MERGEFORMAT ">
              <w:r w:rsidR="00516D07">
                <w:t>0</w:t>
              </w:r>
            </w:fldSimple>
            <w:r w:rsidRPr="00863E1E">
              <w:t xml:space="preserve"> are not considered to be</w:t>
            </w:r>
            <w:r w:rsidR="007758E4" w:rsidRPr="00863E1E">
              <w:t xml:space="preserve"> the most</w:t>
            </w:r>
            <w:r w:rsidRPr="00863E1E">
              <w:t xml:space="preserve"> appropriate for estimating the direct use of groundwater saved under GABSI. These values were used to estimate the value of existing groundwater use, nationally or within a jurisdiction</w:t>
            </w:r>
            <w:r w:rsidRPr="00863E1E">
              <w:rPr>
                <w:vertAlign w:val="superscript"/>
              </w:rPr>
              <w:footnoteReference w:id="5"/>
            </w:r>
            <w:r w:rsidRPr="00863E1E">
              <w:t xml:space="preserve"> and</w:t>
            </w:r>
            <w:r w:rsidR="000263F6">
              <w:t xml:space="preserve"> are</w:t>
            </w:r>
            <w:r w:rsidRPr="00863E1E">
              <w:t xml:space="preserve"> </w:t>
            </w:r>
            <w:r w:rsidR="007758E4" w:rsidRPr="00863E1E">
              <w:t>most accurate for assessing the</w:t>
            </w:r>
            <w:r w:rsidRPr="00863E1E">
              <w:t xml:space="preserve"> benefits associated with maintaining </w:t>
            </w:r>
            <w:r w:rsidRPr="00863E1E">
              <w:rPr>
                <w:b/>
                <w:i/>
              </w:rPr>
              <w:t>existing</w:t>
            </w:r>
            <w:r w:rsidRPr="00863E1E">
              <w:rPr>
                <w:b/>
              </w:rPr>
              <w:t xml:space="preserve"> </w:t>
            </w:r>
            <w:r w:rsidRPr="00863E1E">
              <w:t>groundwater availability for each sector.</w:t>
            </w:r>
            <w:r w:rsidR="007758E4" w:rsidRPr="00863E1E">
              <w:t xml:space="preserve"> These values do not necessarily represent the marginal value of additional water made available.</w:t>
            </w:r>
          </w:p>
          <w:p w:rsidR="00C47454" w:rsidRPr="00863E1E" w:rsidRDefault="00C47454" w:rsidP="00C47454">
            <w:pPr>
              <w:pStyle w:val="Tablesmalltext"/>
            </w:pPr>
            <w:r w:rsidRPr="00863E1E">
              <w:t xml:space="preserve">For example, despite the next cheapest alternative to access water being estimated at $2,750 for the mining sector, there is no guarantee that a mining company (existing or new) would be willing to pay that amount to access an additional ML of water. The decision to purchase more water could depend on exogenous market conditions such as end use price, input prices, global demand, and government policy. </w:t>
            </w:r>
          </w:p>
          <w:p w:rsidR="00C47454" w:rsidRPr="00863E1E" w:rsidRDefault="000263F6" w:rsidP="00A00A05">
            <w:pPr>
              <w:pStyle w:val="Tablesmalltext"/>
            </w:pPr>
            <w:r w:rsidRPr="00863E1E">
              <w:t>Furthermore, water made available under GABSI is location specific, and accessing this water would involve relocating the business or transferring water (e</w:t>
            </w:r>
            <w:r>
              <w:t>.</w:t>
            </w:r>
            <w:r w:rsidRPr="00863E1E">
              <w:t>g</w:t>
            </w:r>
            <w:r>
              <w:t>.</w:t>
            </w:r>
            <w:r w:rsidRPr="00863E1E">
              <w:t xml:space="preserve"> piping).</w:t>
            </w:r>
            <w:r>
              <w:t xml:space="preserve"> </w:t>
            </w:r>
            <w:r w:rsidRPr="00863E1E">
              <w:t xml:space="preserve">As such, the costs of accessing the water and/or the operational flexibility to relocate </w:t>
            </w:r>
            <w:r w:rsidR="00A00A05">
              <w:t>may</w:t>
            </w:r>
            <w:r w:rsidRPr="00863E1E">
              <w:t xml:space="preserve"> impact the willingness to pay for additional water. This willingness to pay for a new water licence </w:t>
            </w:r>
            <w:r w:rsidR="00A00A05">
              <w:t>may</w:t>
            </w:r>
            <w:r w:rsidRPr="00863E1E">
              <w:t xml:space="preserve"> therefore not </w:t>
            </w:r>
            <w:r w:rsidR="00A00A05">
              <w:t xml:space="preserve">be </w:t>
            </w:r>
            <w:r>
              <w:t>as high as the value of existing groundwater use.</w:t>
            </w:r>
          </w:p>
        </w:tc>
      </w:tr>
      <w:tr w:rsidR="00A10E54" w:rsidRPr="00863E1E" w:rsidTr="00681AB7">
        <w:trPr>
          <w:cantSplit/>
        </w:trPr>
        <w:tc>
          <w:tcPr>
            <w:tcW w:w="571" w:type="pct"/>
          </w:tcPr>
          <w:p w:rsidR="00A10E54" w:rsidRPr="00863E1E" w:rsidRDefault="00A10E54" w:rsidP="00A10E54">
            <w:pPr>
              <w:pStyle w:val="Tablesmalltext"/>
            </w:pPr>
            <w:r w:rsidRPr="00863E1E">
              <w:rPr>
                <w:b/>
              </w:rPr>
              <w:t>Residual value method</w:t>
            </w:r>
          </w:p>
        </w:tc>
        <w:tc>
          <w:tcPr>
            <w:tcW w:w="929" w:type="pct"/>
          </w:tcPr>
          <w:p w:rsidR="00A10E54" w:rsidRPr="00863E1E" w:rsidRDefault="00A10E54" w:rsidP="00A10E54">
            <w:pPr>
              <w:pStyle w:val="Tablesmalltext"/>
            </w:pPr>
            <w:r w:rsidRPr="00863E1E">
              <w:t>This method assumes that the value of water is represented by the profit generated by the use of that water.</w:t>
            </w:r>
          </w:p>
        </w:tc>
        <w:tc>
          <w:tcPr>
            <w:tcW w:w="3500" w:type="pct"/>
          </w:tcPr>
          <w:p w:rsidR="007758E4" w:rsidRPr="00863E1E" w:rsidRDefault="00AF68EC" w:rsidP="00A10E54">
            <w:pPr>
              <w:pStyle w:val="Tablesmalltext"/>
            </w:pPr>
            <w:r w:rsidRPr="00863E1E">
              <w:t>The application of the residual method is generally deemed to be appropriate when estimating the value of groundwater when it is not possible (or prohibitively costly) to replace groundwater with an alternative water source</w:t>
            </w:r>
            <w:r w:rsidR="001B0004">
              <w:t>.</w:t>
            </w:r>
            <w:r w:rsidR="007758E4" w:rsidRPr="00863E1E">
              <w:t xml:space="preserve"> Deloitte Access Economics (2013) suggested that this was most appropriate for the stock and domestic sector. </w:t>
            </w:r>
          </w:p>
          <w:p w:rsidR="00EE3184" w:rsidRPr="00863E1E" w:rsidRDefault="007758E4" w:rsidP="00C47454">
            <w:pPr>
              <w:pStyle w:val="Tablesmalltext"/>
            </w:pPr>
            <w:r w:rsidRPr="00863E1E">
              <w:t>Similarly to the deprival value, the residual value does not necessity capture the demand</w:t>
            </w:r>
            <w:r w:rsidR="00C47454" w:rsidRPr="00863E1E">
              <w:t xml:space="preserve"> and willingness to pay</w:t>
            </w:r>
            <w:r w:rsidRPr="00863E1E">
              <w:t xml:space="preserve"> for additional water.</w:t>
            </w:r>
          </w:p>
        </w:tc>
      </w:tr>
      <w:tr w:rsidR="00A10E54" w:rsidRPr="00863E1E" w:rsidTr="00681AB7">
        <w:trPr>
          <w:cantSplit/>
        </w:trPr>
        <w:tc>
          <w:tcPr>
            <w:tcW w:w="571" w:type="pct"/>
          </w:tcPr>
          <w:p w:rsidR="00A10E54" w:rsidRPr="00863E1E" w:rsidRDefault="00A10E54" w:rsidP="00A10E54">
            <w:pPr>
              <w:pStyle w:val="Tablesmalltext"/>
            </w:pPr>
            <w:r w:rsidRPr="00863E1E">
              <w:rPr>
                <w:b/>
              </w:rPr>
              <w:t>Market price method</w:t>
            </w:r>
          </w:p>
        </w:tc>
        <w:tc>
          <w:tcPr>
            <w:tcW w:w="929" w:type="pct"/>
          </w:tcPr>
          <w:p w:rsidR="00A10E54" w:rsidRPr="00863E1E" w:rsidRDefault="00A10E54" w:rsidP="00A10E54">
            <w:pPr>
              <w:pStyle w:val="Tablesmalltext"/>
            </w:pPr>
            <w:r w:rsidRPr="00863E1E">
              <w:t>This is the value revealed through water trading markets, where they exist for groundwater.</w:t>
            </w:r>
          </w:p>
        </w:tc>
        <w:tc>
          <w:tcPr>
            <w:tcW w:w="3500" w:type="pct"/>
          </w:tcPr>
          <w:p w:rsidR="000263F6" w:rsidRPr="00863E1E" w:rsidRDefault="000263F6" w:rsidP="000263F6">
            <w:pPr>
              <w:pStyle w:val="Tablesmalltext"/>
            </w:pPr>
            <w:r w:rsidRPr="00863E1E">
              <w:t xml:space="preserve">The best indicator for direct use value of </w:t>
            </w:r>
            <w:r w:rsidRPr="00863E1E">
              <w:rPr>
                <w:b/>
                <w:i/>
              </w:rPr>
              <w:t xml:space="preserve">additional </w:t>
            </w:r>
            <w:r w:rsidRPr="00863E1E">
              <w:t>groundwater delivered through GABSI is water users’ willingness to pay for an additional ML of water.</w:t>
            </w:r>
          </w:p>
          <w:p w:rsidR="000263F6" w:rsidRPr="00863E1E" w:rsidRDefault="000263F6" w:rsidP="000263F6">
            <w:pPr>
              <w:pStyle w:val="Tablesmalltext"/>
            </w:pPr>
            <w:r w:rsidRPr="00863E1E">
              <w:t xml:space="preserve">Where available, the market price of water can be used to reveal water users’ willingness to pay for an additional ML. In most markets, consumers at the margin are willing to pay no more </w:t>
            </w:r>
            <w:r>
              <w:t>(and sellers willing to accept</w:t>
            </w:r>
            <w:r w:rsidRPr="00863E1E">
              <w:t xml:space="preserve"> no less</w:t>
            </w:r>
            <w:r>
              <w:t>)</w:t>
            </w:r>
            <w:r w:rsidRPr="00863E1E">
              <w:t xml:space="preserve"> than the actual price in the market (Commonwealth Government, 2006). Accordingly, that price can generally be taken as a measure of the use value. </w:t>
            </w:r>
          </w:p>
          <w:p w:rsidR="000263F6" w:rsidRPr="00863E1E" w:rsidRDefault="000263F6" w:rsidP="000263F6">
            <w:pPr>
              <w:pStyle w:val="Tablesmalltext"/>
            </w:pPr>
            <w:r w:rsidRPr="00863E1E">
              <w:t xml:space="preserve">Unlike the deprival method and residual value approach, the market price best reflects the highest </w:t>
            </w:r>
            <w:r>
              <w:t xml:space="preserve">marginal </w:t>
            </w:r>
            <w:r w:rsidRPr="00863E1E">
              <w:t>value use at a point in time for the package of water being sold, and reflects:</w:t>
            </w:r>
          </w:p>
          <w:p w:rsidR="00CC2841" w:rsidRPr="00863E1E" w:rsidRDefault="00CC2841" w:rsidP="000263F6">
            <w:pPr>
              <w:pStyle w:val="Tablesmallbullet"/>
            </w:pPr>
            <w:r w:rsidRPr="00863E1E">
              <w:t>Physical or geographic constraints to accessing the water or trading the water</w:t>
            </w:r>
          </w:p>
          <w:p w:rsidR="00CC2841" w:rsidRPr="00863E1E" w:rsidRDefault="00CC2841" w:rsidP="000263F6">
            <w:pPr>
              <w:pStyle w:val="Tablesmallbullet"/>
            </w:pPr>
            <w:r w:rsidRPr="00863E1E">
              <w:t>Regulatory barriers</w:t>
            </w:r>
          </w:p>
          <w:p w:rsidR="00A10E54" w:rsidRPr="00863E1E" w:rsidRDefault="00CC2841" w:rsidP="000263F6">
            <w:pPr>
              <w:pStyle w:val="Tablesmallbullet"/>
            </w:pPr>
            <w:r w:rsidRPr="00863E1E">
              <w:t xml:space="preserve">Availability and/or cost of alternative water sources impacting demand. </w:t>
            </w:r>
          </w:p>
        </w:tc>
      </w:tr>
    </w:tbl>
    <w:p w:rsidR="00A2029C" w:rsidRPr="00863E1E" w:rsidRDefault="00A2029C" w:rsidP="000B5AAB">
      <w:pPr>
        <w:pStyle w:val="Para0"/>
      </w:pPr>
      <w:r w:rsidRPr="00863E1E">
        <w:t>Based on this assessment of the potential methods, SKM has used the market price method for valuing reallocated water.</w:t>
      </w:r>
    </w:p>
    <w:p w:rsidR="00431688" w:rsidRPr="00863E1E" w:rsidRDefault="00431688" w:rsidP="00431688">
      <w:pPr>
        <w:pStyle w:val="Para0"/>
      </w:pPr>
      <w:r w:rsidRPr="00863E1E">
        <w:t>Groundwater entitlement trading is limited in most jurisdictions, so there is limited data on market prices that can be applied to this study. The only data available include</w:t>
      </w:r>
      <w:r w:rsidR="00265525">
        <w:t>s</w:t>
      </w:r>
      <w:r w:rsidRPr="00863E1E">
        <w:t>:</w:t>
      </w:r>
    </w:p>
    <w:p w:rsidR="00431688" w:rsidRPr="00863E1E" w:rsidRDefault="00431688" w:rsidP="000B5AAB">
      <w:pPr>
        <w:pStyle w:val="Para0bullet"/>
        <w:tabs>
          <w:tab w:val="clear" w:pos="851"/>
          <w:tab w:val="left" w:pos="426"/>
        </w:tabs>
        <w:ind w:left="426" w:hanging="426"/>
      </w:pPr>
      <w:r w:rsidRPr="00863E1E">
        <w:rPr>
          <w:b/>
        </w:rPr>
        <w:t xml:space="preserve">Queensland data – </w:t>
      </w:r>
      <w:r w:rsidRPr="00863E1E">
        <w:t xml:space="preserve">only five trades between 2007/08 and 2012/13 for a total volume of 221 ML. The </w:t>
      </w:r>
      <w:r w:rsidR="00194375">
        <w:t>range of these prices was $1,500</w:t>
      </w:r>
      <w:r w:rsidR="00BA6B81">
        <w:t>/ML</w:t>
      </w:r>
      <w:r w:rsidR="00194375">
        <w:t xml:space="preserve"> to $2,500</w:t>
      </w:r>
      <w:r w:rsidR="00BA6B81">
        <w:t>/ML,</w:t>
      </w:r>
      <w:r w:rsidR="00194375">
        <w:t xml:space="preserve"> with an </w:t>
      </w:r>
      <w:r w:rsidRPr="00863E1E">
        <w:t>average price of $2,281/ML (2013 dollars).</w:t>
      </w:r>
      <w:r w:rsidR="00C765AF">
        <w:rPr>
          <w:rStyle w:val="FootnoteReference"/>
        </w:rPr>
        <w:footnoteReference w:id="6"/>
      </w:r>
    </w:p>
    <w:p w:rsidR="00094473" w:rsidRPr="00863E1E" w:rsidRDefault="00094473" w:rsidP="00094473">
      <w:pPr>
        <w:pStyle w:val="Para0bullet"/>
        <w:tabs>
          <w:tab w:val="clear" w:pos="851"/>
          <w:tab w:val="left" w:pos="426"/>
        </w:tabs>
        <w:ind w:left="426" w:hanging="426"/>
      </w:pPr>
      <w:r w:rsidRPr="00863E1E">
        <w:rPr>
          <w:b/>
        </w:rPr>
        <w:t xml:space="preserve">NSW </w:t>
      </w:r>
      <w:r>
        <w:rPr>
          <w:b/>
        </w:rPr>
        <w:t>data –</w:t>
      </w:r>
      <w:r w:rsidRPr="00863E1E">
        <w:t xml:space="preserve"> NSW has the highest volume of groundwater traded (Deloitte Access Economics 2013). Of most relevance to this study is the auction conducted in 2009 to sell 24 groundwater access licences (1,200ML), which were made available through GABSI water savings</w:t>
      </w:r>
      <w:r w:rsidR="00681AB7">
        <w:t xml:space="preserve"> (noting that this groundwater had restrictions on transferability and trading, which may have reduced the total pool of buyers)</w:t>
      </w:r>
      <w:r w:rsidRPr="00863E1E">
        <w:t xml:space="preserve">. Prices for auctioned licences ranged between $600/ML and $1000/ML, with an average price of $725/ML. </w:t>
      </w:r>
      <w:r w:rsidRPr="00E070F7">
        <w:t xml:space="preserve">The NSW Office of Water </w:t>
      </w:r>
      <w:r>
        <w:t xml:space="preserve">public register also reports a single trade in the </w:t>
      </w:r>
      <w:r w:rsidRPr="00E070F7">
        <w:t xml:space="preserve">GAB Shallow Surat Groundwater Source </w:t>
      </w:r>
      <w:r>
        <w:t xml:space="preserve">of 243ML at $900/ML in April 2012. </w:t>
      </w:r>
      <w:r w:rsidRPr="00863E1E">
        <w:t>These ranges suggest that willingness to pay for additional water is significantly lower than the values estimated in previous studies (</w:t>
      </w:r>
      <w:r w:rsidR="006768F1" w:rsidRPr="00863E1E">
        <w:fldChar w:fldCharType="begin"/>
      </w:r>
      <w:r w:rsidRPr="00863E1E">
        <w:instrText xml:space="preserve"> REF _Ref372124427 \w \h </w:instrText>
      </w:r>
      <w:r w:rsidR="006768F1" w:rsidRPr="00863E1E">
        <w:fldChar w:fldCharType="separate"/>
      </w:r>
      <w:r w:rsidR="00516D07">
        <w:t>0</w:t>
      </w:r>
      <w:r w:rsidR="006768F1" w:rsidRPr="00863E1E">
        <w:fldChar w:fldCharType="end"/>
      </w:r>
      <w:r>
        <w:t xml:space="preserve">). The average auction result converts to $804/ML in 2013 dollars. </w:t>
      </w:r>
    </w:p>
    <w:p w:rsidR="00094473" w:rsidRPr="00863E1E" w:rsidRDefault="00094473" w:rsidP="00094473">
      <w:pPr>
        <w:pStyle w:val="Para0"/>
      </w:pPr>
      <w:r w:rsidRPr="00863E1E">
        <w:t>Given that more water has been sold in NSW,</w:t>
      </w:r>
      <w:r w:rsidRPr="00863E1E">
        <w:rPr>
          <w:b/>
        </w:rPr>
        <w:t xml:space="preserve"> the average price of $725/ML from the 2009 auction has been used </w:t>
      </w:r>
      <w:r w:rsidR="00194375">
        <w:rPr>
          <w:b/>
        </w:rPr>
        <w:t xml:space="preserve">to </w:t>
      </w:r>
      <w:r w:rsidRPr="00863E1E">
        <w:rPr>
          <w:b/>
        </w:rPr>
        <w:t>estimate the direct use value of reallocated water across the three GABSI stages</w:t>
      </w:r>
      <w:r>
        <w:rPr>
          <w:b/>
        </w:rPr>
        <w:t xml:space="preserve"> (</w:t>
      </w:r>
      <w:r w:rsidRPr="00D74E65">
        <w:rPr>
          <w:b/>
        </w:rPr>
        <w:t>$804/ML in 2013 dollars</w:t>
      </w:r>
      <w:r>
        <w:rPr>
          <w:b/>
        </w:rPr>
        <w:t>)</w:t>
      </w:r>
      <w:r w:rsidRPr="00863E1E">
        <w:rPr>
          <w:b/>
        </w:rPr>
        <w:t>.</w:t>
      </w:r>
      <w:r w:rsidRPr="00863E1E">
        <w:t xml:space="preserve"> The average market value from Queensland has been tested in the </w:t>
      </w:r>
      <w:r>
        <w:t xml:space="preserve">sensitivity </w:t>
      </w:r>
      <w:r w:rsidRPr="00265525">
        <w:t xml:space="preserve">analysis (Section </w:t>
      </w:r>
      <w:fldSimple w:instr=" REF _Ref373311459 \n \h  \* MERGEFORMAT ">
        <w:r w:rsidR="00516D07">
          <w:t>5</w:t>
        </w:r>
      </w:fldSimple>
      <w:r w:rsidRPr="00265525">
        <w:t>). Whilst the</w:t>
      </w:r>
      <w:r w:rsidRPr="00863E1E">
        <w:t xml:space="preserve"> NSW market data is considered to be the most appropriate approach from the data available, the following limitations should be noted:</w:t>
      </w:r>
    </w:p>
    <w:p w:rsidR="000B5AAB" w:rsidRPr="00863E1E" w:rsidRDefault="00265525" w:rsidP="000B5AAB">
      <w:pPr>
        <w:pStyle w:val="Para0bullet"/>
        <w:tabs>
          <w:tab w:val="clear" w:pos="851"/>
          <w:tab w:val="left" w:pos="426"/>
        </w:tabs>
        <w:ind w:left="426" w:hanging="426"/>
      </w:pPr>
      <w:r>
        <w:t>Demand is location specific</w:t>
      </w:r>
      <w:r w:rsidR="000B5AAB" w:rsidRPr="00863E1E">
        <w:t xml:space="preserve"> and there are risks applying a market value for parts of NSW to all of NSW and other jurisdictions</w:t>
      </w:r>
      <w:r w:rsidR="00E97C45" w:rsidRPr="00863E1E">
        <w:t>.</w:t>
      </w:r>
    </w:p>
    <w:p w:rsidR="000B5AAB" w:rsidRPr="00863E1E" w:rsidRDefault="000B5AAB" w:rsidP="000B5AAB">
      <w:pPr>
        <w:pStyle w:val="Para0bullet"/>
        <w:tabs>
          <w:tab w:val="clear" w:pos="851"/>
          <w:tab w:val="left" w:pos="426"/>
        </w:tabs>
        <w:ind w:left="426" w:hanging="426"/>
      </w:pPr>
      <w:r w:rsidRPr="00863E1E">
        <w:t>The average market price should be based on a larger sample of transactions over a longer period</w:t>
      </w:r>
      <w:r w:rsidR="00265525">
        <w:t xml:space="preserve"> of time, however this is not possible g</w:t>
      </w:r>
      <w:r w:rsidR="00431688" w:rsidRPr="00863E1E">
        <w:t xml:space="preserve">iven the limited market data </w:t>
      </w:r>
      <w:r w:rsidR="00265525">
        <w:t>available.</w:t>
      </w:r>
      <w:r w:rsidRPr="00863E1E">
        <w:t xml:space="preserve"> Where possible, improved market information should be collected and assessed over time to determine whether the average price used should be amended.</w:t>
      </w:r>
    </w:p>
    <w:p w:rsidR="000B5AAB" w:rsidRPr="00863E1E" w:rsidRDefault="000B5AAB" w:rsidP="000B5AAB">
      <w:pPr>
        <w:pStyle w:val="Para0bullet"/>
        <w:tabs>
          <w:tab w:val="clear" w:pos="851"/>
          <w:tab w:val="left" w:pos="426"/>
        </w:tabs>
        <w:ind w:left="426" w:hanging="426"/>
      </w:pPr>
      <w:r w:rsidRPr="00863E1E">
        <w:t xml:space="preserve">The majority of water purchased in the NSW auction </w:t>
      </w:r>
      <w:r w:rsidR="001B0004">
        <w:t>was</w:t>
      </w:r>
      <w:r w:rsidRPr="00863E1E">
        <w:t xml:space="preserve"> used to support tourism (60%-70%) and intensive industries such as feedstock (Schalk et al, 2010). Mining is geographically inflexible, and therefore demand from the mining sector will largely depend on the location of the access licence. Auctions in other locations may therefor</w:t>
      </w:r>
      <w:r w:rsidR="00094473">
        <w:t>e</w:t>
      </w:r>
      <w:r w:rsidRPr="00863E1E">
        <w:t xml:space="preserve"> lead to higher prices if the mining sector has better access to the water. Pastoralists’ opposition to the NSW auc</w:t>
      </w:r>
      <w:r w:rsidR="00431688" w:rsidRPr="00863E1E">
        <w:t>tion may have had some</w:t>
      </w:r>
      <w:r w:rsidR="00E97C45" w:rsidRPr="00863E1E">
        <w:t xml:space="preserve"> impact on</w:t>
      </w:r>
      <w:r w:rsidRPr="00863E1E">
        <w:t xml:space="preserve"> demand from the sector</w:t>
      </w:r>
      <w:r w:rsidR="00431688" w:rsidRPr="00863E1E">
        <w:rPr>
          <w:rStyle w:val="FootnoteReference"/>
        </w:rPr>
        <w:footnoteReference w:id="7"/>
      </w:r>
      <w:r w:rsidR="00431688" w:rsidRPr="00863E1E">
        <w:t>.</w:t>
      </w:r>
    </w:p>
    <w:p w:rsidR="000B5AAB" w:rsidRPr="00863E1E" w:rsidRDefault="000B5AAB" w:rsidP="000B5AAB">
      <w:pPr>
        <w:pStyle w:val="Para0bullet"/>
        <w:tabs>
          <w:tab w:val="clear" w:pos="851"/>
          <w:tab w:val="left" w:pos="426"/>
        </w:tabs>
        <w:ind w:left="426" w:hanging="426"/>
      </w:pPr>
      <w:r w:rsidRPr="00863E1E">
        <w:t>Buyers had little certainty about future water sales and this uncertainty would be reflected in their willingness to pay. Increased certainty would impact the average market price</w:t>
      </w:r>
      <w:r w:rsidR="004662A3">
        <w:t xml:space="preserve"> and improved information </w:t>
      </w:r>
      <w:r w:rsidRPr="00863E1E">
        <w:t xml:space="preserve">to potential buyers may </w:t>
      </w:r>
      <w:r w:rsidR="00E97C45" w:rsidRPr="00863E1E">
        <w:t>also have led</w:t>
      </w:r>
      <w:r w:rsidRPr="00863E1E">
        <w:t xml:space="preserve"> to increased trading activity (Schalk et al, 2010)</w:t>
      </w:r>
      <w:r w:rsidR="004662A3">
        <w:t>.</w:t>
      </w:r>
    </w:p>
    <w:p w:rsidR="000B5AAB" w:rsidRPr="00863E1E" w:rsidRDefault="008C7770" w:rsidP="00E97C45">
      <w:pPr>
        <w:pStyle w:val="subhead"/>
      </w:pPr>
      <w:r w:rsidRPr="00863E1E">
        <w:t>Metrics</w:t>
      </w:r>
    </w:p>
    <w:p w:rsidR="00194375" w:rsidRDefault="00194375" w:rsidP="00194375">
      <w:pPr>
        <w:pStyle w:val="Para0"/>
      </w:pPr>
      <w:r w:rsidRPr="00863E1E">
        <w:t>The methodology and associated metrics applied to value the consumptive use of reallocated water are presented in the following equation:</w:t>
      </w:r>
    </w:p>
    <w:p w:rsidR="00194375" w:rsidRPr="003328DD" w:rsidRDefault="00194375" w:rsidP="00194375">
      <w:pPr>
        <w:pStyle w:val="Para0"/>
        <w:pBdr>
          <w:top w:val="single" w:sz="4" w:space="0" w:color="5185C0" w:themeColor="accent6"/>
          <w:left w:val="single" w:sz="4" w:space="2" w:color="5185C0" w:themeColor="accent6"/>
          <w:bottom w:val="single" w:sz="4" w:space="1" w:color="5185C0" w:themeColor="accent6"/>
          <w:right w:val="single" w:sz="4" w:space="4" w:color="5185C0" w:themeColor="accent6"/>
        </w:pBdr>
        <w:rPr>
          <w:b/>
          <w:color w:val="366295" w:themeColor="accent6" w:themeShade="BF"/>
        </w:rPr>
      </w:pPr>
      <m:oMathPara>
        <m:oMath>
          <m:r>
            <m:rPr>
              <m:sty m:val="bi"/>
            </m:rPr>
            <w:rPr>
              <w:rFonts w:ascii="Cambria Math" w:hAnsi="Cambria Math"/>
              <w:color w:val="366295" w:themeColor="accent6" w:themeShade="BF"/>
              <w:kern w:val="24"/>
            </w:rPr>
            <m:t>Consumptive value from reallocated water</m:t>
          </m:r>
          <m:r>
            <m:rPr>
              <m:sty m:val="bi"/>
            </m:rPr>
            <w:rPr>
              <w:rFonts w:ascii="Cambria Math" w:eastAsia="Cambria Math" w:hAnsi="Cambria Math" w:cs="Cambria Math"/>
              <w:color w:val="366295" w:themeColor="accent6" w:themeShade="BF"/>
              <w:kern w:val="24"/>
            </w:rPr>
            <m:t>=PV(</m:t>
          </m:r>
          <m:nary>
            <m:naryPr>
              <m:chr m:val="∑"/>
              <m:grow m:val="on"/>
              <m:ctrlPr>
                <w:rPr>
                  <w:rFonts w:ascii="Cambria Math" w:hAnsi="Cambria Math"/>
                  <w:b/>
                  <w:i/>
                  <w:iCs/>
                  <w:color w:val="366295" w:themeColor="accent6" w:themeShade="BF"/>
                  <w:kern w:val="24"/>
                </w:rPr>
              </m:ctrlPr>
            </m:naryPr>
            <m:sub>
              <m:r>
                <m:rPr>
                  <m:sty m:val="bi"/>
                </m:rPr>
                <w:rPr>
                  <w:rFonts w:ascii="Cambria Math" w:eastAsia="Cambria Math" w:hAnsi="Cambria Math" w:cs="Cambria Math"/>
                  <w:color w:val="366295" w:themeColor="accent6" w:themeShade="BF"/>
                  <w:kern w:val="24"/>
                </w:rPr>
                <m:t>y=1999</m:t>
              </m:r>
            </m:sub>
            <m:sup>
              <m:r>
                <m:rPr>
                  <m:sty m:val="bi"/>
                </m:rPr>
                <w:rPr>
                  <w:rFonts w:ascii="Cambria Math" w:eastAsia="Cambria Math" w:hAnsi="Cambria Math" w:cs="Cambria Math"/>
                  <w:color w:val="366295" w:themeColor="accent6" w:themeShade="BF"/>
                  <w:kern w:val="24"/>
                </w:rPr>
                <m:t>y=2043</m:t>
              </m:r>
            </m:sup>
            <m:e>
              <m:r>
                <m:rPr>
                  <m:sty m:val="bi"/>
                </m:rPr>
                <w:rPr>
                  <w:rFonts w:ascii="Cambria Math" w:hAnsi="Cambria Math"/>
                  <w:color w:val="366295" w:themeColor="accent6" w:themeShade="BF"/>
                  <w:kern w:val="24"/>
                </w:rPr>
                <m:t>(</m:t>
              </m:r>
              <m:r>
                <m:rPr>
                  <m:sty m:val="bi"/>
                </m:rPr>
                <w:rPr>
                  <w:rFonts w:ascii="Cambria Math" w:eastAsia="Cambria Math" w:hAnsi="Cambria Math" w:cs="Cambria Math"/>
                  <w:color w:val="366295" w:themeColor="accent6" w:themeShade="BF"/>
                  <w:kern w:val="24"/>
                </w:rPr>
                <m:t>ML Saved ×% ML reallocated ×WTP/ML)</m:t>
              </m:r>
            </m:e>
          </m:nary>
        </m:oMath>
      </m:oMathPara>
    </w:p>
    <w:p w:rsidR="00194375" w:rsidRPr="00863E1E" w:rsidRDefault="00194375" w:rsidP="00194375">
      <w:pPr>
        <w:pStyle w:val="Para0"/>
      </w:pPr>
      <w:r w:rsidRPr="00863E1E">
        <w:t>A summary of the metrics used for each phase is provided in the following table.</w:t>
      </w:r>
    </w:p>
    <w:p w:rsidR="00952894" w:rsidRDefault="00952894" w:rsidP="00952894">
      <w:pPr>
        <w:pStyle w:val="Caption"/>
      </w:pPr>
      <w:r>
        <w:t xml:space="preserve">Table </w:t>
      </w:r>
      <w:r w:rsidR="006768F1">
        <w:fldChar w:fldCharType="begin"/>
      </w:r>
      <w:r w:rsidR="00F843FC">
        <w:instrText xml:space="preserve"> SEQ Table \* ARABIC </w:instrText>
      </w:r>
      <w:r w:rsidR="006768F1">
        <w:fldChar w:fldCharType="separate"/>
      </w:r>
      <w:r w:rsidR="00516D07">
        <w:rPr>
          <w:noProof/>
        </w:rPr>
        <w:t>7</w:t>
      </w:r>
      <w:r w:rsidR="006768F1">
        <w:fldChar w:fldCharType="end"/>
      </w:r>
      <w:r>
        <w:t>: Data for consumptive value from reallocated water metrics</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142"/>
        <w:gridCol w:w="1269"/>
        <w:gridCol w:w="995"/>
        <w:gridCol w:w="1133"/>
        <w:gridCol w:w="1276"/>
        <w:gridCol w:w="4108"/>
      </w:tblGrid>
      <w:tr w:rsidR="00F669FB" w:rsidRPr="00863E1E" w:rsidTr="002E4907">
        <w:trPr>
          <w:cantSplit/>
          <w:tblHeader/>
        </w:trPr>
        <w:tc>
          <w:tcPr>
            <w:tcW w:w="575" w:type="pct"/>
            <w:shd w:val="clear" w:color="auto" w:fill="5185C0"/>
          </w:tcPr>
          <w:p w:rsidR="00393324" w:rsidRPr="00863E1E" w:rsidRDefault="00393324" w:rsidP="005803BB">
            <w:pPr>
              <w:pStyle w:val="Tablesmallheading"/>
            </w:pPr>
            <w:r w:rsidRPr="00863E1E">
              <w:t xml:space="preserve">Metric </w:t>
            </w:r>
            <w:r w:rsidR="005803BB">
              <w:t>d</w:t>
            </w:r>
            <w:r w:rsidRPr="00863E1E">
              <w:t xml:space="preserve">escription </w:t>
            </w:r>
          </w:p>
        </w:tc>
        <w:tc>
          <w:tcPr>
            <w:tcW w:w="639" w:type="pct"/>
            <w:shd w:val="clear" w:color="auto" w:fill="5185C0"/>
          </w:tcPr>
          <w:p w:rsidR="00393324" w:rsidRPr="00863E1E" w:rsidRDefault="00393324" w:rsidP="00CD72A5">
            <w:pPr>
              <w:pStyle w:val="Tablesmallheading"/>
            </w:pPr>
            <w:r w:rsidRPr="00863E1E">
              <w:t>GABSI Phase 1</w:t>
            </w:r>
          </w:p>
        </w:tc>
        <w:tc>
          <w:tcPr>
            <w:tcW w:w="501" w:type="pct"/>
            <w:shd w:val="clear" w:color="auto" w:fill="5185C0"/>
          </w:tcPr>
          <w:p w:rsidR="00393324" w:rsidRPr="00863E1E" w:rsidRDefault="00393324" w:rsidP="00CD72A5">
            <w:pPr>
              <w:pStyle w:val="Tablesmallheading"/>
            </w:pPr>
            <w:r w:rsidRPr="00863E1E">
              <w:t>GABSI Phase 2</w:t>
            </w:r>
          </w:p>
        </w:tc>
        <w:tc>
          <w:tcPr>
            <w:tcW w:w="571" w:type="pct"/>
            <w:shd w:val="clear" w:color="auto" w:fill="5185C0"/>
          </w:tcPr>
          <w:p w:rsidR="00393324" w:rsidRPr="00863E1E" w:rsidRDefault="00393324" w:rsidP="00393324">
            <w:pPr>
              <w:pStyle w:val="Tablesmallheading"/>
            </w:pPr>
            <w:r w:rsidRPr="00863E1E">
              <w:t>GABSI Phase 3 (to June 2013)</w:t>
            </w:r>
          </w:p>
        </w:tc>
        <w:tc>
          <w:tcPr>
            <w:tcW w:w="643" w:type="pct"/>
            <w:shd w:val="clear" w:color="auto" w:fill="5185C0"/>
          </w:tcPr>
          <w:p w:rsidR="00393324" w:rsidRPr="00863E1E" w:rsidRDefault="00393324" w:rsidP="00393324">
            <w:pPr>
              <w:pStyle w:val="Tablesmallheading"/>
            </w:pPr>
            <w:r w:rsidRPr="00863E1E">
              <w:t>GABSI Phase 3 (to June 2014)</w:t>
            </w:r>
          </w:p>
        </w:tc>
        <w:tc>
          <w:tcPr>
            <w:tcW w:w="2070" w:type="pct"/>
            <w:shd w:val="clear" w:color="auto" w:fill="5185C0"/>
          </w:tcPr>
          <w:p w:rsidR="00393324" w:rsidRPr="00863E1E" w:rsidRDefault="00393324" w:rsidP="00CD72A5">
            <w:pPr>
              <w:pStyle w:val="Tablesmallheading"/>
            </w:pPr>
            <w:r w:rsidRPr="00863E1E">
              <w:t xml:space="preserve">Comment </w:t>
            </w:r>
          </w:p>
        </w:tc>
      </w:tr>
      <w:tr w:rsidR="00403244" w:rsidRPr="00863E1E" w:rsidTr="00681AB7">
        <w:tc>
          <w:tcPr>
            <w:tcW w:w="575" w:type="pct"/>
            <w:vAlign w:val="center"/>
          </w:tcPr>
          <w:p w:rsidR="00403244" w:rsidRPr="005803BB" w:rsidRDefault="00403244" w:rsidP="00C0769B">
            <w:pPr>
              <w:pStyle w:val="Tablesmalltext"/>
            </w:pPr>
            <w:r w:rsidRPr="005803BB">
              <w:t>ML saved (total)</w:t>
            </w:r>
            <w:r w:rsidRPr="005803BB">
              <w:rPr>
                <w:rStyle w:val="FootnoteReference"/>
                <w:sz w:val="18"/>
              </w:rPr>
              <w:footnoteReference w:id="8"/>
            </w:r>
          </w:p>
        </w:tc>
        <w:tc>
          <w:tcPr>
            <w:tcW w:w="639" w:type="pct"/>
            <w:vAlign w:val="center"/>
          </w:tcPr>
          <w:p w:rsidR="00403244" w:rsidRPr="005803BB" w:rsidRDefault="00403244" w:rsidP="00C0769B">
            <w:pPr>
              <w:pStyle w:val="Tablesmalltext"/>
              <w:jc w:val="center"/>
            </w:pPr>
            <w:r w:rsidRPr="005803BB">
              <w:t>91,767</w:t>
            </w:r>
          </w:p>
        </w:tc>
        <w:tc>
          <w:tcPr>
            <w:tcW w:w="501" w:type="pct"/>
            <w:vAlign w:val="center"/>
          </w:tcPr>
          <w:p w:rsidR="00403244" w:rsidRPr="005803BB" w:rsidRDefault="00403244" w:rsidP="00C0769B">
            <w:pPr>
              <w:pStyle w:val="Tablesmalltext"/>
              <w:jc w:val="center"/>
            </w:pPr>
            <w:r w:rsidRPr="005803BB">
              <w:t>74,984</w:t>
            </w:r>
          </w:p>
        </w:tc>
        <w:tc>
          <w:tcPr>
            <w:tcW w:w="571" w:type="pct"/>
            <w:vAlign w:val="center"/>
          </w:tcPr>
          <w:p w:rsidR="00403244" w:rsidRPr="005803BB" w:rsidRDefault="00403244" w:rsidP="00194375">
            <w:pPr>
              <w:pStyle w:val="Tablesmalltext"/>
              <w:jc w:val="center"/>
            </w:pPr>
            <w:r w:rsidRPr="005803BB">
              <w:t>37,</w:t>
            </w:r>
            <w:r w:rsidR="00194375">
              <w:t>775</w:t>
            </w:r>
          </w:p>
        </w:tc>
        <w:tc>
          <w:tcPr>
            <w:tcW w:w="643" w:type="pct"/>
            <w:vAlign w:val="center"/>
          </w:tcPr>
          <w:p w:rsidR="00403244" w:rsidRPr="005803BB" w:rsidRDefault="00403244" w:rsidP="00C0769B">
            <w:pPr>
              <w:pStyle w:val="Tablesmalltext"/>
              <w:jc w:val="center"/>
            </w:pPr>
            <w:r w:rsidRPr="005803BB">
              <w:t>56,186</w:t>
            </w:r>
          </w:p>
        </w:tc>
        <w:tc>
          <w:tcPr>
            <w:tcW w:w="2070" w:type="pct"/>
            <w:vAlign w:val="center"/>
          </w:tcPr>
          <w:p w:rsidR="00403244" w:rsidRPr="005803BB" w:rsidRDefault="00403244" w:rsidP="00C0769B">
            <w:pPr>
              <w:pStyle w:val="Tablesmalltext"/>
            </w:pPr>
            <w:r w:rsidRPr="005803BB">
              <w:t>Based on estimated ML saved from jurisdictional implementation plans, and estimate</w:t>
            </w:r>
            <w:r w:rsidR="005803BB">
              <w:t>s provided by the jurisdictions.</w:t>
            </w:r>
          </w:p>
        </w:tc>
      </w:tr>
      <w:tr w:rsidR="00403244" w:rsidRPr="00863E1E" w:rsidTr="00681AB7">
        <w:tc>
          <w:tcPr>
            <w:tcW w:w="575" w:type="pct"/>
            <w:vAlign w:val="center"/>
          </w:tcPr>
          <w:p w:rsidR="00403244" w:rsidRPr="005803BB" w:rsidRDefault="00403244" w:rsidP="00C0769B">
            <w:pPr>
              <w:pStyle w:val="Tablesmalltext"/>
            </w:pPr>
            <w:r w:rsidRPr="005803BB">
              <w:t>% ML reallocated</w:t>
            </w:r>
          </w:p>
        </w:tc>
        <w:tc>
          <w:tcPr>
            <w:tcW w:w="639" w:type="pct"/>
            <w:vAlign w:val="center"/>
          </w:tcPr>
          <w:p w:rsidR="00403244" w:rsidRPr="005803BB" w:rsidRDefault="00403244" w:rsidP="00C0769B">
            <w:pPr>
              <w:pStyle w:val="Tablesmalltext"/>
              <w:jc w:val="center"/>
            </w:pPr>
            <w:r w:rsidRPr="005803BB">
              <w:t>34%</w:t>
            </w:r>
          </w:p>
        </w:tc>
        <w:tc>
          <w:tcPr>
            <w:tcW w:w="501" w:type="pct"/>
            <w:vAlign w:val="center"/>
          </w:tcPr>
          <w:p w:rsidR="00403244" w:rsidRPr="005803BB" w:rsidRDefault="00403244" w:rsidP="00C0769B">
            <w:pPr>
              <w:pStyle w:val="Tablesmalltext"/>
              <w:jc w:val="center"/>
            </w:pPr>
            <w:r w:rsidRPr="005803BB">
              <w:t>30%</w:t>
            </w:r>
          </w:p>
        </w:tc>
        <w:tc>
          <w:tcPr>
            <w:tcW w:w="571" w:type="pct"/>
            <w:vAlign w:val="center"/>
          </w:tcPr>
          <w:p w:rsidR="00403244" w:rsidRPr="005803BB" w:rsidRDefault="00403244" w:rsidP="00C0769B">
            <w:pPr>
              <w:pStyle w:val="Tablesmalltext"/>
              <w:jc w:val="center"/>
            </w:pPr>
            <w:r w:rsidRPr="005803BB">
              <w:t>31%</w:t>
            </w:r>
          </w:p>
        </w:tc>
        <w:tc>
          <w:tcPr>
            <w:tcW w:w="643" w:type="pct"/>
            <w:vAlign w:val="center"/>
          </w:tcPr>
          <w:p w:rsidR="00403244" w:rsidRPr="005803BB" w:rsidRDefault="00403244" w:rsidP="00C0769B">
            <w:pPr>
              <w:pStyle w:val="Tablesmalltext"/>
              <w:jc w:val="center"/>
            </w:pPr>
            <w:r w:rsidRPr="005803BB">
              <w:t>31%</w:t>
            </w:r>
          </w:p>
        </w:tc>
        <w:tc>
          <w:tcPr>
            <w:tcW w:w="2070" w:type="pct"/>
            <w:vAlign w:val="center"/>
          </w:tcPr>
          <w:p w:rsidR="00403244" w:rsidRPr="005803BB" w:rsidRDefault="00403244" w:rsidP="00C0769B">
            <w:pPr>
              <w:pStyle w:val="Tablesmalltext"/>
            </w:pPr>
            <w:r w:rsidRPr="005803BB">
              <w:t>Annual weighted average based on ML saved within each jurisdiction and an allowance of up to 50% to be reallocated in SA and 30% in Queensland and NSW.</w:t>
            </w:r>
          </w:p>
        </w:tc>
      </w:tr>
      <w:tr w:rsidR="008A03C0" w:rsidRPr="00863E1E" w:rsidTr="00681AB7">
        <w:tc>
          <w:tcPr>
            <w:tcW w:w="575" w:type="pct"/>
            <w:vAlign w:val="center"/>
          </w:tcPr>
          <w:p w:rsidR="008A03C0" w:rsidRPr="005803BB" w:rsidRDefault="008A03C0" w:rsidP="00503E0C">
            <w:pPr>
              <w:pStyle w:val="Tablesmalltext"/>
            </w:pPr>
            <w:r w:rsidRPr="005803BB">
              <w:t xml:space="preserve">WTP (2013 dollars) </w:t>
            </w:r>
            <w:r>
              <w:t>per ML</w:t>
            </w:r>
          </w:p>
        </w:tc>
        <w:tc>
          <w:tcPr>
            <w:tcW w:w="639" w:type="pct"/>
            <w:vAlign w:val="center"/>
          </w:tcPr>
          <w:p w:rsidR="008A03C0" w:rsidRPr="005803BB" w:rsidRDefault="008A03C0" w:rsidP="00503E0C">
            <w:pPr>
              <w:pStyle w:val="Tablesmalltext"/>
              <w:jc w:val="center"/>
            </w:pPr>
            <w:r w:rsidRPr="005803BB">
              <w:t>$804</w:t>
            </w:r>
          </w:p>
        </w:tc>
        <w:tc>
          <w:tcPr>
            <w:tcW w:w="501" w:type="pct"/>
            <w:vAlign w:val="center"/>
          </w:tcPr>
          <w:p w:rsidR="008A03C0" w:rsidRPr="005803BB" w:rsidRDefault="008A03C0" w:rsidP="00503E0C">
            <w:pPr>
              <w:pStyle w:val="Tablesmalltext"/>
              <w:jc w:val="center"/>
            </w:pPr>
            <w:r w:rsidRPr="005803BB">
              <w:t>$804</w:t>
            </w:r>
          </w:p>
        </w:tc>
        <w:tc>
          <w:tcPr>
            <w:tcW w:w="571" w:type="pct"/>
            <w:vAlign w:val="center"/>
          </w:tcPr>
          <w:p w:rsidR="008A03C0" w:rsidRPr="005803BB" w:rsidRDefault="008A03C0" w:rsidP="00503E0C">
            <w:pPr>
              <w:pStyle w:val="Tablesmalltext"/>
              <w:jc w:val="center"/>
            </w:pPr>
            <w:r w:rsidRPr="005803BB">
              <w:t>$804</w:t>
            </w:r>
          </w:p>
        </w:tc>
        <w:tc>
          <w:tcPr>
            <w:tcW w:w="643" w:type="pct"/>
            <w:vAlign w:val="center"/>
          </w:tcPr>
          <w:p w:rsidR="008A03C0" w:rsidRPr="005803BB" w:rsidRDefault="008A03C0" w:rsidP="00503E0C">
            <w:pPr>
              <w:pStyle w:val="Tablesmalltext"/>
              <w:jc w:val="center"/>
            </w:pPr>
            <w:r w:rsidRPr="005803BB">
              <w:t>$804</w:t>
            </w:r>
          </w:p>
        </w:tc>
        <w:tc>
          <w:tcPr>
            <w:tcW w:w="2070" w:type="pct"/>
            <w:vAlign w:val="center"/>
          </w:tcPr>
          <w:p w:rsidR="008A03C0" w:rsidRDefault="008A03C0" w:rsidP="00503E0C">
            <w:pPr>
              <w:pStyle w:val="Tablesmalltext"/>
            </w:pPr>
            <w:r w:rsidRPr="005803BB">
              <w:t>Based on average NSW 2009 auction, escalated to 2013</w:t>
            </w:r>
            <w:r>
              <w:t>.</w:t>
            </w:r>
          </w:p>
          <w:p w:rsidR="008A03C0" w:rsidRPr="005803BB" w:rsidRDefault="008A03C0" w:rsidP="00503E0C">
            <w:pPr>
              <w:pStyle w:val="Tablesmalltext"/>
            </w:pPr>
            <w:r>
              <w:t xml:space="preserve">This is equivalent to a one-off payment for water reallocated ($/ML) which occurs mid-phase. For example, the value of water reallocated in phase 1 is taken as the value of 91,767ML purchased at $804 dollars in 2001/02. </w:t>
            </w:r>
          </w:p>
        </w:tc>
      </w:tr>
    </w:tbl>
    <w:p w:rsidR="008C7770" w:rsidRPr="00863E1E" w:rsidRDefault="008C7770" w:rsidP="008C7770">
      <w:pPr>
        <w:pStyle w:val="subhead"/>
      </w:pPr>
      <w:r w:rsidRPr="00863E1E">
        <w:t>Results</w:t>
      </w:r>
    </w:p>
    <w:p w:rsidR="008A03C0" w:rsidRPr="00B71EB9" w:rsidRDefault="008A03C0" w:rsidP="008A03C0">
      <w:pPr>
        <w:pStyle w:val="Para0"/>
      </w:pPr>
      <w:bookmarkStart w:id="26" w:name="_Ref372042380"/>
      <w:r>
        <w:t>The total estimated direct benefit from the permissible real</w:t>
      </w:r>
      <w:r w:rsidR="00194375">
        <w:t>location of saved water is $52.6</w:t>
      </w:r>
      <w:r>
        <w:t xml:space="preserve"> million to June 2013 or $57.0 m to June 2014</w:t>
      </w:r>
      <w:r w:rsidR="00194375">
        <w:t xml:space="preserve"> ($ 2013, real)</w:t>
      </w:r>
      <w:r>
        <w:t>.</w:t>
      </w:r>
      <w:r w:rsidR="001067F1">
        <w:t xml:space="preserve"> </w:t>
      </w:r>
      <w:r w:rsidR="006768F1">
        <w:fldChar w:fldCharType="begin"/>
      </w:r>
      <w:r w:rsidR="001067F1">
        <w:instrText xml:space="preserve"> REF _Ref373485504 \h </w:instrText>
      </w:r>
      <w:r w:rsidR="006768F1">
        <w:fldChar w:fldCharType="separate"/>
      </w:r>
      <w:r w:rsidR="00516D07" w:rsidRPr="00B71EB9">
        <w:t xml:space="preserve">Table </w:t>
      </w:r>
      <w:r w:rsidR="00516D07">
        <w:rPr>
          <w:noProof/>
        </w:rPr>
        <w:t>8</w:t>
      </w:r>
      <w:r w:rsidR="006768F1">
        <w:fldChar w:fldCharType="end"/>
      </w:r>
      <w:r w:rsidRPr="00B71EB9">
        <w:t xml:space="preserve"> and </w:t>
      </w:r>
      <w:fldSimple w:instr=" REF _Ref372042386 \h  \* MERGEFORMAT ">
        <w:r w:rsidR="00516D07" w:rsidRPr="00B71EB9">
          <w:t xml:space="preserve">Figure </w:t>
        </w:r>
        <w:r w:rsidR="00516D07">
          <w:t>4</w:t>
        </w:r>
      </w:fldSimple>
      <w:r>
        <w:t xml:space="preserve"> summarises the results for each jurisdiction across the three phases of the program. </w:t>
      </w:r>
    </w:p>
    <w:p w:rsidR="000B5AAB" w:rsidRPr="00863E1E" w:rsidRDefault="000B5AAB" w:rsidP="000B5AAB">
      <w:pPr>
        <w:pStyle w:val="Caption"/>
      </w:pPr>
      <w:bookmarkStart w:id="27" w:name="_Ref373485504"/>
      <w:r w:rsidRPr="00B71EB9">
        <w:t xml:space="preserve">Table </w:t>
      </w:r>
      <w:r w:rsidR="006768F1">
        <w:fldChar w:fldCharType="begin"/>
      </w:r>
      <w:r w:rsidR="00F843FC">
        <w:instrText xml:space="preserve"> SEQ Table \* ARABIC </w:instrText>
      </w:r>
      <w:r w:rsidR="006768F1">
        <w:fldChar w:fldCharType="separate"/>
      </w:r>
      <w:r w:rsidR="00516D07">
        <w:rPr>
          <w:noProof/>
        </w:rPr>
        <w:t>8</w:t>
      </w:r>
      <w:r w:rsidR="006768F1">
        <w:fldChar w:fldCharType="end"/>
      </w:r>
      <w:bookmarkEnd w:id="26"/>
      <w:bookmarkEnd w:id="27"/>
      <w:r w:rsidRPr="00B71EB9">
        <w:t>: Total direct use value from re-allocated saved</w:t>
      </w:r>
      <w:r w:rsidR="0037709C" w:rsidRPr="00B71EB9">
        <w:t xml:space="preserve"> water</w:t>
      </w:r>
      <w:r w:rsidRPr="00B71EB9">
        <w:t xml:space="preserve"> </w:t>
      </w:r>
      <w:r w:rsidR="0037709C" w:rsidRPr="00B71EB9">
        <w:t>($ 2013, real)</w:t>
      </w:r>
    </w:p>
    <w:tbl>
      <w:tblPr>
        <w:tblW w:w="9923" w:type="dxa"/>
        <w:tblInd w:w="108" w:type="dxa"/>
        <w:tblBorders>
          <w:top w:val="single" w:sz="6" w:space="0" w:color="79746C"/>
          <w:left w:val="single" w:sz="6" w:space="0" w:color="79746C"/>
          <w:bottom w:val="single" w:sz="6" w:space="0" w:color="79746C"/>
          <w:right w:val="single" w:sz="6" w:space="0" w:color="79746C"/>
          <w:insideH w:val="single" w:sz="6" w:space="0" w:color="79746C"/>
          <w:insideV w:val="single" w:sz="6" w:space="0" w:color="79746C"/>
        </w:tblBorders>
        <w:tblLook w:val="00A0"/>
      </w:tblPr>
      <w:tblGrid>
        <w:gridCol w:w="1417"/>
        <w:gridCol w:w="1418"/>
        <w:gridCol w:w="1417"/>
        <w:gridCol w:w="1418"/>
        <w:gridCol w:w="1417"/>
        <w:gridCol w:w="1418"/>
        <w:gridCol w:w="1418"/>
      </w:tblGrid>
      <w:tr w:rsidR="00F669FB" w:rsidRPr="00863E1E" w:rsidTr="002E4907">
        <w:trPr>
          <w:trHeight w:val="322"/>
          <w:tblHeader/>
        </w:trPr>
        <w:tc>
          <w:tcPr>
            <w:tcW w:w="1417" w:type="dxa"/>
            <w:shd w:val="clear" w:color="auto" w:fill="5185C0"/>
          </w:tcPr>
          <w:p w:rsidR="004D439A" w:rsidRPr="00863E1E" w:rsidRDefault="004D439A" w:rsidP="00E97C45">
            <w:pPr>
              <w:pStyle w:val="Tablesmallheading"/>
              <w:rPr>
                <w:highlight w:val="yellow"/>
              </w:rPr>
            </w:pPr>
            <w:r w:rsidRPr="00863E1E">
              <w:t>Jurisdiction</w:t>
            </w:r>
          </w:p>
        </w:tc>
        <w:tc>
          <w:tcPr>
            <w:tcW w:w="1418" w:type="dxa"/>
            <w:shd w:val="clear" w:color="auto" w:fill="5185C0"/>
            <w:vAlign w:val="center"/>
          </w:tcPr>
          <w:p w:rsidR="004D439A" w:rsidRPr="00863E1E" w:rsidRDefault="004D439A" w:rsidP="00E97C45">
            <w:pPr>
              <w:pStyle w:val="Tablesmallheading"/>
            </w:pPr>
            <w:r w:rsidRPr="00863E1E">
              <w:t>Phase 1</w:t>
            </w:r>
          </w:p>
        </w:tc>
        <w:tc>
          <w:tcPr>
            <w:tcW w:w="1417" w:type="dxa"/>
            <w:shd w:val="clear" w:color="auto" w:fill="5185C0"/>
            <w:vAlign w:val="center"/>
          </w:tcPr>
          <w:p w:rsidR="004D439A" w:rsidRPr="00863E1E" w:rsidRDefault="004D439A" w:rsidP="00E97C45">
            <w:pPr>
              <w:pStyle w:val="Tablesmallheading"/>
            </w:pPr>
            <w:r w:rsidRPr="00863E1E">
              <w:t>Phase 2</w:t>
            </w:r>
          </w:p>
        </w:tc>
        <w:tc>
          <w:tcPr>
            <w:tcW w:w="1418" w:type="dxa"/>
            <w:shd w:val="clear" w:color="auto" w:fill="5185C0"/>
            <w:vAlign w:val="center"/>
          </w:tcPr>
          <w:p w:rsidR="004D439A" w:rsidRPr="00863E1E" w:rsidRDefault="004D439A" w:rsidP="00E97C45">
            <w:pPr>
              <w:pStyle w:val="Tablesmallheading"/>
            </w:pPr>
            <w:r w:rsidRPr="00863E1E">
              <w:t xml:space="preserve">Phase 3 (to June 2013) </w:t>
            </w:r>
          </w:p>
        </w:tc>
        <w:tc>
          <w:tcPr>
            <w:tcW w:w="1417" w:type="dxa"/>
            <w:shd w:val="clear" w:color="auto" w:fill="5185C0"/>
            <w:vAlign w:val="center"/>
          </w:tcPr>
          <w:p w:rsidR="004D439A" w:rsidRPr="00863E1E" w:rsidRDefault="004D439A" w:rsidP="004D439A">
            <w:pPr>
              <w:pStyle w:val="Tablesmallheading"/>
            </w:pPr>
            <w:r w:rsidRPr="00863E1E">
              <w:t>Phase 3 (to June 2014)</w:t>
            </w:r>
          </w:p>
        </w:tc>
        <w:tc>
          <w:tcPr>
            <w:tcW w:w="1418" w:type="dxa"/>
            <w:shd w:val="clear" w:color="auto" w:fill="5185C0"/>
          </w:tcPr>
          <w:p w:rsidR="004D439A" w:rsidRPr="00863E1E" w:rsidRDefault="004D439A" w:rsidP="00E97C45">
            <w:pPr>
              <w:pStyle w:val="Tablesmallheading"/>
            </w:pPr>
            <w:r w:rsidRPr="00863E1E">
              <w:t>TOTAL to June 2013</w:t>
            </w:r>
          </w:p>
        </w:tc>
        <w:tc>
          <w:tcPr>
            <w:tcW w:w="1418" w:type="dxa"/>
            <w:shd w:val="clear" w:color="auto" w:fill="5185C0"/>
          </w:tcPr>
          <w:p w:rsidR="004D439A" w:rsidRPr="00863E1E" w:rsidRDefault="004D439A" w:rsidP="00E97C45">
            <w:pPr>
              <w:pStyle w:val="Tablesmallheading"/>
            </w:pPr>
            <w:r w:rsidRPr="00863E1E">
              <w:t>TOTAL to June 2014</w:t>
            </w:r>
          </w:p>
        </w:tc>
      </w:tr>
      <w:tr w:rsidR="00F669FB" w:rsidRPr="00863E1E" w:rsidTr="002E4907">
        <w:tc>
          <w:tcPr>
            <w:tcW w:w="1417" w:type="dxa"/>
            <w:vAlign w:val="center"/>
          </w:tcPr>
          <w:p w:rsidR="0037709C" w:rsidRPr="00681AB7" w:rsidRDefault="0037709C" w:rsidP="00E97C45">
            <w:pPr>
              <w:pStyle w:val="Tablesmalltext"/>
              <w:rPr>
                <w:b/>
              </w:rPr>
            </w:pPr>
            <w:r w:rsidRPr="00681AB7">
              <w:rPr>
                <w:b/>
              </w:rPr>
              <w:t>Qld</w:t>
            </w:r>
          </w:p>
        </w:tc>
        <w:tc>
          <w:tcPr>
            <w:tcW w:w="1418" w:type="dxa"/>
          </w:tcPr>
          <w:p w:rsidR="0037709C" w:rsidRPr="00C0769B" w:rsidRDefault="0037709C" w:rsidP="00C0769B">
            <w:pPr>
              <w:pStyle w:val="Tablesmalltext"/>
              <w:jc w:val="center"/>
            </w:pPr>
            <w:r w:rsidRPr="00C0769B">
              <w:t>$ 11.74 m</w:t>
            </w:r>
          </w:p>
        </w:tc>
        <w:tc>
          <w:tcPr>
            <w:tcW w:w="1417" w:type="dxa"/>
          </w:tcPr>
          <w:p w:rsidR="0037709C" w:rsidRPr="00C0769B" w:rsidRDefault="0037709C" w:rsidP="00C0769B">
            <w:pPr>
              <w:pStyle w:val="Tablesmalltext"/>
              <w:jc w:val="center"/>
            </w:pPr>
            <w:r w:rsidRPr="00C0769B">
              <w:t>$ 11.86 m</w:t>
            </w:r>
          </w:p>
        </w:tc>
        <w:tc>
          <w:tcPr>
            <w:tcW w:w="1418" w:type="dxa"/>
          </w:tcPr>
          <w:p w:rsidR="0037709C" w:rsidRPr="00C0769B" w:rsidRDefault="0037709C" w:rsidP="00C0769B">
            <w:pPr>
              <w:pStyle w:val="Tablesmalltext"/>
              <w:jc w:val="center"/>
            </w:pPr>
            <w:r w:rsidRPr="00C0769B">
              <w:t>$ 5.16 m</w:t>
            </w:r>
          </w:p>
        </w:tc>
        <w:tc>
          <w:tcPr>
            <w:tcW w:w="1417" w:type="dxa"/>
          </w:tcPr>
          <w:p w:rsidR="0037709C" w:rsidRPr="00C0769B" w:rsidRDefault="0037709C" w:rsidP="00C0769B">
            <w:pPr>
              <w:pStyle w:val="Tablesmalltext"/>
              <w:jc w:val="center"/>
            </w:pPr>
            <w:r w:rsidRPr="00C0769B">
              <w:t>$ 8.64 m</w:t>
            </w:r>
          </w:p>
        </w:tc>
        <w:tc>
          <w:tcPr>
            <w:tcW w:w="1418" w:type="dxa"/>
          </w:tcPr>
          <w:p w:rsidR="0037709C" w:rsidRPr="00C0769B" w:rsidRDefault="0037709C" w:rsidP="00C0769B">
            <w:pPr>
              <w:pStyle w:val="Tablesmalltext"/>
              <w:jc w:val="center"/>
            </w:pPr>
            <w:r w:rsidRPr="00C0769B">
              <w:t>$ 28.76 m</w:t>
            </w:r>
          </w:p>
        </w:tc>
        <w:tc>
          <w:tcPr>
            <w:tcW w:w="1418" w:type="dxa"/>
          </w:tcPr>
          <w:p w:rsidR="0037709C" w:rsidRPr="00C0769B" w:rsidRDefault="0037709C" w:rsidP="00C0769B">
            <w:pPr>
              <w:pStyle w:val="Tablesmalltext"/>
              <w:jc w:val="center"/>
            </w:pPr>
            <w:r w:rsidRPr="00C0769B">
              <w:t>$ 32.24 m</w:t>
            </w:r>
          </w:p>
        </w:tc>
      </w:tr>
      <w:tr w:rsidR="0037709C" w:rsidRPr="00863E1E" w:rsidTr="00681AB7">
        <w:tc>
          <w:tcPr>
            <w:tcW w:w="1417" w:type="dxa"/>
            <w:vAlign w:val="center"/>
          </w:tcPr>
          <w:p w:rsidR="0037709C" w:rsidRPr="00681AB7" w:rsidRDefault="0037709C" w:rsidP="00E97C45">
            <w:pPr>
              <w:pStyle w:val="Tablesmalltext"/>
              <w:rPr>
                <w:b/>
              </w:rPr>
            </w:pPr>
            <w:r w:rsidRPr="00681AB7">
              <w:rPr>
                <w:b/>
              </w:rPr>
              <w:t>NSW</w:t>
            </w:r>
          </w:p>
        </w:tc>
        <w:tc>
          <w:tcPr>
            <w:tcW w:w="1418" w:type="dxa"/>
          </w:tcPr>
          <w:p w:rsidR="0037709C" w:rsidRPr="00C0769B" w:rsidRDefault="0037709C" w:rsidP="00C0769B">
            <w:pPr>
              <w:pStyle w:val="Tablesmalltext"/>
              <w:jc w:val="center"/>
            </w:pPr>
            <w:r w:rsidRPr="00C0769B">
              <w:t>$ 6.29 m</w:t>
            </w:r>
          </w:p>
        </w:tc>
        <w:tc>
          <w:tcPr>
            <w:tcW w:w="1417" w:type="dxa"/>
          </w:tcPr>
          <w:p w:rsidR="0037709C" w:rsidRPr="00C0769B" w:rsidRDefault="0037709C" w:rsidP="00C0769B">
            <w:pPr>
              <w:pStyle w:val="Tablesmalltext"/>
              <w:jc w:val="center"/>
            </w:pPr>
            <w:r w:rsidRPr="00C0769B">
              <w:t>$ 6.05 m</w:t>
            </w:r>
          </w:p>
        </w:tc>
        <w:tc>
          <w:tcPr>
            <w:tcW w:w="1418" w:type="dxa"/>
          </w:tcPr>
          <w:p w:rsidR="0037709C" w:rsidRPr="00C0769B" w:rsidRDefault="0037709C" w:rsidP="00C0769B">
            <w:pPr>
              <w:pStyle w:val="Tablesmalltext"/>
              <w:jc w:val="center"/>
            </w:pPr>
            <w:r w:rsidRPr="00C0769B">
              <w:t>$ 3.33 m</w:t>
            </w:r>
          </w:p>
        </w:tc>
        <w:tc>
          <w:tcPr>
            <w:tcW w:w="1417" w:type="dxa"/>
          </w:tcPr>
          <w:p w:rsidR="0037709C" w:rsidRPr="00C0769B" w:rsidRDefault="0037709C" w:rsidP="00C0769B">
            <w:pPr>
              <w:pStyle w:val="Tablesmalltext"/>
              <w:jc w:val="center"/>
            </w:pPr>
            <w:r w:rsidRPr="00C0769B">
              <w:t>$ 4.42 m</w:t>
            </w:r>
          </w:p>
        </w:tc>
        <w:tc>
          <w:tcPr>
            <w:tcW w:w="1418" w:type="dxa"/>
          </w:tcPr>
          <w:p w:rsidR="0037709C" w:rsidRPr="00C0769B" w:rsidRDefault="0037709C" w:rsidP="00C0769B">
            <w:pPr>
              <w:pStyle w:val="Tablesmalltext"/>
              <w:jc w:val="center"/>
            </w:pPr>
            <w:r w:rsidRPr="00C0769B">
              <w:t>$ 15.67 m</w:t>
            </w:r>
          </w:p>
        </w:tc>
        <w:tc>
          <w:tcPr>
            <w:tcW w:w="1418" w:type="dxa"/>
          </w:tcPr>
          <w:p w:rsidR="0037709C" w:rsidRPr="00C0769B" w:rsidRDefault="0037709C" w:rsidP="00C0769B">
            <w:pPr>
              <w:pStyle w:val="Tablesmalltext"/>
              <w:jc w:val="center"/>
            </w:pPr>
            <w:r w:rsidRPr="00C0769B">
              <w:t>$ 16.76 m</w:t>
            </w:r>
          </w:p>
        </w:tc>
      </w:tr>
      <w:tr w:rsidR="00F669FB" w:rsidRPr="00863E1E" w:rsidTr="002E4907">
        <w:tc>
          <w:tcPr>
            <w:tcW w:w="1417" w:type="dxa"/>
            <w:vAlign w:val="center"/>
          </w:tcPr>
          <w:p w:rsidR="0037709C" w:rsidRPr="00681AB7" w:rsidRDefault="0037709C" w:rsidP="00E97C45">
            <w:pPr>
              <w:pStyle w:val="Tablesmalltext"/>
              <w:rPr>
                <w:b/>
              </w:rPr>
            </w:pPr>
            <w:r w:rsidRPr="00681AB7">
              <w:rPr>
                <w:b/>
              </w:rPr>
              <w:t>SA</w:t>
            </w:r>
          </w:p>
        </w:tc>
        <w:tc>
          <w:tcPr>
            <w:tcW w:w="1418" w:type="dxa"/>
          </w:tcPr>
          <w:p w:rsidR="0037709C" w:rsidRPr="00C0769B" w:rsidRDefault="0037709C" w:rsidP="00C0769B">
            <w:pPr>
              <w:pStyle w:val="Tablesmalltext"/>
              <w:jc w:val="center"/>
            </w:pPr>
            <w:r w:rsidRPr="00C0769B">
              <w:t>$ 6.84 m</w:t>
            </w:r>
          </w:p>
        </w:tc>
        <w:tc>
          <w:tcPr>
            <w:tcW w:w="1417" w:type="dxa"/>
          </w:tcPr>
          <w:p w:rsidR="0037709C" w:rsidRPr="00C0769B" w:rsidRDefault="0037709C" w:rsidP="00C0769B">
            <w:pPr>
              <w:pStyle w:val="Tablesmalltext"/>
              <w:jc w:val="center"/>
            </w:pPr>
            <w:r w:rsidRPr="00C0769B">
              <w:t>$ 0.30 m</w:t>
            </w:r>
          </w:p>
        </w:tc>
        <w:tc>
          <w:tcPr>
            <w:tcW w:w="1418" w:type="dxa"/>
          </w:tcPr>
          <w:p w:rsidR="0037709C" w:rsidRPr="00C0769B" w:rsidRDefault="0037709C" w:rsidP="00194375">
            <w:pPr>
              <w:pStyle w:val="Tablesmalltext"/>
              <w:jc w:val="center"/>
            </w:pPr>
            <w:r w:rsidRPr="00C0769B">
              <w:t xml:space="preserve">$ </w:t>
            </w:r>
            <w:r w:rsidR="00194375">
              <w:t>1.</w:t>
            </w:r>
            <w:r w:rsidR="00A14F28">
              <w:t>04</w:t>
            </w:r>
            <w:r w:rsidRPr="00C0769B">
              <w:t xml:space="preserve"> m</w:t>
            </w:r>
          </w:p>
        </w:tc>
        <w:tc>
          <w:tcPr>
            <w:tcW w:w="1417" w:type="dxa"/>
          </w:tcPr>
          <w:p w:rsidR="0037709C" w:rsidRPr="00C0769B" w:rsidRDefault="0037709C" w:rsidP="00BA6B81">
            <w:pPr>
              <w:pStyle w:val="Tablesmalltext"/>
              <w:jc w:val="center"/>
            </w:pPr>
            <w:r w:rsidRPr="00C0769B">
              <w:t xml:space="preserve">$ </w:t>
            </w:r>
            <w:r w:rsidR="00BA6B81">
              <w:t>1.33</w:t>
            </w:r>
            <w:r w:rsidRPr="00C0769B">
              <w:t xml:space="preserve"> m</w:t>
            </w:r>
          </w:p>
        </w:tc>
        <w:tc>
          <w:tcPr>
            <w:tcW w:w="1418" w:type="dxa"/>
          </w:tcPr>
          <w:p w:rsidR="0037709C" w:rsidRPr="00C0769B" w:rsidRDefault="0037709C" w:rsidP="00A14F28">
            <w:pPr>
              <w:pStyle w:val="Tablesmalltext"/>
              <w:jc w:val="center"/>
            </w:pPr>
            <w:r w:rsidRPr="00C0769B">
              <w:t xml:space="preserve">$ </w:t>
            </w:r>
            <w:r w:rsidR="00A14F28">
              <w:t>8.18</w:t>
            </w:r>
            <w:r w:rsidRPr="00C0769B">
              <w:t xml:space="preserve"> m</w:t>
            </w:r>
          </w:p>
        </w:tc>
        <w:tc>
          <w:tcPr>
            <w:tcW w:w="1418" w:type="dxa"/>
          </w:tcPr>
          <w:p w:rsidR="0037709C" w:rsidRPr="00C0769B" w:rsidRDefault="0037709C" w:rsidP="00BA6B81">
            <w:pPr>
              <w:pStyle w:val="Tablesmalltext"/>
              <w:jc w:val="center"/>
            </w:pPr>
            <w:r w:rsidRPr="00C0769B">
              <w:t xml:space="preserve">$ </w:t>
            </w:r>
            <w:r w:rsidR="00BA6B81">
              <w:t>8.47</w:t>
            </w:r>
            <w:r w:rsidRPr="00C0769B">
              <w:t xml:space="preserve"> m</w:t>
            </w:r>
          </w:p>
        </w:tc>
      </w:tr>
      <w:tr w:rsidR="00F669FB" w:rsidRPr="00863E1E" w:rsidTr="002E4907">
        <w:tc>
          <w:tcPr>
            <w:tcW w:w="1417" w:type="dxa"/>
            <w:shd w:val="clear" w:color="auto" w:fill="D0CECB"/>
            <w:vAlign w:val="center"/>
          </w:tcPr>
          <w:p w:rsidR="0037709C" w:rsidRPr="00681AB7" w:rsidRDefault="0037709C" w:rsidP="00E97C45">
            <w:pPr>
              <w:pStyle w:val="Tablesmalltext"/>
              <w:rPr>
                <w:b/>
              </w:rPr>
            </w:pPr>
            <w:r w:rsidRPr="00681AB7">
              <w:rPr>
                <w:b/>
              </w:rPr>
              <w:t xml:space="preserve">TOTAL </w:t>
            </w:r>
          </w:p>
        </w:tc>
        <w:tc>
          <w:tcPr>
            <w:tcW w:w="1418" w:type="dxa"/>
            <w:shd w:val="clear" w:color="auto" w:fill="D0CECB"/>
          </w:tcPr>
          <w:p w:rsidR="0037709C" w:rsidRPr="00640283" w:rsidRDefault="0037709C" w:rsidP="00C0769B">
            <w:pPr>
              <w:pStyle w:val="Tablesmalltext"/>
              <w:jc w:val="center"/>
              <w:rPr>
                <w:b/>
              </w:rPr>
            </w:pPr>
            <w:r w:rsidRPr="00640283">
              <w:rPr>
                <w:b/>
              </w:rPr>
              <w:t>$ 24.87 m</w:t>
            </w:r>
          </w:p>
        </w:tc>
        <w:tc>
          <w:tcPr>
            <w:tcW w:w="1417" w:type="dxa"/>
            <w:shd w:val="clear" w:color="auto" w:fill="D0CECB"/>
          </w:tcPr>
          <w:p w:rsidR="0037709C" w:rsidRPr="00640283" w:rsidRDefault="0037709C" w:rsidP="00C0769B">
            <w:pPr>
              <w:pStyle w:val="Tablesmalltext"/>
              <w:jc w:val="center"/>
              <w:rPr>
                <w:b/>
              </w:rPr>
            </w:pPr>
            <w:r w:rsidRPr="00640283">
              <w:rPr>
                <w:b/>
              </w:rPr>
              <w:t>$ 18.21 m</w:t>
            </w:r>
          </w:p>
        </w:tc>
        <w:tc>
          <w:tcPr>
            <w:tcW w:w="1418" w:type="dxa"/>
            <w:shd w:val="clear" w:color="auto" w:fill="D0CECB"/>
          </w:tcPr>
          <w:p w:rsidR="0037709C" w:rsidRPr="00640283" w:rsidRDefault="00A14F28" w:rsidP="00C0769B">
            <w:pPr>
              <w:pStyle w:val="Tablesmalltext"/>
              <w:jc w:val="center"/>
              <w:rPr>
                <w:b/>
              </w:rPr>
            </w:pPr>
            <w:r>
              <w:rPr>
                <w:b/>
              </w:rPr>
              <w:t>$ 9.53</w:t>
            </w:r>
            <w:r w:rsidR="0037709C" w:rsidRPr="00640283">
              <w:rPr>
                <w:b/>
              </w:rPr>
              <w:t xml:space="preserve"> m</w:t>
            </w:r>
          </w:p>
        </w:tc>
        <w:tc>
          <w:tcPr>
            <w:tcW w:w="1417" w:type="dxa"/>
            <w:shd w:val="clear" w:color="auto" w:fill="D0CECB"/>
          </w:tcPr>
          <w:p w:rsidR="0037709C" w:rsidRPr="00640283" w:rsidRDefault="0037709C" w:rsidP="002E0AD5">
            <w:pPr>
              <w:pStyle w:val="Tablesmalltext"/>
              <w:jc w:val="center"/>
              <w:rPr>
                <w:b/>
              </w:rPr>
            </w:pPr>
            <w:r w:rsidRPr="00640283">
              <w:rPr>
                <w:b/>
              </w:rPr>
              <w:t xml:space="preserve">$ </w:t>
            </w:r>
            <w:r w:rsidR="002E0AD5">
              <w:rPr>
                <w:b/>
              </w:rPr>
              <w:t>14.39</w:t>
            </w:r>
            <w:r w:rsidRPr="00640283">
              <w:rPr>
                <w:b/>
              </w:rPr>
              <w:t xml:space="preserve"> m</w:t>
            </w:r>
          </w:p>
        </w:tc>
        <w:tc>
          <w:tcPr>
            <w:tcW w:w="1418" w:type="dxa"/>
            <w:shd w:val="clear" w:color="auto" w:fill="D0CECB"/>
          </w:tcPr>
          <w:p w:rsidR="0037709C" w:rsidRPr="00640283" w:rsidRDefault="00A14F28" w:rsidP="00C0769B">
            <w:pPr>
              <w:pStyle w:val="Tablesmalltext"/>
              <w:jc w:val="center"/>
              <w:rPr>
                <w:b/>
              </w:rPr>
            </w:pPr>
            <w:r>
              <w:rPr>
                <w:b/>
              </w:rPr>
              <w:t>$ 52.61</w:t>
            </w:r>
            <w:r w:rsidR="0037709C" w:rsidRPr="00640283">
              <w:rPr>
                <w:b/>
              </w:rPr>
              <w:t xml:space="preserve"> m</w:t>
            </w:r>
          </w:p>
        </w:tc>
        <w:tc>
          <w:tcPr>
            <w:tcW w:w="1418" w:type="dxa"/>
            <w:shd w:val="clear" w:color="auto" w:fill="D0CECB"/>
          </w:tcPr>
          <w:p w:rsidR="0037709C" w:rsidRPr="00640283" w:rsidRDefault="0037709C" w:rsidP="002E0AD5">
            <w:pPr>
              <w:pStyle w:val="Tablesmalltext"/>
              <w:jc w:val="center"/>
              <w:rPr>
                <w:b/>
              </w:rPr>
            </w:pPr>
            <w:r w:rsidRPr="00640283">
              <w:rPr>
                <w:b/>
              </w:rPr>
              <w:t>$ 5</w:t>
            </w:r>
            <w:r w:rsidR="002E0AD5">
              <w:rPr>
                <w:b/>
              </w:rPr>
              <w:t>7</w:t>
            </w:r>
            <w:r w:rsidRPr="00640283">
              <w:rPr>
                <w:b/>
              </w:rPr>
              <w:t>.</w:t>
            </w:r>
            <w:r w:rsidR="002E0AD5">
              <w:rPr>
                <w:b/>
              </w:rPr>
              <w:t>4</w:t>
            </w:r>
            <w:r w:rsidRPr="00640283">
              <w:rPr>
                <w:b/>
              </w:rPr>
              <w:t>6 m</w:t>
            </w:r>
          </w:p>
        </w:tc>
      </w:tr>
    </w:tbl>
    <w:p w:rsidR="000B5AAB" w:rsidRDefault="000B5AAB" w:rsidP="000B5AAB">
      <w:pPr>
        <w:pStyle w:val="Caption"/>
      </w:pPr>
      <w:bookmarkStart w:id="28" w:name="_Ref372042386"/>
      <w:r w:rsidRPr="00B71EB9">
        <w:t xml:space="preserve">Figure </w:t>
      </w:r>
      <w:r w:rsidR="006768F1">
        <w:fldChar w:fldCharType="begin"/>
      </w:r>
      <w:r w:rsidR="00DB2AA7">
        <w:instrText xml:space="preserve"> SEQ Figure \* ARABIC </w:instrText>
      </w:r>
      <w:r w:rsidR="006768F1">
        <w:fldChar w:fldCharType="separate"/>
      </w:r>
      <w:r w:rsidR="00516D07">
        <w:rPr>
          <w:noProof/>
        </w:rPr>
        <w:t>4</w:t>
      </w:r>
      <w:r w:rsidR="006768F1">
        <w:fldChar w:fldCharType="end"/>
      </w:r>
      <w:bookmarkEnd w:id="28"/>
      <w:r w:rsidRPr="00B71EB9">
        <w:t>: Total direct use value from re-allocated saved water (</w:t>
      </w:r>
      <w:r w:rsidR="004D439A" w:rsidRPr="00B71EB9">
        <w:t xml:space="preserve">$ </w:t>
      </w:r>
      <w:r w:rsidRPr="00B71EB9">
        <w:t>2013</w:t>
      </w:r>
      <w:r w:rsidR="004D439A" w:rsidRPr="00B71EB9">
        <w:t>, real</w:t>
      </w:r>
      <w:r w:rsidRPr="00B71EB9">
        <w:t>)</w:t>
      </w:r>
    </w:p>
    <w:p w:rsidR="00DE7960" w:rsidRPr="00DE7960" w:rsidRDefault="00DE7960" w:rsidP="00DE7960">
      <w:pPr>
        <w:pStyle w:val="Para0"/>
        <w:spacing w:before="0"/>
      </w:pPr>
      <w:r>
        <w:rPr>
          <w:noProof/>
          <w:lang w:eastAsia="en-AU"/>
        </w:rPr>
        <w:drawing>
          <wp:inline distT="0" distB="0" distL="0" distR="0">
            <wp:extent cx="5840730" cy="31394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139440"/>
                    </a:xfrm>
                    <a:prstGeom prst="rect">
                      <a:avLst/>
                    </a:prstGeom>
                    <a:noFill/>
                  </pic:spPr>
                </pic:pic>
              </a:graphicData>
            </a:graphic>
          </wp:inline>
        </w:drawing>
      </w:r>
    </w:p>
    <w:p w:rsidR="00064995" w:rsidRPr="00863E1E" w:rsidRDefault="004D439A" w:rsidP="004D439A">
      <w:pPr>
        <w:pStyle w:val="Para0"/>
      </w:pPr>
      <w:r w:rsidRPr="00863E1E">
        <w:t>The value varies over the phases in line with the variation in water saved from works undertaken, given that all other variables remain fixed. A</w:t>
      </w:r>
      <w:r w:rsidR="00064995" w:rsidRPr="00863E1E">
        <w:t>s such</w:t>
      </w:r>
      <w:r w:rsidR="004532A4">
        <w:t>, Phase 1 and 2 delivered similar direct use value in both Queensland an</w:t>
      </w:r>
      <w:r w:rsidR="006826BA">
        <w:t>d NSW, while in South Australia</w:t>
      </w:r>
      <w:r w:rsidR="004532A4">
        <w:t xml:space="preserve"> Phase 1 delivered much higher value than either other phase of the program.</w:t>
      </w:r>
    </w:p>
    <w:p w:rsidR="000B5AAB" w:rsidRPr="00863E1E" w:rsidRDefault="000B5AAB" w:rsidP="000B5AAB">
      <w:pPr>
        <w:pStyle w:val="Heading3"/>
      </w:pPr>
      <w:bookmarkStart w:id="29" w:name="_Ref373233967"/>
      <w:bookmarkStart w:id="30" w:name="_Ref374363711"/>
      <w:r w:rsidRPr="00863E1E">
        <w:t>Consumptive benefits from improved pressure</w:t>
      </w:r>
      <w:bookmarkEnd w:id="29"/>
      <w:bookmarkEnd w:id="30"/>
    </w:p>
    <w:p w:rsidR="0067546C" w:rsidRPr="00863E1E" w:rsidRDefault="0067546C" w:rsidP="0067546C">
      <w:pPr>
        <w:pStyle w:val="subhead"/>
      </w:pPr>
      <w:r w:rsidRPr="00863E1E">
        <w:t>Method</w:t>
      </w:r>
    </w:p>
    <w:p w:rsidR="009513FE" w:rsidRPr="00863E1E" w:rsidRDefault="000B5AAB" w:rsidP="000B5AAB">
      <w:pPr>
        <w:pStyle w:val="Para0"/>
      </w:pPr>
      <w:r w:rsidRPr="00863E1E">
        <w:t xml:space="preserve">A primary objective of GABSI is to recover GAB artesian pressure. Direct consumptive benefits associated with pressure recovery predominantly relate to </w:t>
      </w:r>
      <w:r w:rsidR="003826D0">
        <w:t xml:space="preserve">avoided </w:t>
      </w:r>
      <w:r w:rsidR="008F534E">
        <w:t xml:space="preserve">capital and </w:t>
      </w:r>
      <w:r w:rsidR="009513FE" w:rsidRPr="00863E1E">
        <w:t>op</w:t>
      </w:r>
      <w:r w:rsidR="008F534E">
        <w:t>erational costs for water users</w:t>
      </w:r>
      <w:r w:rsidR="003826D0">
        <w:t>, i.e.:</w:t>
      </w:r>
    </w:p>
    <w:p w:rsidR="009513FE" w:rsidRPr="00863E1E" w:rsidRDefault="009513FE" w:rsidP="009513FE">
      <w:pPr>
        <w:pStyle w:val="Para0bullet"/>
        <w:tabs>
          <w:tab w:val="clear" w:pos="851"/>
          <w:tab w:val="left" w:pos="426"/>
        </w:tabs>
        <w:ind w:left="426" w:hanging="426"/>
      </w:pPr>
      <w:r w:rsidRPr="005E74CB">
        <w:rPr>
          <w:b/>
        </w:rPr>
        <w:t>Avoided pump installation costs</w:t>
      </w:r>
      <w:r w:rsidRPr="00863E1E">
        <w:t xml:space="preserve"> </w:t>
      </w:r>
      <w:r w:rsidR="00166D57" w:rsidRPr="00863E1E">
        <w:t xml:space="preserve">for landowners </w:t>
      </w:r>
      <w:r w:rsidR="003826D0">
        <w:t xml:space="preserve">who </w:t>
      </w:r>
      <w:r w:rsidR="00166D57" w:rsidRPr="00863E1E">
        <w:t xml:space="preserve">would have needed to install pumps due to declining pressure (flow rates) in the absence of </w:t>
      </w:r>
      <w:r w:rsidRPr="00863E1E">
        <w:t>the GABSI program</w:t>
      </w:r>
      <w:r w:rsidR="003826D0">
        <w:t>.</w:t>
      </w:r>
    </w:p>
    <w:p w:rsidR="009513FE" w:rsidRPr="000F2E0B" w:rsidRDefault="009513FE" w:rsidP="009513FE">
      <w:pPr>
        <w:pStyle w:val="Para0bullet"/>
        <w:tabs>
          <w:tab w:val="clear" w:pos="851"/>
          <w:tab w:val="left" w:pos="426"/>
        </w:tabs>
        <w:ind w:left="426" w:hanging="426"/>
      </w:pPr>
      <w:r w:rsidRPr="005E74CB">
        <w:rPr>
          <w:b/>
        </w:rPr>
        <w:t xml:space="preserve">Reduced </w:t>
      </w:r>
      <w:r w:rsidR="00166D57" w:rsidRPr="005E74CB">
        <w:rPr>
          <w:b/>
        </w:rPr>
        <w:t xml:space="preserve">or avoided </w:t>
      </w:r>
      <w:r w:rsidRPr="005E74CB">
        <w:rPr>
          <w:b/>
        </w:rPr>
        <w:t>pumping costs</w:t>
      </w:r>
      <w:r w:rsidRPr="00863E1E">
        <w:t xml:space="preserve"> for</w:t>
      </w:r>
      <w:r w:rsidR="00166D57" w:rsidRPr="00863E1E">
        <w:t xml:space="preserve"> landowners </w:t>
      </w:r>
      <w:r w:rsidR="003826D0">
        <w:t>who</w:t>
      </w:r>
      <w:r w:rsidR="00166D57" w:rsidRPr="00863E1E">
        <w:t xml:space="preserve"> face higher flow rates as a result of GABSI</w:t>
      </w:r>
      <w:r w:rsidR="008F534E">
        <w:t>. Each water user requires a certa</w:t>
      </w:r>
      <w:r w:rsidR="003826D0">
        <w:t>in flow rate for its operations, so i</w:t>
      </w:r>
      <w:r w:rsidR="008F534E">
        <w:t>f pressure in the GAB drops (</w:t>
      </w:r>
      <w:r w:rsidR="003826D0">
        <w:t>i.e.</w:t>
      </w:r>
      <w:r w:rsidR="008F534E">
        <w:t xml:space="preserve"> in the </w:t>
      </w:r>
      <w:r w:rsidR="008F534E" w:rsidRPr="000F2E0B">
        <w:t xml:space="preserve">absence of GABSI), the artesian flow rates are reduced, and more energy is required to continue pumping water at the required flow rate. </w:t>
      </w:r>
    </w:p>
    <w:p w:rsidR="00166D57" w:rsidRPr="0029164D" w:rsidRDefault="00166D57" w:rsidP="000B5AAB">
      <w:pPr>
        <w:pStyle w:val="Para0"/>
      </w:pPr>
      <w:r w:rsidRPr="000F2E0B">
        <w:t xml:space="preserve">To understand the incremental pressure impacts, it is necessary to compare the pressure across the GAB under the </w:t>
      </w:r>
      <w:r w:rsidRPr="0029164D">
        <w:t>following two scenarios:</w:t>
      </w:r>
    </w:p>
    <w:p w:rsidR="00166D57" w:rsidRPr="0029164D" w:rsidRDefault="00701E18" w:rsidP="00166D57">
      <w:pPr>
        <w:pStyle w:val="Para0bullet"/>
        <w:tabs>
          <w:tab w:val="clear" w:pos="851"/>
          <w:tab w:val="left" w:pos="426"/>
        </w:tabs>
        <w:ind w:left="426" w:hanging="426"/>
      </w:pPr>
      <w:r w:rsidRPr="008936FB">
        <w:rPr>
          <w:b/>
          <w:lang w:val="es-ES"/>
        </w:rPr>
        <w:t>Scenario</w:t>
      </w:r>
      <w:r w:rsidR="00166D57" w:rsidRPr="008936FB">
        <w:rPr>
          <w:b/>
          <w:lang w:val="es-ES"/>
        </w:rPr>
        <w:t xml:space="preserve"> 1</w:t>
      </w:r>
      <w:r w:rsidR="00863E1E" w:rsidRPr="008936FB">
        <w:rPr>
          <w:b/>
          <w:lang w:val="es-ES"/>
        </w:rPr>
        <w:t xml:space="preserve"> (Sc1)</w:t>
      </w:r>
      <w:r w:rsidR="00166D57" w:rsidRPr="008936FB">
        <w:rPr>
          <w:b/>
          <w:lang w:val="es-ES"/>
        </w:rPr>
        <w:t xml:space="preserve">: No GABSI </w:t>
      </w:r>
      <w:r w:rsidRPr="008936FB">
        <w:rPr>
          <w:b/>
          <w:lang w:val="es-ES"/>
        </w:rPr>
        <w:t>Scenario</w:t>
      </w:r>
      <w:r w:rsidR="00166D57" w:rsidRPr="008936FB">
        <w:rPr>
          <w:b/>
          <w:lang w:val="es-ES"/>
        </w:rPr>
        <w:t>.</w:t>
      </w:r>
      <w:r w:rsidR="00166D57" w:rsidRPr="008936FB">
        <w:rPr>
          <w:lang w:val="es-ES"/>
        </w:rPr>
        <w:t xml:space="preserve"> </w:t>
      </w:r>
      <w:r w:rsidR="00166D57" w:rsidRPr="0029164D">
        <w:t xml:space="preserve">This is equivalent to the pressure in the GAB from 1999 onwards, </w:t>
      </w:r>
      <w:r w:rsidR="003826D0" w:rsidRPr="0029164D">
        <w:t xml:space="preserve">and assumes </w:t>
      </w:r>
      <w:r w:rsidR="00863E1E" w:rsidRPr="0029164D">
        <w:t xml:space="preserve">that </w:t>
      </w:r>
      <w:r w:rsidR="00166D57" w:rsidRPr="0029164D">
        <w:t>no capping and piping activity</w:t>
      </w:r>
      <w:r w:rsidR="003826D0" w:rsidRPr="0029164D">
        <w:t xml:space="preserve"> </w:t>
      </w:r>
      <w:r w:rsidR="00166D57" w:rsidRPr="0029164D">
        <w:t xml:space="preserve">in the GAB </w:t>
      </w:r>
      <w:r w:rsidR="003826D0" w:rsidRPr="0029164D">
        <w:t xml:space="preserve">occurred </w:t>
      </w:r>
      <w:r w:rsidR="00166D57" w:rsidRPr="0029164D">
        <w:t xml:space="preserve">from 1999/2000 onwards. </w:t>
      </w:r>
    </w:p>
    <w:p w:rsidR="00166D57" w:rsidRPr="0029164D" w:rsidRDefault="00701E18" w:rsidP="00166D57">
      <w:pPr>
        <w:pStyle w:val="Para0bullet"/>
        <w:tabs>
          <w:tab w:val="clear" w:pos="851"/>
          <w:tab w:val="left" w:pos="426"/>
        </w:tabs>
        <w:ind w:left="426" w:hanging="426"/>
      </w:pPr>
      <w:r w:rsidRPr="008936FB">
        <w:rPr>
          <w:b/>
          <w:lang w:val="es-ES"/>
        </w:rPr>
        <w:t>Scenario</w:t>
      </w:r>
      <w:r w:rsidR="00166D57" w:rsidRPr="008936FB">
        <w:rPr>
          <w:b/>
          <w:lang w:val="es-ES"/>
        </w:rPr>
        <w:t xml:space="preserve"> 2</w:t>
      </w:r>
      <w:r w:rsidR="00863E1E" w:rsidRPr="008936FB">
        <w:rPr>
          <w:b/>
          <w:lang w:val="es-ES"/>
        </w:rPr>
        <w:t xml:space="preserve"> (Sc2)</w:t>
      </w:r>
      <w:r w:rsidR="00032188" w:rsidRPr="008936FB">
        <w:rPr>
          <w:b/>
          <w:lang w:val="es-ES"/>
        </w:rPr>
        <w:t>:</w:t>
      </w:r>
      <w:r w:rsidR="00863E1E" w:rsidRPr="008936FB">
        <w:rPr>
          <w:b/>
          <w:lang w:val="es-ES"/>
        </w:rPr>
        <w:t xml:space="preserve"> </w:t>
      </w:r>
      <w:r w:rsidR="00166D57" w:rsidRPr="008936FB">
        <w:rPr>
          <w:b/>
          <w:lang w:val="es-ES"/>
        </w:rPr>
        <w:t xml:space="preserve">With GABSI </w:t>
      </w:r>
      <w:r w:rsidR="00863E1E" w:rsidRPr="008936FB">
        <w:rPr>
          <w:b/>
          <w:lang w:val="es-ES"/>
        </w:rPr>
        <w:t>scenario.</w:t>
      </w:r>
      <w:r w:rsidR="00863E1E" w:rsidRPr="008936FB">
        <w:rPr>
          <w:lang w:val="es-ES"/>
        </w:rPr>
        <w:t xml:space="preserve"> </w:t>
      </w:r>
      <w:r w:rsidR="00863E1E" w:rsidRPr="0029164D">
        <w:t xml:space="preserve">This scenario is based on actual pressure </w:t>
      </w:r>
      <w:r w:rsidR="00166D57" w:rsidRPr="0029164D">
        <w:t>between 1999 and 2013 (</w:t>
      </w:r>
      <w:r w:rsidR="003826D0" w:rsidRPr="0029164D">
        <w:t xml:space="preserve">with </w:t>
      </w:r>
      <w:r w:rsidR="00166D57" w:rsidRPr="0029164D">
        <w:t xml:space="preserve">GABSI in place) and a projection of future pressure assuming all capping and piping activity ceases in June 2014. </w:t>
      </w:r>
    </w:p>
    <w:p w:rsidR="00CD72A5" w:rsidRPr="000F2E0B" w:rsidRDefault="00CD72A5" w:rsidP="00CD72A5">
      <w:pPr>
        <w:pStyle w:val="Para0"/>
      </w:pPr>
      <w:r w:rsidRPr="000F2E0B">
        <w:t xml:space="preserve">To estimate these impacts with a high degree of confidence, it is necessary to </w:t>
      </w:r>
      <w:r w:rsidR="008F534E" w:rsidRPr="000F2E0B">
        <w:t>consider the variables outline</w:t>
      </w:r>
      <w:r w:rsidR="005E74CB" w:rsidRPr="000F2E0B">
        <w:t>d</w:t>
      </w:r>
      <w:r w:rsidR="008F534E" w:rsidRPr="000F2E0B">
        <w:t xml:space="preserve"> in the following table</w:t>
      </w:r>
      <w:r w:rsidR="00A87C15" w:rsidRPr="000F2E0B">
        <w:t>.</w:t>
      </w:r>
    </w:p>
    <w:p w:rsidR="008F534E" w:rsidRDefault="000701C7" w:rsidP="000701C7">
      <w:pPr>
        <w:pStyle w:val="Caption"/>
      </w:pPr>
      <w:bookmarkStart w:id="31" w:name="_Ref373155608"/>
      <w:r w:rsidRPr="00863E1E">
        <w:t xml:space="preserve">Table </w:t>
      </w:r>
      <w:r w:rsidR="006768F1">
        <w:fldChar w:fldCharType="begin"/>
      </w:r>
      <w:r w:rsidR="00F843FC">
        <w:instrText xml:space="preserve"> SEQ Table \* ARABIC </w:instrText>
      </w:r>
      <w:r w:rsidR="006768F1">
        <w:fldChar w:fldCharType="separate"/>
      </w:r>
      <w:r w:rsidR="00516D07">
        <w:rPr>
          <w:noProof/>
        </w:rPr>
        <w:t>9</w:t>
      </w:r>
      <w:r w:rsidR="006768F1">
        <w:fldChar w:fldCharType="end"/>
      </w:r>
      <w:bookmarkEnd w:id="31"/>
      <w:r w:rsidRPr="00863E1E">
        <w:t xml:space="preserve">: </w:t>
      </w:r>
      <w:r w:rsidR="00676F0E">
        <w:t>M</w:t>
      </w:r>
      <w:r>
        <w:t>ethod summary for quantifying consumptive benefit from pressure recovery</w:t>
      </w:r>
    </w:p>
    <w:tbl>
      <w:tblPr>
        <w:tblW w:w="9923" w:type="dxa"/>
        <w:tblInd w:w="108" w:type="dxa"/>
        <w:tblBorders>
          <w:top w:val="single" w:sz="6" w:space="0" w:color="009DD1"/>
          <w:left w:val="single" w:sz="6" w:space="0" w:color="009DD1"/>
          <w:bottom w:val="single" w:sz="6" w:space="0" w:color="009DD1"/>
          <w:right w:val="single" w:sz="6" w:space="0" w:color="009DD1"/>
          <w:insideH w:val="single" w:sz="6" w:space="0" w:color="009DD1"/>
          <w:insideV w:val="single" w:sz="6" w:space="0" w:color="009DD1"/>
        </w:tblBorders>
        <w:tblLook w:val="00A0"/>
      </w:tblPr>
      <w:tblGrid>
        <w:gridCol w:w="1418"/>
        <w:gridCol w:w="8505"/>
      </w:tblGrid>
      <w:tr w:rsidR="00F669FB" w:rsidRPr="00863E1E" w:rsidTr="002E4907">
        <w:trPr>
          <w:cantSplit/>
          <w:trHeight w:val="322"/>
          <w:tblHeader/>
        </w:trPr>
        <w:tc>
          <w:tcPr>
            <w:tcW w:w="1418" w:type="dxa"/>
            <w:shd w:val="clear" w:color="auto" w:fill="5185C0"/>
          </w:tcPr>
          <w:p w:rsidR="00A87C15" w:rsidRPr="00F669FB" w:rsidRDefault="00A87C15" w:rsidP="00B977F2">
            <w:pPr>
              <w:pStyle w:val="Tablesmallheading"/>
              <w:rPr>
                <w:highlight w:val="yellow"/>
              </w:rPr>
            </w:pPr>
            <w:r w:rsidRPr="00F669FB">
              <w:t>Variable</w:t>
            </w:r>
          </w:p>
        </w:tc>
        <w:tc>
          <w:tcPr>
            <w:tcW w:w="8505" w:type="dxa"/>
            <w:shd w:val="clear" w:color="auto" w:fill="5185C0"/>
            <w:vAlign w:val="center"/>
          </w:tcPr>
          <w:p w:rsidR="00A87C15" w:rsidRPr="00824349" w:rsidRDefault="00A87C15" w:rsidP="00403244">
            <w:pPr>
              <w:pStyle w:val="Tablesmallheading"/>
            </w:pPr>
            <w:r w:rsidRPr="00AF3EEE">
              <w:t>Recommended assessment method</w:t>
            </w:r>
            <w:r w:rsidR="00F26424" w:rsidRPr="00AF3EEE">
              <w:t xml:space="preserve"> and limitations</w:t>
            </w:r>
          </w:p>
        </w:tc>
      </w:tr>
      <w:tr w:rsidR="00F669FB" w:rsidRPr="00863E1E" w:rsidTr="002E4907">
        <w:trPr>
          <w:cantSplit/>
        </w:trPr>
        <w:tc>
          <w:tcPr>
            <w:tcW w:w="9923" w:type="dxa"/>
            <w:gridSpan w:val="2"/>
            <w:shd w:val="clear" w:color="auto" w:fill="D3D4D5"/>
          </w:tcPr>
          <w:p w:rsidR="005E74CB" w:rsidRPr="00CA5B42" w:rsidRDefault="005E74CB" w:rsidP="00B977F2">
            <w:pPr>
              <w:pStyle w:val="Tablesmalltext"/>
              <w:rPr>
                <w:b/>
                <w:i/>
              </w:rPr>
            </w:pPr>
            <w:r w:rsidRPr="00CA5B42">
              <w:rPr>
                <w:b/>
                <w:i/>
              </w:rPr>
              <w:t xml:space="preserve">Avoided pump installation costs </w:t>
            </w:r>
            <w:r w:rsidR="00C2317D" w:rsidRPr="00CA5B42">
              <w:rPr>
                <w:b/>
                <w:i/>
              </w:rPr>
              <w:t>(avoided number of pumps X average pump installation cost)</w:t>
            </w:r>
          </w:p>
        </w:tc>
      </w:tr>
      <w:tr w:rsidR="00A87C15" w:rsidRPr="00863E1E" w:rsidTr="00CA5B42">
        <w:trPr>
          <w:cantSplit/>
        </w:trPr>
        <w:tc>
          <w:tcPr>
            <w:tcW w:w="1418" w:type="dxa"/>
          </w:tcPr>
          <w:p w:rsidR="00A87C15" w:rsidRPr="00CA5B42" w:rsidRDefault="00A87C15" w:rsidP="00B977F2">
            <w:pPr>
              <w:pStyle w:val="Tablesmalltext"/>
              <w:rPr>
                <w:b/>
              </w:rPr>
            </w:pPr>
            <w:r w:rsidRPr="00CA5B42">
              <w:rPr>
                <w:b/>
              </w:rPr>
              <w:t>Avoided number of pumps</w:t>
            </w:r>
          </w:p>
          <w:p w:rsidR="00A87C15" w:rsidRPr="00CA5B42" w:rsidRDefault="00A87C15" w:rsidP="00B977F2">
            <w:pPr>
              <w:pStyle w:val="Tablesmalltext"/>
              <w:rPr>
                <w:b/>
              </w:rPr>
            </w:pPr>
          </w:p>
          <w:p w:rsidR="00A87C15" w:rsidRPr="00CA5B42" w:rsidRDefault="00A87C15" w:rsidP="003447E7">
            <w:pPr>
              <w:pStyle w:val="Tablesmalltext"/>
              <w:rPr>
                <w:b/>
              </w:rPr>
            </w:pPr>
            <w:r w:rsidRPr="00F669FB">
              <w:t>(Avoided pumps = #</w:t>
            </w:r>
            <w:r w:rsidR="00AE7D2C" w:rsidRPr="00F669FB">
              <w:t xml:space="preserve"> </w:t>
            </w:r>
            <w:r w:rsidRPr="00AF3EEE">
              <w:t>pumps required in Sc1 -</w:t>
            </w:r>
            <w:r w:rsidR="00AE7D2C" w:rsidRPr="00824349">
              <w:t xml:space="preserve"> # pumps required under Sc2</w:t>
            </w:r>
            <w:r w:rsidRPr="00824349">
              <w:t>)</w:t>
            </w:r>
          </w:p>
        </w:tc>
        <w:tc>
          <w:tcPr>
            <w:tcW w:w="8505" w:type="dxa"/>
          </w:tcPr>
          <w:p w:rsidR="00A87C15" w:rsidRPr="00A87C15" w:rsidRDefault="00A87C15" w:rsidP="00B977F2">
            <w:pPr>
              <w:pStyle w:val="Tablesmalltext"/>
            </w:pPr>
            <w:r w:rsidRPr="00A87C15">
              <w:t>The following would be required to determine these variables:</w:t>
            </w:r>
          </w:p>
          <w:p w:rsidR="00A87C15" w:rsidRPr="00A87C15" w:rsidRDefault="00A87C15" w:rsidP="00B977F2">
            <w:pPr>
              <w:pStyle w:val="Tablesmallbullet"/>
            </w:pPr>
            <w:r w:rsidRPr="00A87C15">
              <w:t>Detailed stakeholder consultation to identify which bores already had pumps installed prior to 1999 and how many new pumps have been installed since 1999</w:t>
            </w:r>
            <w:r w:rsidR="00AE7D2C">
              <w:t>.</w:t>
            </w:r>
          </w:p>
          <w:p w:rsidR="00A87C15" w:rsidRPr="00A87C15" w:rsidRDefault="00A87C15" w:rsidP="00B977F2">
            <w:pPr>
              <w:pStyle w:val="Tablesmallbullet"/>
            </w:pPr>
            <w:r w:rsidRPr="00A87C15">
              <w:t>Detailed pressure modelling that considers change in pressure at specific bore locations</w:t>
            </w:r>
            <w:r w:rsidR="00AE7D2C">
              <w:t>.</w:t>
            </w:r>
          </w:p>
          <w:p w:rsidR="00A87C15" w:rsidRPr="00A87C15" w:rsidRDefault="00A87C15" w:rsidP="00B977F2">
            <w:pPr>
              <w:pStyle w:val="Tablesmallbullet"/>
            </w:pPr>
            <w:r w:rsidRPr="00A87C15">
              <w:t>Calibration of pressure model with data obtained from stakeholder consultation to determine how many bores would have needed new pumps installed under each scenario</w:t>
            </w:r>
            <w:r w:rsidR="00AE7D2C">
              <w:t>.</w:t>
            </w:r>
          </w:p>
          <w:p w:rsidR="00A87C15" w:rsidRPr="00A87C15" w:rsidRDefault="00A87C15" w:rsidP="00B977F2">
            <w:pPr>
              <w:pStyle w:val="Tablesmallbullet"/>
            </w:pPr>
            <w:r w:rsidRPr="00A87C15">
              <w:t xml:space="preserve">This modelling </w:t>
            </w:r>
            <w:r w:rsidR="00AE7D2C">
              <w:t xml:space="preserve">could then be </w:t>
            </w:r>
            <w:r w:rsidRPr="00A87C15">
              <w:t>used to determine the incremental change in the nu</w:t>
            </w:r>
            <w:r w:rsidR="002346FA">
              <w:t>mber of pumps required under Sc1 and Sc2</w:t>
            </w:r>
            <w:r w:rsidRPr="00A87C15">
              <w:t xml:space="preserve"> (</w:t>
            </w:r>
            <w:r w:rsidR="002346FA">
              <w:t>i.e.</w:t>
            </w:r>
            <w:r>
              <w:t xml:space="preserve"> </w:t>
            </w:r>
            <w:r w:rsidRPr="00A87C15">
              <w:t>#</w:t>
            </w:r>
            <w:r w:rsidR="002346FA">
              <w:t xml:space="preserve"> </w:t>
            </w:r>
            <w:r w:rsidRPr="00A87C15">
              <w:t xml:space="preserve">pumps </w:t>
            </w:r>
            <w:r>
              <w:t xml:space="preserve">required </w:t>
            </w:r>
            <w:r w:rsidRPr="00A87C15">
              <w:t>in Sc1 -</w:t>
            </w:r>
            <w:r w:rsidR="00AE7D2C">
              <w:t xml:space="preserve"> # pumps required under Sc2</w:t>
            </w:r>
            <w:r w:rsidRPr="00A87C15">
              <w:t>)</w:t>
            </w:r>
            <w:r w:rsidR="00AE7D2C">
              <w:t>.</w:t>
            </w:r>
          </w:p>
          <w:p w:rsidR="00A87C15" w:rsidRPr="00A87C15" w:rsidRDefault="00A87C15" w:rsidP="002346FA">
            <w:pPr>
              <w:pStyle w:val="Tablesmalltext"/>
            </w:pPr>
            <w:r w:rsidRPr="00A87C15">
              <w:t>Data for the number of pumps needed under each scenario is not available</w:t>
            </w:r>
            <w:r w:rsidR="002346FA">
              <w:t xml:space="preserve"> however, and </w:t>
            </w:r>
            <w:r w:rsidRPr="00A87C15">
              <w:t xml:space="preserve">pressure modelling is not within the scope of this assessment. </w:t>
            </w:r>
            <w:r w:rsidR="002346FA">
              <w:t xml:space="preserve">Therefore estimating the avoided number of pumps resulting from </w:t>
            </w:r>
            <w:r w:rsidR="00F503D0">
              <w:t xml:space="preserve">the GABSI program </w:t>
            </w:r>
            <w:r w:rsidR="002346FA">
              <w:t>has not been possible within the study constraints.</w:t>
            </w:r>
          </w:p>
        </w:tc>
      </w:tr>
      <w:tr w:rsidR="00F669FB" w:rsidRPr="00863E1E" w:rsidTr="002E4907">
        <w:trPr>
          <w:cantSplit/>
        </w:trPr>
        <w:tc>
          <w:tcPr>
            <w:tcW w:w="1418" w:type="dxa"/>
          </w:tcPr>
          <w:p w:rsidR="00A87C15" w:rsidRPr="00CA5B42" w:rsidRDefault="00A87C15" w:rsidP="00B977F2">
            <w:pPr>
              <w:pStyle w:val="Tablesmalltext"/>
              <w:rPr>
                <w:b/>
              </w:rPr>
            </w:pPr>
            <w:r w:rsidRPr="00CA5B42">
              <w:rPr>
                <w:b/>
              </w:rPr>
              <w:t>Average pump installation costs</w:t>
            </w:r>
          </w:p>
        </w:tc>
        <w:tc>
          <w:tcPr>
            <w:tcW w:w="8505" w:type="dxa"/>
          </w:tcPr>
          <w:p w:rsidR="00A5596B" w:rsidRDefault="00A87C15" w:rsidP="00C51738">
            <w:pPr>
              <w:pStyle w:val="Tablesmalltext"/>
            </w:pPr>
            <w:r>
              <w:t>Pump installation costs include the cost of the</w:t>
            </w:r>
            <w:r w:rsidR="007A1CFD">
              <w:t xml:space="preserve"> equipment and the labour costs. </w:t>
            </w:r>
            <w:r w:rsidR="00E50255">
              <w:t>I</w:t>
            </w:r>
            <w:r w:rsidR="00A5596B">
              <w:t>t can be assumed that other than stock and domestic water users, other water users in the GAB (such as town water use, mining sector irrigation) require higher flow rates and therefore may already have pumps installed under the base case scenario (Sc1)</w:t>
            </w:r>
            <w:r w:rsidR="006F1BAF">
              <w:t>.</w:t>
            </w:r>
          </w:p>
          <w:p w:rsidR="00C3000E" w:rsidRPr="00A87C15" w:rsidRDefault="00E50255" w:rsidP="00D016A6">
            <w:pPr>
              <w:pStyle w:val="Tablesmalltext"/>
            </w:pPr>
            <w:r>
              <w:t xml:space="preserve">As such, the pump installation costs can be estimated </w:t>
            </w:r>
            <w:r w:rsidR="007A1CFD">
              <w:t xml:space="preserve">using </w:t>
            </w:r>
            <w:r>
              <w:t xml:space="preserve">indicative estimates for stock and domestic pumps – which are assumed to have </w:t>
            </w:r>
            <w:r w:rsidR="00A5596B">
              <w:t xml:space="preserve">a medium </w:t>
            </w:r>
            <w:r>
              <w:t xml:space="preserve">flow rate </w:t>
            </w:r>
            <w:r w:rsidR="007A1CFD">
              <w:t>requirement of 2 L/s. Thus, t</w:t>
            </w:r>
            <w:r w:rsidR="00A5596B">
              <w:t xml:space="preserve">he average pump installation cost to meet this medium flow requirement is estimated </w:t>
            </w:r>
            <w:r w:rsidR="007A1CFD">
              <w:t xml:space="preserve">to be </w:t>
            </w:r>
            <w:r w:rsidR="00A5596B">
              <w:t>$</w:t>
            </w:r>
            <w:r w:rsidR="005A2E84">
              <w:t>9</w:t>
            </w:r>
            <w:r w:rsidR="00A5596B">
              <w:t>,000 per pump</w:t>
            </w:r>
            <w:r w:rsidR="00D016A6">
              <w:t xml:space="preserve"> (assuming a </w:t>
            </w:r>
            <w:r w:rsidR="00A5596B">
              <w:t>range between $</w:t>
            </w:r>
            <w:r w:rsidR="005A2E84">
              <w:t>6</w:t>
            </w:r>
            <w:r w:rsidR="00A5596B">
              <w:t>,00</w:t>
            </w:r>
            <w:r w:rsidR="005A2E84">
              <w:t>0</w:t>
            </w:r>
            <w:r w:rsidR="00A5596B">
              <w:t xml:space="preserve"> and $1</w:t>
            </w:r>
            <w:r w:rsidR="005A2E84">
              <w:t>5</w:t>
            </w:r>
            <w:r w:rsidR="00D016A6">
              <w:t>,000 per pump)</w:t>
            </w:r>
            <w:r w:rsidR="007A1CFD">
              <w:t>.</w:t>
            </w:r>
            <w:r w:rsidR="00A5596B">
              <w:rPr>
                <w:rStyle w:val="FootnoteReference"/>
              </w:rPr>
              <w:footnoteReference w:id="9"/>
            </w:r>
          </w:p>
        </w:tc>
      </w:tr>
      <w:tr w:rsidR="00C3000E" w:rsidRPr="00863E1E" w:rsidTr="00CA5B42">
        <w:trPr>
          <w:cantSplit/>
        </w:trPr>
        <w:tc>
          <w:tcPr>
            <w:tcW w:w="1418" w:type="dxa"/>
          </w:tcPr>
          <w:p w:rsidR="00C3000E" w:rsidRPr="00CA5B42" w:rsidRDefault="00C3000E" w:rsidP="00B977F2">
            <w:pPr>
              <w:pStyle w:val="Tablesmalltext"/>
              <w:rPr>
                <w:b/>
              </w:rPr>
            </w:pPr>
            <w:r w:rsidRPr="00CA5B42">
              <w:rPr>
                <w:b/>
              </w:rPr>
              <w:t>Cost of gaining access to electricity at the site</w:t>
            </w:r>
          </w:p>
        </w:tc>
        <w:tc>
          <w:tcPr>
            <w:tcW w:w="8505" w:type="dxa"/>
          </w:tcPr>
          <w:p w:rsidR="00C3000E" w:rsidRPr="00863E1E" w:rsidRDefault="00C3000E" w:rsidP="00D016A6">
            <w:pPr>
              <w:pStyle w:val="Tablesmalltext"/>
            </w:pPr>
            <w:r>
              <w:t xml:space="preserve">It is noted that the installation costs should also include </w:t>
            </w:r>
            <w:r w:rsidR="00D016A6">
              <w:t xml:space="preserve">the </w:t>
            </w:r>
            <w:r>
              <w:t xml:space="preserve">cost of </w:t>
            </w:r>
            <w:r w:rsidR="00D016A6">
              <w:t xml:space="preserve">gaining access to </w:t>
            </w:r>
            <w:r>
              <w:t xml:space="preserve">electricity </w:t>
            </w:r>
            <w:r w:rsidR="00D016A6">
              <w:t xml:space="preserve">for the site. </w:t>
            </w:r>
            <w:r>
              <w:t>These costs vary significantly by l</w:t>
            </w:r>
            <w:r w:rsidR="00D016A6">
              <w:t xml:space="preserve">ocation. </w:t>
            </w:r>
            <w:r>
              <w:t>Fo</w:t>
            </w:r>
            <w:r w:rsidR="00D016A6">
              <w:t>r some stock and domestic users</w:t>
            </w:r>
            <w:r>
              <w:t xml:space="preserve"> the cost of </w:t>
            </w:r>
            <w:r w:rsidR="00D016A6">
              <w:t xml:space="preserve">connecting </w:t>
            </w:r>
            <w:r>
              <w:t xml:space="preserve">electricity to the site </w:t>
            </w:r>
            <w:r w:rsidR="005A2E84">
              <w:t>could</w:t>
            </w:r>
            <w:r>
              <w:t xml:space="preserve"> exceed the cost of the pump installation costs. At some distances, solar pumps may become </w:t>
            </w:r>
            <w:r w:rsidR="00D016A6">
              <w:t>more economically viable. Given these uncertainties</w:t>
            </w:r>
            <w:r>
              <w:t xml:space="preserve"> costs cannot be estimated within the constraints of this study. </w:t>
            </w:r>
          </w:p>
        </w:tc>
      </w:tr>
      <w:tr w:rsidR="00F669FB" w:rsidRPr="00863E1E" w:rsidTr="002E4907">
        <w:trPr>
          <w:cantSplit/>
        </w:trPr>
        <w:tc>
          <w:tcPr>
            <w:tcW w:w="9923" w:type="dxa"/>
            <w:gridSpan w:val="2"/>
            <w:shd w:val="clear" w:color="auto" w:fill="D0CECB"/>
          </w:tcPr>
          <w:p w:rsidR="00B21865" w:rsidRPr="00CA5B42" w:rsidRDefault="00B21865" w:rsidP="00C51738">
            <w:pPr>
              <w:pStyle w:val="Tablesmalltext"/>
              <w:rPr>
                <w:b/>
                <w:i/>
              </w:rPr>
            </w:pPr>
            <w:r w:rsidRPr="00CA5B42">
              <w:rPr>
                <w:b/>
                <w:i/>
              </w:rPr>
              <w:t>Avoided pumping costs</w:t>
            </w:r>
            <w:r w:rsidR="005A2E84" w:rsidRPr="00CA5B42">
              <w:rPr>
                <w:b/>
                <w:i/>
              </w:rPr>
              <w:t xml:space="preserve"> =</w:t>
            </w:r>
            <w:r w:rsidRPr="00CA5B42">
              <w:rPr>
                <w:b/>
                <w:i/>
              </w:rPr>
              <w:t xml:space="preserve"> </w:t>
            </w:r>
            <w:r w:rsidR="005A2E84" w:rsidRPr="00CA5B42">
              <w:rPr>
                <w:b/>
                <w:i/>
              </w:rPr>
              <w:t xml:space="preserve">average flow rate across the GAB X </w:t>
            </w:r>
            <w:r w:rsidR="00C2317D" w:rsidRPr="00CA5B42">
              <w:rPr>
                <w:b/>
                <w:i/>
              </w:rPr>
              <w:t>(</w:t>
            </w:r>
            <w:r w:rsidR="001A6907" w:rsidRPr="00CA5B42">
              <w:rPr>
                <w:b/>
                <w:i/>
              </w:rPr>
              <w:t xml:space="preserve">energy use </w:t>
            </w:r>
            <w:r w:rsidR="00C2317D" w:rsidRPr="00CA5B42">
              <w:rPr>
                <w:b/>
                <w:i/>
              </w:rPr>
              <w:t xml:space="preserve">per m </w:t>
            </w:r>
            <w:r w:rsidR="00386891" w:rsidRPr="00CA5B42">
              <w:rPr>
                <w:b/>
                <w:i/>
              </w:rPr>
              <w:t xml:space="preserve">change </w:t>
            </w:r>
            <w:r w:rsidR="00C2317D" w:rsidRPr="00CA5B42">
              <w:rPr>
                <w:b/>
                <w:i/>
              </w:rPr>
              <w:t xml:space="preserve">in pressure head </w:t>
            </w:r>
            <w:r w:rsidR="001A6907" w:rsidRPr="00CA5B42">
              <w:rPr>
                <w:b/>
                <w:i/>
              </w:rPr>
              <w:t xml:space="preserve">(kW/m) </w:t>
            </w:r>
            <w:r w:rsidR="00C2317D" w:rsidRPr="00CA5B42">
              <w:rPr>
                <w:b/>
                <w:i/>
              </w:rPr>
              <w:t>x</w:t>
            </w:r>
            <w:r w:rsidR="00D016A6" w:rsidRPr="00CA5B42">
              <w:rPr>
                <w:b/>
                <w:i/>
              </w:rPr>
              <w:t xml:space="preserve"> </w:t>
            </w:r>
            <w:r w:rsidR="001A6907" w:rsidRPr="00CA5B42">
              <w:rPr>
                <w:b/>
                <w:i/>
              </w:rPr>
              <w:t>energy cost ($/kWh)</w:t>
            </w:r>
            <w:r w:rsidR="00D016A6" w:rsidRPr="00CA5B42">
              <w:rPr>
                <w:b/>
                <w:i/>
              </w:rPr>
              <w:t xml:space="preserve"> </w:t>
            </w:r>
            <w:r w:rsidR="000D3FE6" w:rsidRPr="00CA5B42">
              <w:rPr>
                <w:b/>
                <w:i/>
              </w:rPr>
              <w:t>X</w:t>
            </w:r>
            <w:r w:rsidR="00023CB6" w:rsidRPr="00CA5B42">
              <w:rPr>
                <w:b/>
                <w:i/>
              </w:rPr>
              <w:t xml:space="preserve"> </w:t>
            </w:r>
            <w:r w:rsidR="000D3FE6" w:rsidRPr="00CA5B42">
              <w:rPr>
                <w:b/>
                <w:i/>
              </w:rPr>
              <w:t>hours per year (8</w:t>
            </w:r>
            <w:r w:rsidR="00D016A6" w:rsidRPr="00CA5B42">
              <w:rPr>
                <w:b/>
                <w:i/>
              </w:rPr>
              <w:t>,</w:t>
            </w:r>
            <w:r w:rsidR="000D3FE6" w:rsidRPr="00CA5B42">
              <w:rPr>
                <w:b/>
                <w:i/>
              </w:rPr>
              <w:t>790)</w:t>
            </w:r>
            <w:r w:rsidR="001A6907" w:rsidRPr="00CA5B42">
              <w:rPr>
                <w:b/>
                <w:i/>
              </w:rPr>
              <w:t xml:space="preserve"> x average </w:t>
            </w:r>
            <w:r w:rsidR="00386891" w:rsidRPr="00CA5B42">
              <w:rPr>
                <w:b/>
                <w:i/>
              </w:rPr>
              <w:t xml:space="preserve">change </w:t>
            </w:r>
            <w:r w:rsidR="00C2317D" w:rsidRPr="00CA5B42">
              <w:rPr>
                <w:b/>
                <w:i/>
              </w:rPr>
              <w:t>in pressure head</w:t>
            </w:r>
            <w:r w:rsidR="001A6907" w:rsidRPr="00CA5B42">
              <w:rPr>
                <w:b/>
                <w:i/>
              </w:rPr>
              <w:t xml:space="preserve"> (m)</w:t>
            </w:r>
            <w:r w:rsidR="00C2317D" w:rsidRPr="00CA5B42">
              <w:rPr>
                <w:b/>
                <w:i/>
              </w:rPr>
              <w:t>)</w:t>
            </w:r>
          </w:p>
        </w:tc>
      </w:tr>
      <w:tr w:rsidR="00F669FB" w:rsidRPr="00EE04B6" w:rsidTr="002E4907">
        <w:trPr>
          <w:cantSplit/>
        </w:trPr>
        <w:tc>
          <w:tcPr>
            <w:tcW w:w="1418" w:type="dxa"/>
            <w:shd w:val="clear" w:color="auto" w:fill="FFFFFF"/>
          </w:tcPr>
          <w:p w:rsidR="001A6907" w:rsidRPr="00CA5B42" w:rsidRDefault="00023CB6" w:rsidP="00B977F2">
            <w:pPr>
              <w:pStyle w:val="Tablesmalltext"/>
              <w:rPr>
                <w:b/>
              </w:rPr>
            </w:pPr>
            <w:r w:rsidRPr="00CA5B42">
              <w:rPr>
                <w:b/>
              </w:rPr>
              <w:t>Average flow rate across the GAB</w:t>
            </w:r>
          </w:p>
        </w:tc>
        <w:tc>
          <w:tcPr>
            <w:tcW w:w="8505" w:type="dxa"/>
            <w:shd w:val="clear" w:color="auto" w:fill="FFFFFF"/>
          </w:tcPr>
          <w:p w:rsidR="001A6907" w:rsidRPr="00EE04B6" w:rsidRDefault="001433C3" w:rsidP="001433C3">
            <w:pPr>
              <w:pStyle w:val="Tablesmalltext"/>
            </w:pPr>
            <w:r>
              <w:t>Estimated</w:t>
            </w:r>
            <w:r w:rsidR="00023CB6">
              <w:t xml:space="preserve"> base</w:t>
            </w:r>
            <w:r>
              <w:t xml:space="preserve">d on total water use in the GAB – </w:t>
            </w:r>
            <w:r w:rsidR="00023CB6">
              <w:t>616,166 ML</w:t>
            </w:r>
            <w:r w:rsidR="00BA138D">
              <w:t>/annum</w:t>
            </w:r>
            <w:r w:rsidR="00023CB6">
              <w:t xml:space="preserve"> (GABCC, 2000)</w:t>
            </w:r>
            <w:r>
              <w:t xml:space="preserve">, and </w:t>
            </w:r>
            <w:r w:rsidR="00023CB6">
              <w:t>converted to a</w:t>
            </w:r>
            <w:r w:rsidR="00BA138D">
              <w:t>n annual</w:t>
            </w:r>
            <w:r w:rsidR="00023CB6">
              <w:t xml:space="preserve"> flow rate (L/s)</w:t>
            </w:r>
            <w:r>
              <w:t>.</w:t>
            </w:r>
          </w:p>
        </w:tc>
      </w:tr>
      <w:tr w:rsidR="00F669FB" w:rsidRPr="00EE04B6" w:rsidTr="002E4907">
        <w:trPr>
          <w:cantSplit/>
        </w:trPr>
        <w:tc>
          <w:tcPr>
            <w:tcW w:w="1418" w:type="dxa"/>
            <w:shd w:val="clear" w:color="auto" w:fill="FFFFFF"/>
          </w:tcPr>
          <w:p w:rsidR="00023CB6" w:rsidRPr="00CA5B42" w:rsidRDefault="00023CB6" w:rsidP="00B977F2">
            <w:pPr>
              <w:pStyle w:val="Tablesmalltext"/>
              <w:rPr>
                <w:b/>
              </w:rPr>
            </w:pPr>
            <w:r w:rsidRPr="00CA5B42">
              <w:rPr>
                <w:b/>
              </w:rPr>
              <w:t>Energy use per metre lift (kW/m)</w:t>
            </w:r>
          </w:p>
          <w:p w:rsidR="00023CB6" w:rsidRPr="00CA5B42" w:rsidRDefault="00023CB6" w:rsidP="00B977F2">
            <w:pPr>
              <w:pStyle w:val="Tablesmalltext"/>
              <w:rPr>
                <w:b/>
              </w:rPr>
            </w:pPr>
          </w:p>
        </w:tc>
        <w:tc>
          <w:tcPr>
            <w:tcW w:w="8505" w:type="dxa"/>
            <w:tcBorders>
              <w:right w:val="single" w:sz="8" w:space="0" w:color="42145F"/>
            </w:tcBorders>
            <w:shd w:val="clear" w:color="auto" w:fill="FFFFFF"/>
          </w:tcPr>
          <w:p w:rsidR="00023CB6" w:rsidRPr="00EE04B6" w:rsidRDefault="00023CB6" w:rsidP="00C51738">
            <w:pPr>
              <w:pStyle w:val="Tablesmalltext"/>
            </w:pPr>
            <w:r>
              <w:t>E</w:t>
            </w:r>
            <w:r w:rsidRPr="00EE04B6">
              <w:t>stimated based on:</w:t>
            </w:r>
          </w:p>
          <w:p w:rsidR="0081325B" w:rsidRDefault="001433C3" w:rsidP="0081325B">
            <w:pPr>
              <w:pStyle w:val="Tablesmallbullet"/>
            </w:pPr>
            <w:r>
              <w:t>A</w:t>
            </w:r>
            <w:r w:rsidR="00023CB6" w:rsidRPr="00EE04B6">
              <w:t>ssumed flow rates for the different water use types in the GAB multiplied by the average water use distribution across the GAB. Refer to</w:t>
            </w:r>
            <w:r w:rsidR="0081325B">
              <w:t xml:space="preserve"> </w:t>
            </w:r>
            <w:r w:rsidR="006768F1">
              <w:fldChar w:fldCharType="begin"/>
            </w:r>
            <w:r w:rsidR="0081325B">
              <w:instrText xml:space="preserve"> REF _Ref373500054 \h </w:instrText>
            </w:r>
            <w:r w:rsidR="006768F1">
              <w:fldChar w:fldCharType="separate"/>
            </w:r>
            <w:r w:rsidR="00516D07" w:rsidRPr="00EE04B6">
              <w:t xml:space="preserve">Table </w:t>
            </w:r>
            <w:r w:rsidR="00516D07">
              <w:rPr>
                <w:noProof/>
              </w:rPr>
              <w:t>10</w:t>
            </w:r>
            <w:r w:rsidR="006768F1">
              <w:fldChar w:fldCharType="end"/>
            </w:r>
            <w:r w:rsidR="0081325B">
              <w:t xml:space="preserve"> </w:t>
            </w:r>
            <w:r w:rsidR="00023CB6" w:rsidRPr="00EE04B6">
              <w:t xml:space="preserve"> for the assumed breakd</w:t>
            </w:r>
            <w:r>
              <w:t>own i</w:t>
            </w:r>
            <w:r w:rsidR="0081325B">
              <w:t>n water use and flow rates.</w:t>
            </w:r>
          </w:p>
          <w:p w:rsidR="00023CB6" w:rsidRPr="00EE04B6" w:rsidRDefault="00023CB6" w:rsidP="0081325B">
            <w:pPr>
              <w:pStyle w:val="Tablesmallbullet"/>
            </w:pPr>
            <w:r w:rsidRPr="00EE04B6">
              <w:t xml:space="preserve">Average efficiency of pumps (assumed to be </w:t>
            </w:r>
            <w:r>
              <w:t>47</w:t>
            </w:r>
            <w:r w:rsidRPr="00EE04B6">
              <w:t>%)</w:t>
            </w:r>
            <w:r>
              <w:t xml:space="preserve">, where </w:t>
            </w:r>
            <w:r w:rsidRPr="00C51738">
              <w:t>total efficiency = 70% (pump) x 80% (motor) x 85% (pipe system efficiency) = 0.47</w:t>
            </w:r>
            <w:r>
              <w:rPr>
                <w:rStyle w:val="FootnoteReference"/>
                <w:color w:val="1F497D"/>
              </w:rPr>
              <w:footnoteReference w:id="10"/>
            </w:r>
          </w:p>
        </w:tc>
      </w:tr>
      <w:tr w:rsidR="00F669FB" w:rsidRPr="00EE04B6" w:rsidTr="002E4907">
        <w:trPr>
          <w:cantSplit/>
        </w:trPr>
        <w:tc>
          <w:tcPr>
            <w:tcW w:w="1418" w:type="dxa"/>
            <w:shd w:val="clear" w:color="auto" w:fill="FFFFFF"/>
          </w:tcPr>
          <w:p w:rsidR="008A03C0" w:rsidRPr="00CA5B42" w:rsidRDefault="008A03C0" w:rsidP="00503E0C">
            <w:pPr>
              <w:pStyle w:val="Tablesmalltext"/>
              <w:rPr>
                <w:b/>
              </w:rPr>
            </w:pPr>
            <w:r w:rsidRPr="00CA5B42">
              <w:rPr>
                <w:b/>
              </w:rPr>
              <w:t xml:space="preserve">Energy cost </w:t>
            </w:r>
          </w:p>
        </w:tc>
        <w:tc>
          <w:tcPr>
            <w:tcW w:w="8505" w:type="dxa"/>
            <w:shd w:val="clear" w:color="auto" w:fill="FFFFFF"/>
          </w:tcPr>
          <w:p w:rsidR="008A03C0" w:rsidRPr="00EE04B6" w:rsidRDefault="008A03C0" w:rsidP="00503E0C">
            <w:pPr>
              <w:pStyle w:val="Tablesmalltext"/>
            </w:pPr>
            <w:r w:rsidRPr="00EE04B6">
              <w:t>Between $0.15 and $0.20 per kwh for commercial users. $0.</w:t>
            </w:r>
            <w:r>
              <w:t>20</w:t>
            </w:r>
            <w:r w:rsidRPr="00EE04B6">
              <w:t xml:space="preserve"> per kwh has been used in the assessment</w:t>
            </w:r>
            <w:r>
              <w:t xml:space="preserve"> which is considered to be a conservative approach given that energy prices are expected to increase above CPI over time.</w:t>
            </w:r>
          </w:p>
        </w:tc>
      </w:tr>
      <w:tr w:rsidR="00F669FB" w:rsidRPr="00EE04B6" w:rsidTr="002E4907">
        <w:trPr>
          <w:cantSplit/>
        </w:trPr>
        <w:tc>
          <w:tcPr>
            <w:tcW w:w="1418" w:type="dxa"/>
            <w:shd w:val="clear" w:color="auto" w:fill="FFFFFF"/>
          </w:tcPr>
          <w:p w:rsidR="00023CB6" w:rsidRPr="00CA5B42" w:rsidRDefault="00023CB6" w:rsidP="00B977F2">
            <w:pPr>
              <w:pStyle w:val="Tablesmalltext"/>
              <w:rPr>
                <w:b/>
              </w:rPr>
            </w:pPr>
            <w:r w:rsidRPr="00CA5B42">
              <w:rPr>
                <w:b/>
              </w:rPr>
              <w:t>Change in pressure head</w:t>
            </w:r>
          </w:p>
        </w:tc>
        <w:tc>
          <w:tcPr>
            <w:tcW w:w="8505" w:type="dxa"/>
            <w:shd w:val="clear" w:color="auto" w:fill="FFFFFF"/>
          </w:tcPr>
          <w:p w:rsidR="00023CB6" w:rsidRPr="00EE04B6" w:rsidRDefault="00023CB6" w:rsidP="00E32F17">
            <w:pPr>
              <w:pStyle w:val="Tablesmalltext"/>
            </w:pPr>
            <w:r w:rsidRPr="00EE04B6">
              <w:t>This is equivalent to the average change in pressure head (lift) between Sc 2 and Sc 1. The average change needs to be estimated per year across the assessment period (1999 to 2043). This cannot currently be determined using the existing CSIRO pressure model (GABtran</w:t>
            </w:r>
            <w:r w:rsidRPr="00EE04B6">
              <w:rPr>
                <w:rStyle w:val="FootnoteReference"/>
              </w:rPr>
              <w:footnoteReference w:id="11"/>
            </w:r>
            <w:r w:rsidRPr="00EE04B6">
              <w:t>) output used for the GAB Water Resource Assessment (GAB</w:t>
            </w:r>
            <w:r w:rsidR="001433C3">
              <w:t>W</w:t>
            </w:r>
            <w:r w:rsidRPr="00EE04B6">
              <w:t>RA).</w:t>
            </w:r>
          </w:p>
          <w:p w:rsidR="00023CB6" w:rsidRPr="00EE04B6" w:rsidRDefault="00023CB6" w:rsidP="00E32F17">
            <w:pPr>
              <w:pStyle w:val="Tablesmalltext"/>
            </w:pPr>
            <w:r w:rsidRPr="00EE04B6">
              <w:t xml:space="preserve">Further, the GABtran model does not differentiate between flowing or capped bores. The model also simulates pressure as </w:t>
            </w:r>
            <w:r w:rsidR="001433C3">
              <w:t xml:space="preserve">a </w:t>
            </w:r>
            <w:r w:rsidRPr="00EE04B6">
              <w:t xml:space="preserve">temperature corrected variable density, and so it is a complex task to derive a pressure surface for the GAB from the model outputs. These issues would need to be resolved to enable a suitable model for simulating changes in GABSI performance/benefits. </w:t>
            </w:r>
          </w:p>
        </w:tc>
      </w:tr>
    </w:tbl>
    <w:p w:rsidR="0067546C" w:rsidRPr="00EE04B6" w:rsidRDefault="0067546C" w:rsidP="0067546C">
      <w:pPr>
        <w:pStyle w:val="subhead"/>
      </w:pPr>
      <w:r w:rsidRPr="00EE04B6">
        <w:t>Metrics</w:t>
      </w:r>
    </w:p>
    <w:p w:rsidR="003328DD" w:rsidRPr="00EE04B6" w:rsidRDefault="000A4DA4" w:rsidP="001433C3">
      <w:pPr>
        <w:pStyle w:val="Para0"/>
      </w:pPr>
      <w:r w:rsidRPr="00EE04B6">
        <w:t>The methodology and associated metrics applied to value the consumptive value associated with pressure recover</w:t>
      </w:r>
      <w:r w:rsidR="001433C3">
        <w:t>y</w:t>
      </w:r>
      <w:r w:rsidRPr="00EE04B6">
        <w:t xml:space="preserve"> are presented in the following equation:</w:t>
      </w:r>
    </w:p>
    <w:p w:rsidR="00624212" w:rsidRPr="00EE04B6" w:rsidRDefault="00624212" w:rsidP="00624212">
      <w:pPr>
        <w:pStyle w:val="subhead"/>
        <w:pBdr>
          <w:top w:val="single" w:sz="4" w:space="1" w:color="009DD1" w:themeColor="accent5"/>
          <w:left w:val="single" w:sz="4" w:space="4" w:color="009DD1" w:themeColor="accent5"/>
          <w:bottom w:val="single" w:sz="4" w:space="1" w:color="009DD1" w:themeColor="accent5"/>
          <w:right w:val="single" w:sz="4" w:space="4" w:color="009DD1" w:themeColor="accent5"/>
        </w:pBdr>
      </w:pPr>
      <m:oMathPara>
        <m:oMathParaPr>
          <m:jc m:val="left"/>
        </m:oMathParaPr>
        <m:oMath>
          <w:bookmarkStart w:id="32" w:name="_Ref373315896"/>
          <m:r>
            <m:rPr>
              <m:sty m:val="bi"/>
            </m:rPr>
            <w:rPr>
              <w:rFonts w:ascii="Cambria Math" w:hAnsi="Cambria Math"/>
              <w:color w:val="366295" w:themeColor="accent6" w:themeShade="BF"/>
              <w:kern w:val="24"/>
            </w:rPr>
            <m:t>Consumptive value from restored pressure</m:t>
          </m:r>
          <m:r>
            <m:rPr>
              <m:sty m:val="bi"/>
            </m:rPr>
            <w:rPr>
              <w:rFonts w:ascii="Cambria Math" w:eastAsia="Cambria Math" w:hAnsi="Cambria Math" w:cs="Cambria Math"/>
              <w:color w:val="366295" w:themeColor="accent6" w:themeShade="BF"/>
              <w:kern w:val="24"/>
            </w:rPr>
            <m:t>=PV(</m:t>
          </m:r>
          <m:nary>
            <m:naryPr>
              <m:chr m:val="∑"/>
              <m:grow m:val="on"/>
              <m:ctrlPr>
                <w:rPr>
                  <w:rFonts w:ascii="Cambria Math" w:hAnsi="Cambria Math"/>
                  <w:i w:val="0"/>
                  <w:iCs/>
                  <w:color w:val="366295" w:themeColor="accent6" w:themeShade="BF"/>
                  <w:kern w:val="24"/>
                </w:rPr>
              </m:ctrlPr>
            </m:naryPr>
            <m:sub>
              <m:r>
                <m:rPr>
                  <m:sty m:val="bi"/>
                </m:rPr>
                <w:rPr>
                  <w:rFonts w:ascii="Cambria Math" w:eastAsia="Cambria Math" w:hAnsi="Cambria Math" w:cs="Cambria Math"/>
                  <w:color w:val="366295" w:themeColor="accent6" w:themeShade="BF"/>
                  <w:kern w:val="24"/>
                </w:rPr>
                <m:t>y=1999</m:t>
              </m:r>
            </m:sub>
            <m:sup>
              <m:r>
                <m:rPr>
                  <m:sty m:val="bi"/>
                </m:rPr>
                <w:rPr>
                  <w:rFonts w:ascii="Cambria Math" w:eastAsia="Cambria Math" w:hAnsi="Cambria Math" w:cs="Cambria Math"/>
                  <w:color w:val="366295" w:themeColor="accent6" w:themeShade="BF"/>
                  <w:kern w:val="24"/>
                </w:rPr>
                <m:t>y=2043</m:t>
              </m:r>
            </m:sup>
            <m:e>
              <m:r>
                <m:rPr>
                  <m:sty m:val="bi"/>
                </m:rPr>
                <w:rPr>
                  <w:rFonts w:ascii="Cambria Math" w:hAnsi="Cambria Math"/>
                  <w:color w:val="366295" w:themeColor="accent6" w:themeShade="BF"/>
                  <w:kern w:val="24"/>
                </w:rPr>
                <m:t>( avoided pump installation cost</m:t>
              </m:r>
              <m:r>
                <m:rPr>
                  <m:sty m:val="bi"/>
                </m:rPr>
                <w:rPr>
                  <w:rFonts w:ascii="Cambria Math" w:eastAsia="Cambria Math" w:hAnsi="Cambria Math" w:cs="Cambria Math"/>
                  <w:color w:val="366295" w:themeColor="accent6" w:themeShade="BF"/>
                  <w:kern w:val="24"/>
                </w:rPr>
                <m:t>+avoided pumping cost )</m:t>
              </m:r>
            </m:e>
          </m:nary>
        </m:oMath>
      </m:oMathPara>
    </w:p>
    <w:p w:rsidR="00624212" w:rsidRPr="00EE04B6" w:rsidRDefault="00624212" w:rsidP="00624212">
      <w:pPr>
        <w:pStyle w:val="Para0"/>
        <w:rPr>
          <w:i/>
        </w:rPr>
      </w:pPr>
      <w:r w:rsidRPr="00EE04B6">
        <w:rPr>
          <w:i/>
        </w:rPr>
        <w:t xml:space="preserve">Where </w:t>
      </w:r>
    </w:p>
    <w:p w:rsidR="00BA138D" w:rsidRPr="00EE04B6" w:rsidRDefault="00BA138D" w:rsidP="00BA138D">
      <w:pPr>
        <w:pStyle w:val="Para0"/>
        <w:rPr>
          <w:b/>
          <w:iCs/>
          <w:color w:val="366295" w:themeColor="accent6" w:themeShade="BF"/>
          <w:kern w:val="24"/>
        </w:rPr>
      </w:pPr>
      <m:oMathPara>
        <m:oMathParaPr>
          <m:jc m:val="left"/>
        </m:oMathParaPr>
        <m:oMath>
          <m:r>
            <m:rPr>
              <m:sty m:val="b"/>
            </m:rPr>
            <w:rPr>
              <w:rFonts w:ascii="Cambria Math" w:hAnsi="Cambria Math"/>
              <w:color w:val="366295" w:themeColor="accent6" w:themeShade="BF"/>
              <w:kern w:val="24"/>
            </w:rPr>
            <m:t xml:space="preserve">Avoided pump installation cost per annum </m:t>
          </m:r>
          <m:r>
            <m:rPr>
              <m:sty m:val="p"/>
            </m:rPr>
            <w:rPr>
              <w:rFonts w:ascii="Cambria Math" w:eastAsia="Cambria Math" w:hAnsi="Cambria Math" w:cs="Cambria Math"/>
              <w:color w:val="366295" w:themeColor="accent6" w:themeShade="BF"/>
              <w:kern w:val="24"/>
            </w:rPr>
            <m:t>=avoided number of new pumps ×average pump cost</m:t>
          </m:r>
        </m:oMath>
      </m:oMathPara>
    </w:p>
    <w:p w:rsidR="00BA138D" w:rsidRDefault="00BA138D" w:rsidP="00BA138D">
      <w:pPr>
        <w:pStyle w:val="Para0"/>
      </w:pPr>
      <m:oMathPara>
        <m:oMath>
          <m:r>
            <m:rPr>
              <m:sty m:val="b"/>
            </m:rPr>
            <w:rPr>
              <w:rFonts w:ascii="Cambria Math" w:hAnsi="Cambria Math"/>
              <w:color w:val="366295" w:themeColor="accent6" w:themeShade="BF"/>
              <w:kern w:val="24"/>
            </w:rPr>
            <m:t xml:space="preserve">Avoided pumping cost per annum </m:t>
          </m:r>
          <m:r>
            <m:rPr>
              <m:sty m:val="p"/>
            </m:rPr>
            <w:rPr>
              <w:rFonts w:ascii="Cambria Math" w:eastAsia="Cambria Math" w:hAnsi="Cambria Math" w:cs="Cambria Math"/>
              <w:color w:val="366295" w:themeColor="accent6" w:themeShade="BF"/>
              <w:kern w:val="24"/>
            </w:rPr>
            <m:t xml:space="preserve">= ∆ pressure head </m:t>
          </m:r>
          <m:d>
            <m:dPr>
              <m:ctrlPr>
                <w:rPr>
                  <w:rFonts w:ascii="Cambria Math" w:eastAsia="Cambria Math" w:hAnsi="Cambria Math" w:cs="Cambria Math"/>
                  <w:iCs/>
                  <w:color w:val="366295" w:themeColor="accent6" w:themeShade="BF"/>
                  <w:kern w:val="24"/>
                </w:rPr>
              </m:ctrlPr>
            </m:dPr>
            <m:e>
              <m:r>
                <m:rPr>
                  <m:sty m:val="p"/>
                </m:rPr>
                <w:rPr>
                  <w:rFonts w:ascii="Cambria Math" w:eastAsia="Cambria Math" w:hAnsi="Cambria Math" w:cs="Cambria Math"/>
                  <w:color w:val="366295" w:themeColor="accent6" w:themeShade="BF"/>
                  <w:kern w:val="24"/>
                </w:rPr>
                <m:t>m</m:t>
              </m:r>
            </m:e>
          </m:d>
          <m:r>
            <m:rPr>
              <m:sty m:val="p"/>
            </m:rPr>
            <w:rPr>
              <w:rFonts w:ascii="Cambria Math" w:eastAsia="Cambria Math" w:hAnsi="Cambria Math" w:cs="Cambria Math"/>
              <w:color w:val="366295" w:themeColor="accent6" w:themeShade="BF"/>
              <w:kern w:val="24"/>
            </w:rPr>
            <m:t>×average flow rate across the GAB (</m:t>
          </m:r>
          <m:f>
            <m:fPr>
              <m:ctrlPr>
                <w:rPr>
                  <w:rFonts w:ascii="Cambria Math" w:eastAsia="Cambria Math" w:hAnsi="Cambria Math" w:cs="Cambria Math"/>
                  <w:color w:val="366295" w:themeColor="accent6" w:themeShade="BF"/>
                  <w:kern w:val="24"/>
                </w:rPr>
              </m:ctrlPr>
            </m:fPr>
            <m:num>
              <m:r>
                <m:rPr>
                  <m:sty m:val="p"/>
                </m:rPr>
                <w:rPr>
                  <w:rFonts w:ascii="Cambria Math" w:eastAsia="Cambria Math" w:hAnsi="Cambria Math" w:cs="Cambria Math"/>
                  <w:color w:val="366295" w:themeColor="accent6" w:themeShade="BF"/>
                  <w:kern w:val="24"/>
                </w:rPr>
                <m:t>L</m:t>
              </m:r>
            </m:num>
            <m:den>
              <m:r>
                <m:rPr>
                  <m:sty m:val="p"/>
                </m:rPr>
                <w:rPr>
                  <w:rFonts w:ascii="Cambria Math" w:eastAsia="Cambria Math" w:hAnsi="Cambria Math" w:cs="Cambria Math"/>
                  <w:color w:val="366295" w:themeColor="accent6" w:themeShade="BF"/>
                  <w:kern w:val="24"/>
                </w:rPr>
                <m:t>S</m:t>
              </m:r>
            </m:den>
          </m:f>
          <m:r>
            <m:rPr>
              <m:sty m:val="p"/>
            </m:rPr>
            <w:rPr>
              <w:rFonts w:ascii="Cambria Math" w:eastAsia="Cambria Math" w:hAnsi="Cambria Math" w:cs="Cambria Math"/>
              <w:color w:val="366295" w:themeColor="accent6" w:themeShade="BF"/>
              <w:kern w:val="24"/>
            </w:rPr>
            <m:t xml:space="preserve">)×energy use per m change in pressure </m:t>
          </m:r>
          <m:d>
            <m:dPr>
              <m:ctrlPr>
                <w:rPr>
                  <w:rFonts w:ascii="Cambria Math" w:eastAsia="Cambria Math" w:hAnsi="Cambria Math" w:cs="Cambria Math"/>
                  <w:iCs/>
                  <w:color w:val="366295" w:themeColor="accent6" w:themeShade="BF"/>
                  <w:kern w:val="24"/>
                </w:rPr>
              </m:ctrlPr>
            </m:dPr>
            <m:e>
              <m:f>
                <m:fPr>
                  <m:ctrlPr>
                    <w:rPr>
                      <w:rFonts w:ascii="Cambria Math" w:eastAsia="Cambria Math" w:hAnsi="Cambria Math" w:cs="Cambria Math"/>
                      <w:iCs/>
                      <w:color w:val="366295" w:themeColor="accent6" w:themeShade="BF"/>
                      <w:kern w:val="24"/>
                    </w:rPr>
                  </m:ctrlPr>
                </m:fPr>
                <m:num>
                  <m:r>
                    <m:rPr>
                      <m:sty m:val="p"/>
                    </m:rPr>
                    <w:rPr>
                      <w:rFonts w:ascii="Cambria Math" w:eastAsia="Cambria Math" w:hAnsi="Cambria Math" w:cs="Cambria Math"/>
                      <w:color w:val="366295" w:themeColor="accent6" w:themeShade="BF"/>
                      <w:kern w:val="24"/>
                    </w:rPr>
                    <m:t>kw</m:t>
                  </m:r>
                </m:num>
                <m:den>
                  <m:r>
                    <m:rPr>
                      <m:sty m:val="p"/>
                    </m:rPr>
                    <w:rPr>
                      <w:rFonts w:ascii="Cambria Math" w:eastAsia="Cambria Math" w:hAnsi="Cambria Math" w:cs="Cambria Math"/>
                      <w:color w:val="366295" w:themeColor="accent6" w:themeShade="BF"/>
                      <w:kern w:val="24"/>
                    </w:rPr>
                    <m:t>m</m:t>
                  </m:r>
                </m:den>
              </m:f>
              <m:ctrlPr>
                <w:rPr>
                  <w:rFonts w:ascii="Cambria Math" w:eastAsia="Cambria Math" w:hAnsi="Cambria Math" w:cs="Cambria Math"/>
                  <w:i/>
                  <w:iCs/>
                  <w:color w:val="366295" w:themeColor="accent6" w:themeShade="BF"/>
                  <w:kern w:val="24"/>
                </w:rPr>
              </m:ctrlPr>
            </m:e>
          </m:d>
          <m:r>
            <m:rPr>
              <m:sty m:val="p"/>
            </m:rPr>
            <w:rPr>
              <w:rFonts w:ascii="Cambria Math" w:eastAsia="Cambria Math" w:hAnsi="Cambria Math" w:cs="Cambria Math"/>
              <w:color w:val="366295" w:themeColor="accent6" w:themeShade="BF"/>
              <w:kern w:val="24"/>
            </w:rPr>
            <m:t xml:space="preserve"> </m:t>
          </m:r>
          <m:r>
            <w:rPr>
              <w:rFonts w:ascii="Cambria Math" w:eastAsia="Cambria Math" w:hAnsi="Cambria Math" w:cs="Cambria Math"/>
              <w:color w:val="366295" w:themeColor="accent6" w:themeShade="BF"/>
              <w:kern w:val="24"/>
            </w:rPr>
            <m:t xml:space="preserve">×energy cost </m:t>
          </m:r>
          <m:d>
            <m:dPr>
              <m:ctrlPr>
                <w:rPr>
                  <w:rFonts w:ascii="Cambria Math" w:eastAsia="Cambria Math" w:hAnsi="Cambria Math" w:cs="Cambria Math"/>
                  <w:i/>
                  <w:iCs/>
                  <w:color w:val="366295" w:themeColor="accent6" w:themeShade="BF"/>
                  <w:kern w:val="24"/>
                </w:rPr>
              </m:ctrlPr>
            </m:dPr>
            <m:e>
              <m:f>
                <m:fPr>
                  <m:ctrlPr>
                    <w:rPr>
                      <w:rFonts w:ascii="Cambria Math" w:eastAsia="Cambria Math" w:hAnsi="Cambria Math" w:cs="Cambria Math"/>
                      <w:i/>
                      <w:iCs/>
                      <w:color w:val="366295" w:themeColor="accent6" w:themeShade="BF"/>
                      <w:kern w:val="24"/>
                    </w:rPr>
                  </m:ctrlPr>
                </m:fPr>
                <m:num>
                  <m:r>
                    <w:rPr>
                      <w:rFonts w:ascii="Cambria Math" w:eastAsia="Cambria Math" w:hAnsi="Cambria Math" w:cs="Cambria Math"/>
                      <w:color w:val="366295" w:themeColor="accent6" w:themeShade="BF"/>
                      <w:kern w:val="24"/>
                    </w:rPr>
                    <m:t>$</m:t>
                  </m:r>
                </m:num>
                <m:den>
                  <m:r>
                    <w:rPr>
                      <w:rFonts w:ascii="Cambria Math" w:eastAsia="Cambria Math" w:hAnsi="Cambria Math" w:cs="Cambria Math"/>
                      <w:color w:val="366295" w:themeColor="accent6" w:themeShade="BF"/>
                      <w:kern w:val="24"/>
                    </w:rPr>
                    <m:t>kWh</m:t>
                  </m:r>
                </m:den>
              </m:f>
            </m:e>
          </m:d>
          <m:r>
            <w:rPr>
              <w:rFonts w:ascii="Cambria Math" w:eastAsia="Cambria Math" w:hAnsi="Cambria Math" w:cs="Cambria Math"/>
              <w:color w:val="366295" w:themeColor="accent6" w:themeShade="BF"/>
              <w:kern w:val="24"/>
            </w:rPr>
            <m:t>×hours per year</m:t>
          </m:r>
          <m:r>
            <m:rPr>
              <m:sty m:val="p"/>
            </m:rPr>
            <w:rPr>
              <w:rFonts w:ascii="Cambria Math" w:eastAsia="Cambria Math" w:hAnsi="Cambria Math" w:cs="Cambria Math"/>
              <w:color w:val="366295" w:themeColor="accent6" w:themeShade="BF"/>
              <w:kern w:val="24"/>
            </w:rPr>
            <m:t xml:space="preserve">= ∆ pressure head </m:t>
          </m:r>
          <m:d>
            <m:dPr>
              <m:ctrlPr>
                <w:rPr>
                  <w:rFonts w:ascii="Cambria Math" w:eastAsia="Cambria Math" w:hAnsi="Cambria Math" w:cs="Cambria Math"/>
                  <w:iCs/>
                  <w:color w:val="366295" w:themeColor="accent6" w:themeShade="BF"/>
                  <w:kern w:val="24"/>
                </w:rPr>
              </m:ctrlPr>
            </m:dPr>
            <m:e>
              <m:r>
                <m:rPr>
                  <m:sty m:val="p"/>
                </m:rPr>
                <w:rPr>
                  <w:rFonts w:ascii="Cambria Math" w:eastAsia="Cambria Math" w:hAnsi="Cambria Math" w:cs="Cambria Math"/>
                  <w:color w:val="366295" w:themeColor="accent6" w:themeShade="BF"/>
                  <w:kern w:val="24"/>
                </w:rPr>
                <m:t>m</m:t>
              </m:r>
            </m:e>
          </m:d>
          <m:r>
            <m:rPr>
              <m:sty m:val="p"/>
            </m:rPr>
            <w:rPr>
              <w:rFonts w:ascii="Cambria Math" w:eastAsia="Cambria Math" w:hAnsi="Cambria Math" w:cs="Cambria Math"/>
              <w:color w:val="366295" w:themeColor="accent6" w:themeShade="BF"/>
              <w:kern w:val="24"/>
            </w:rPr>
            <m:t xml:space="preserve">×$/∆ pressure head </m:t>
          </m:r>
        </m:oMath>
      </m:oMathPara>
    </w:p>
    <w:p w:rsidR="00BA138D" w:rsidRPr="00EE04B6" w:rsidRDefault="00BA138D" w:rsidP="00BA138D">
      <w:pPr>
        <w:pStyle w:val="Para0"/>
      </w:pPr>
      <w:r w:rsidRPr="00EE04B6">
        <w:t>A summary of the metrics used for each phase is provided in the following table.</w:t>
      </w:r>
    </w:p>
    <w:p w:rsidR="00FE60F7" w:rsidRDefault="00FE60F7" w:rsidP="00FE60F7">
      <w:pPr>
        <w:pStyle w:val="Caption"/>
      </w:pPr>
      <w:bookmarkStart w:id="33" w:name="_Ref373500054"/>
      <w:r w:rsidRPr="00EE04B6">
        <w:t xml:space="preserve">Table </w:t>
      </w:r>
      <w:r w:rsidR="006768F1">
        <w:fldChar w:fldCharType="begin"/>
      </w:r>
      <w:r w:rsidR="00F843FC">
        <w:instrText xml:space="preserve"> SEQ Table \* ARABIC </w:instrText>
      </w:r>
      <w:r w:rsidR="006768F1">
        <w:fldChar w:fldCharType="separate"/>
      </w:r>
      <w:r w:rsidR="00516D07">
        <w:rPr>
          <w:noProof/>
        </w:rPr>
        <w:t>10</w:t>
      </w:r>
      <w:r w:rsidR="006768F1">
        <w:fldChar w:fldCharType="end"/>
      </w:r>
      <w:bookmarkEnd w:id="32"/>
      <w:bookmarkEnd w:id="33"/>
      <w:r w:rsidRPr="00EE04B6">
        <w:t>: Summary of metrics for consumptive benefit from pressure recovery</w:t>
      </w:r>
    </w:p>
    <w:tbl>
      <w:tblPr>
        <w:tblW w:w="477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676"/>
        <w:gridCol w:w="1112"/>
        <w:gridCol w:w="1162"/>
        <w:gridCol w:w="1164"/>
        <w:gridCol w:w="1164"/>
        <w:gridCol w:w="3360"/>
      </w:tblGrid>
      <w:tr w:rsidR="00F669FB" w:rsidRPr="00EE04B6" w:rsidTr="002E4907">
        <w:trPr>
          <w:cantSplit/>
          <w:tblHeader/>
        </w:trPr>
        <w:tc>
          <w:tcPr>
            <w:tcW w:w="869" w:type="pct"/>
            <w:shd w:val="clear" w:color="auto" w:fill="5185C0"/>
          </w:tcPr>
          <w:p w:rsidR="00BA138D" w:rsidRPr="005976DB" w:rsidRDefault="00BA138D" w:rsidP="0044428D">
            <w:pPr>
              <w:pStyle w:val="Tablesmallheading"/>
            </w:pPr>
            <w:r w:rsidRPr="005976DB">
              <w:t xml:space="preserve">Metric </w:t>
            </w:r>
          </w:p>
        </w:tc>
        <w:tc>
          <w:tcPr>
            <w:tcW w:w="577" w:type="pct"/>
            <w:shd w:val="clear" w:color="auto" w:fill="5185C0"/>
          </w:tcPr>
          <w:p w:rsidR="00BA138D" w:rsidRPr="00EE04B6" w:rsidRDefault="00BA138D" w:rsidP="0044428D">
            <w:pPr>
              <w:pStyle w:val="Tablesmallheading"/>
            </w:pPr>
            <w:r w:rsidRPr="00EE04B6">
              <w:t>GABSI Phase 1</w:t>
            </w:r>
          </w:p>
        </w:tc>
        <w:tc>
          <w:tcPr>
            <w:tcW w:w="603" w:type="pct"/>
            <w:shd w:val="clear" w:color="auto" w:fill="5185C0"/>
          </w:tcPr>
          <w:p w:rsidR="00BA138D" w:rsidRPr="00EE04B6" w:rsidRDefault="00BA138D" w:rsidP="0044428D">
            <w:pPr>
              <w:pStyle w:val="Tablesmallheading"/>
            </w:pPr>
            <w:r w:rsidRPr="00EE04B6">
              <w:t>GABSI Phase 2</w:t>
            </w:r>
          </w:p>
        </w:tc>
        <w:tc>
          <w:tcPr>
            <w:tcW w:w="604" w:type="pct"/>
            <w:shd w:val="clear" w:color="auto" w:fill="5185C0"/>
          </w:tcPr>
          <w:p w:rsidR="00BA138D" w:rsidRPr="00EE04B6" w:rsidRDefault="00BA138D" w:rsidP="0044428D">
            <w:pPr>
              <w:pStyle w:val="Tablesmallheading"/>
            </w:pPr>
            <w:r w:rsidRPr="00EE04B6">
              <w:t>GABSI Phase 3 (to June 2013)</w:t>
            </w:r>
          </w:p>
        </w:tc>
        <w:tc>
          <w:tcPr>
            <w:tcW w:w="604" w:type="pct"/>
            <w:shd w:val="clear" w:color="auto" w:fill="5185C0"/>
          </w:tcPr>
          <w:p w:rsidR="00BA138D" w:rsidRPr="00EE04B6" w:rsidRDefault="00BA138D" w:rsidP="0044428D">
            <w:pPr>
              <w:pStyle w:val="Tablesmallheading"/>
            </w:pPr>
            <w:r w:rsidRPr="00EE04B6">
              <w:t>GABSI Phase 3 (to June 2014)</w:t>
            </w:r>
          </w:p>
        </w:tc>
        <w:tc>
          <w:tcPr>
            <w:tcW w:w="1743" w:type="pct"/>
            <w:shd w:val="clear" w:color="auto" w:fill="5185C0"/>
          </w:tcPr>
          <w:p w:rsidR="00BA138D" w:rsidRPr="00EE04B6" w:rsidRDefault="00BA138D" w:rsidP="0044428D">
            <w:pPr>
              <w:pStyle w:val="Tablesmallheading"/>
            </w:pPr>
            <w:r w:rsidRPr="00EE04B6">
              <w:t xml:space="preserve">Comment </w:t>
            </w:r>
          </w:p>
        </w:tc>
      </w:tr>
      <w:tr w:rsidR="00BA138D" w:rsidRPr="00EE04B6" w:rsidTr="00CA5B42">
        <w:trPr>
          <w:cantSplit/>
        </w:trPr>
        <w:tc>
          <w:tcPr>
            <w:tcW w:w="869" w:type="pct"/>
            <w:vAlign w:val="center"/>
          </w:tcPr>
          <w:p w:rsidR="00BA138D" w:rsidRPr="005976DB" w:rsidRDefault="00BA138D" w:rsidP="0044428D">
            <w:pPr>
              <w:pStyle w:val="Tablesmalltext"/>
              <w:rPr>
                <w:b/>
              </w:rPr>
            </w:pPr>
            <w:r w:rsidRPr="005976DB">
              <w:rPr>
                <w:b/>
              </w:rPr>
              <w:t xml:space="preserve">Avoided number of pumps per annum </w:t>
            </w:r>
          </w:p>
        </w:tc>
        <w:tc>
          <w:tcPr>
            <w:tcW w:w="2387" w:type="pct"/>
            <w:gridSpan w:val="4"/>
            <w:vAlign w:val="center"/>
          </w:tcPr>
          <w:p w:rsidR="00BA138D" w:rsidRPr="00960A28" w:rsidRDefault="00BA138D" w:rsidP="0044428D">
            <w:pPr>
              <w:pStyle w:val="Tablesmalltext"/>
            </w:pPr>
            <w:r w:rsidRPr="00960A28">
              <w:t xml:space="preserve">Cannot be quantified </w:t>
            </w:r>
          </w:p>
        </w:tc>
        <w:tc>
          <w:tcPr>
            <w:tcW w:w="1743" w:type="pct"/>
          </w:tcPr>
          <w:p w:rsidR="00BA138D" w:rsidRPr="00960A28" w:rsidRDefault="00BA138D" w:rsidP="0044428D">
            <w:pPr>
              <w:pStyle w:val="Tablesmalltext"/>
            </w:pPr>
            <w:r w:rsidRPr="00960A28">
              <w:t>As noted above, data is not available for these metrics</w:t>
            </w:r>
            <w:r>
              <w:t>.</w:t>
            </w:r>
          </w:p>
        </w:tc>
      </w:tr>
      <w:tr w:rsidR="00BA138D" w:rsidRPr="00EE04B6" w:rsidTr="00CA5B42">
        <w:trPr>
          <w:cantSplit/>
        </w:trPr>
        <w:tc>
          <w:tcPr>
            <w:tcW w:w="869" w:type="pct"/>
            <w:vAlign w:val="center"/>
          </w:tcPr>
          <w:p w:rsidR="00BA138D" w:rsidRPr="005976DB" w:rsidRDefault="00BA138D" w:rsidP="0044428D">
            <w:pPr>
              <w:pStyle w:val="Tablesmalltext"/>
              <w:rPr>
                <w:b/>
              </w:rPr>
            </w:pPr>
            <w:r w:rsidRPr="005976DB">
              <w:rPr>
                <w:b/>
              </w:rPr>
              <w:t>Average pump cost (real 2013 dollars)</w:t>
            </w:r>
          </w:p>
        </w:tc>
        <w:tc>
          <w:tcPr>
            <w:tcW w:w="577" w:type="pct"/>
            <w:vAlign w:val="center"/>
          </w:tcPr>
          <w:p w:rsidR="00BA138D" w:rsidRPr="00960A28" w:rsidRDefault="00BA138D" w:rsidP="0044428D">
            <w:pPr>
              <w:pStyle w:val="Tablesmalltext"/>
            </w:pPr>
            <w:r w:rsidRPr="00960A28">
              <w:t>$9,000</w:t>
            </w:r>
          </w:p>
        </w:tc>
        <w:tc>
          <w:tcPr>
            <w:tcW w:w="603" w:type="pct"/>
            <w:vAlign w:val="center"/>
          </w:tcPr>
          <w:p w:rsidR="00BA138D" w:rsidRPr="00960A28" w:rsidRDefault="00BA138D" w:rsidP="0044428D">
            <w:pPr>
              <w:pStyle w:val="Tablesmalltext"/>
            </w:pPr>
            <w:r w:rsidRPr="00960A28">
              <w:t>$9,000</w:t>
            </w:r>
          </w:p>
        </w:tc>
        <w:tc>
          <w:tcPr>
            <w:tcW w:w="604" w:type="pct"/>
            <w:vAlign w:val="center"/>
          </w:tcPr>
          <w:p w:rsidR="00BA138D" w:rsidRPr="00960A28" w:rsidRDefault="00BA138D" w:rsidP="0044428D">
            <w:pPr>
              <w:pStyle w:val="Tablesmalltext"/>
            </w:pPr>
            <w:r w:rsidRPr="00960A28">
              <w:t>$9,000</w:t>
            </w:r>
          </w:p>
        </w:tc>
        <w:tc>
          <w:tcPr>
            <w:tcW w:w="604" w:type="pct"/>
            <w:vAlign w:val="center"/>
          </w:tcPr>
          <w:p w:rsidR="00BA138D" w:rsidRPr="00960A28" w:rsidRDefault="00BA138D" w:rsidP="0044428D">
            <w:pPr>
              <w:pStyle w:val="Tablesmalltext"/>
            </w:pPr>
            <w:r w:rsidRPr="00960A28">
              <w:t>$9,000</w:t>
            </w:r>
          </w:p>
        </w:tc>
        <w:tc>
          <w:tcPr>
            <w:tcW w:w="1743" w:type="pct"/>
          </w:tcPr>
          <w:p w:rsidR="00BA138D" w:rsidRPr="00960A28" w:rsidRDefault="00BA138D" w:rsidP="0044428D">
            <w:pPr>
              <w:pStyle w:val="Tablesmalltext"/>
            </w:pPr>
            <w:r w:rsidRPr="00960A28">
              <w:t>Based on the average installation rate for S&amp;D users</w:t>
            </w:r>
            <w:r>
              <w:t>.</w:t>
            </w:r>
          </w:p>
        </w:tc>
      </w:tr>
      <w:tr w:rsidR="00BA138D" w:rsidRPr="00EE04B6" w:rsidTr="00CA5B42">
        <w:trPr>
          <w:cantSplit/>
        </w:trPr>
        <w:tc>
          <w:tcPr>
            <w:tcW w:w="869" w:type="pct"/>
            <w:vAlign w:val="center"/>
          </w:tcPr>
          <w:p w:rsidR="00BA138D" w:rsidRPr="005976DB" w:rsidRDefault="00BA138D" w:rsidP="0044428D">
            <w:pPr>
              <w:pStyle w:val="Tablesmalltext"/>
              <w:rPr>
                <w:b/>
              </w:rPr>
            </w:pPr>
            <w:r w:rsidRPr="005976DB">
              <w:rPr>
                <w:b/>
              </w:rPr>
              <w:t>Change in pressure head (average)</w:t>
            </w:r>
          </w:p>
        </w:tc>
        <w:tc>
          <w:tcPr>
            <w:tcW w:w="577" w:type="pct"/>
            <w:vAlign w:val="center"/>
          </w:tcPr>
          <w:p w:rsidR="00BA138D" w:rsidRPr="00960A28" w:rsidRDefault="00BA138D" w:rsidP="0044428D">
            <w:pPr>
              <w:pStyle w:val="Tablesmalltext"/>
            </w:pPr>
            <w:r w:rsidRPr="00EE04B6">
              <w:t xml:space="preserve">Unavailable </w:t>
            </w:r>
          </w:p>
        </w:tc>
        <w:tc>
          <w:tcPr>
            <w:tcW w:w="603" w:type="pct"/>
            <w:vAlign w:val="center"/>
          </w:tcPr>
          <w:p w:rsidR="00BA138D" w:rsidRPr="00960A28" w:rsidRDefault="00BA138D" w:rsidP="0044428D">
            <w:pPr>
              <w:pStyle w:val="Tablesmalltext"/>
            </w:pPr>
            <w:r w:rsidRPr="00EE04B6">
              <w:t>Unavailable</w:t>
            </w:r>
          </w:p>
        </w:tc>
        <w:tc>
          <w:tcPr>
            <w:tcW w:w="604" w:type="pct"/>
            <w:vAlign w:val="center"/>
          </w:tcPr>
          <w:p w:rsidR="00BA138D" w:rsidRPr="00960A28" w:rsidRDefault="00BA138D" w:rsidP="0044428D">
            <w:pPr>
              <w:pStyle w:val="Tablesmalltext"/>
            </w:pPr>
            <w:r w:rsidRPr="00EE04B6">
              <w:t>Unavailable</w:t>
            </w:r>
          </w:p>
        </w:tc>
        <w:tc>
          <w:tcPr>
            <w:tcW w:w="604" w:type="pct"/>
            <w:vAlign w:val="center"/>
          </w:tcPr>
          <w:p w:rsidR="00BA138D" w:rsidRPr="00960A28" w:rsidRDefault="00BA138D" w:rsidP="0044428D">
            <w:pPr>
              <w:pStyle w:val="Tablesmalltext"/>
            </w:pPr>
            <w:r w:rsidRPr="00EE04B6">
              <w:t>Unavailable</w:t>
            </w:r>
          </w:p>
        </w:tc>
        <w:tc>
          <w:tcPr>
            <w:tcW w:w="1743" w:type="pct"/>
          </w:tcPr>
          <w:p w:rsidR="00BA138D" w:rsidRPr="00960A28" w:rsidRDefault="00BA138D" w:rsidP="004532A4">
            <w:pPr>
              <w:pStyle w:val="Tablesmalltext"/>
            </w:pPr>
            <w:r w:rsidRPr="00EE04B6">
              <w:t xml:space="preserve">This </w:t>
            </w:r>
            <w:r>
              <w:t>d</w:t>
            </w:r>
            <w:r w:rsidRPr="00EE04B6">
              <w:t xml:space="preserve">ata is not available </w:t>
            </w:r>
            <w:r w:rsidR="00D82B1A">
              <w:t xml:space="preserve">from </w:t>
            </w:r>
            <w:r w:rsidRPr="00EE04B6">
              <w:t>existing reports or modelling. Models used for GAB</w:t>
            </w:r>
            <w:r w:rsidR="00267538">
              <w:t>W</w:t>
            </w:r>
            <w:r w:rsidRPr="00EE04B6">
              <w:t xml:space="preserve">RA do not provide a breakdown in the information needed to assess the change in pressure between these two scenarios. </w:t>
            </w:r>
            <w:r w:rsidR="004532A4">
              <w:t>Of particular value would be data on the change in pressure head resulting from GABSI in 2013, compared with predicted pressure in 2013 without GABSI.</w:t>
            </w:r>
          </w:p>
        </w:tc>
      </w:tr>
      <w:tr w:rsidR="00BA138D" w:rsidRPr="00EE04B6" w:rsidTr="00CA5B42">
        <w:trPr>
          <w:cantSplit/>
        </w:trPr>
        <w:tc>
          <w:tcPr>
            <w:tcW w:w="869" w:type="pct"/>
            <w:vAlign w:val="center"/>
          </w:tcPr>
          <w:p w:rsidR="00BA138D" w:rsidRPr="005976DB" w:rsidRDefault="00BA138D" w:rsidP="0044428D">
            <w:pPr>
              <w:pStyle w:val="Tablesmalltext"/>
              <w:rPr>
                <w:b/>
              </w:rPr>
            </w:pPr>
            <w:r>
              <w:rPr>
                <w:b/>
              </w:rPr>
              <w:t>Flow rate (L/s)</w:t>
            </w:r>
          </w:p>
        </w:tc>
        <w:tc>
          <w:tcPr>
            <w:tcW w:w="577" w:type="pct"/>
            <w:vAlign w:val="center"/>
          </w:tcPr>
          <w:p w:rsidR="00BA138D" w:rsidRPr="00EE04B6" w:rsidRDefault="00BA138D" w:rsidP="0044428D">
            <w:pPr>
              <w:pStyle w:val="Tablesmalltext"/>
            </w:pPr>
            <w:r>
              <w:t xml:space="preserve">616,166 </w:t>
            </w:r>
          </w:p>
        </w:tc>
        <w:tc>
          <w:tcPr>
            <w:tcW w:w="603" w:type="pct"/>
            <w:vAlign w:val="center"/>
          </w:tcPr>
          <w:p w:rsidR="00BA138D" w:rsidRPr="00EE04B6" w:rsidRDefault="00BA138D" w:rsidP="0044428D">
            <w:pPr>
              <w:pStyle w:val="Tablesmalltext"/>
            </w:pPr>
            <w:r>
              <w:t>616,166</w:t>
            </w:r>
          </w:p>
        </w:tc>
        <w:tc>
          <w:tcPr>
            <w:tcW w:w="604" w:type="pct"/>
            <w:vAlign w:val="center"/>
          </w:tcPr>
          <w:p w:rsidR="00BA138D" w:rsidRPr="00EE04B6" w:rsidRDefault="00BA138D" w:rsidP="0044428D">
            <w:pPr>
              <w:pStyle w:val="Tablesmalltext"/>
            </w:pPr>
            <w:r>
              <w:t>616,166</w:t>
            </w:r>
          </w:p>
        </w:tc>
        <w:tc>
          <w:tcPr>
            <w:tcW w:w="604" w:type="pct"/>
            <w:vAlign w:val="center"/>
          </w:tcPr>
          <w:p w:rsidR="00BA138D" w:rsidRPr="00EE04B6" w:rsidRDefault="00BA138D" w:rsidP="0044428D">
            <w:pPr>
              <w:pStyle w:val="Tablesmalltext"/>
            </w:pPr>
            <w:r>
              <w:t>616,166</w:t>
            </w:r>
          </w:p>
        </w:tc>
        <w:tc>
          <w:tcPr>
            <w:tcW w:w="1743" w:type="pct"/>
          </w:tcPr>
          <w:p w:rsidR="00BA138D" w:rsidRDefault="00BA138D" w:rsidP="0044428D">
            <w:pPr>
              <w:pStyle w:val="Tablesmalltext"/>
            </w:pPr>
            <w:r>
              <w:t>Estimated based on total annual water use in the GAB – 616,166 ML (GABCC, 2000), and converted to a flow rate (L/s).</w:t>
            </w:r>
          </w:p>
          <w:p w:rsidR="00BA138D" w:rsidRPr="00EE04B6" w:rsidRDefault="00BA138D" w:rsidP="0044428D">
            <w:pPr>
              <w:pStyle w:val="Tablesmalltext"/>
            </w:pPr>
            <w:r>
              <w:t>Given that annual water use has been considered the avoided pumping cost is an avoided annual pumping cost.</w:t>
            </w:r>
          </w:p>
        </w:tc>
      </w:tr>
      <w:tr w:rsidR="00BA138D" w:rsidRPr="00EE04B6" w:rsidTr="00CA5B42">
        <w:trPr>
          <w:cantSplit/>
        </w:trPr>
        <w:tc>
          <w:tcPr>
            <w:tcW w:w="869" w:type="pct"/>
            <w:vAlign w:val="center"/>
          </w:tcPr>
          <w:p w:rsidR="00BA138D" w:rsidRPr="005976DB" w:rsidRDefault="00BA138D" w:rsidP="0044428D">
            <w:pPr>
              <w:pStyle w:val="Tablesmalltext"/>
              <w:rPr>
                <w:b/>
              </w:rPr>
            </w:pPr>
            <w:r w:rsidRPr="005976DB">
              <w:rPr>
                <w:b/>
              </w:rPr>
              <w:t>Energy use per metre lift (kW/m) of total GAB water</w:t>
            </w:r>
          </w:p>
        </w:tc>
        <w:tc>
          <w:tcPr>
            <w:tcW w:w="577" w:type="pct"/>
            <w:vAlign w:val="center"/>
          </w:tcPr>
          <w:p w:rsidR="00BA138D" w:rsidRPr="00960A28" w:rsidRDefault="00BA138D" w:rsidP="0044428D">
            <w:pPr>
              <w:pStyle w:val="Tablesmalltext"/>
            </w:pPr>
            <w:r w:rsidRPr="00960A28">
              <w:t>407.81</w:t>
            </w:r>
          </w:p>
        </w:tc>
        <w:tc>
          <w:tcPr>
            <w:tcW w:w="603" w:type="pct"/>
            <w:vAlign w:val="center"/>
          </w:tcPr>
          <w:p w:rsidR="00BA138D" w:rsidRPr="00960A28" w:rsidRDefault="00BA138D" w:rsidP="0044428D">
            <w:pPr>
              <w:pStyle w:val="Tablesmalltext"/>
            </w:pPr>
            <w:r w:rsidRPr="00960A28">
              <w:t>407.81</w:t>
            </w:r>
          </w:p>
        </w:tc>
        <w:tc>
          <w:tcPr>
            <w:tcW w:w="604" w:type="pct"/>
            <w:vAlign w:val="center"/>
          </w:tcPr>
          <w:p w:rsidR="00BA138D" w:rsidRPr="00960A28" w:rsidRDefault="00BA138D" w:rsidP="0044428D">
            <w:pPr>
              <w:pStyle w:val="Tablesmalltext"/>
            </w:pPr>
            <w:r w:rsidRPr="00960A28">
              <w:t>407.81</w:t>
            </w:r>
          </w:p>
        </w:tc>
        <w:tc>
          <w:tcPr>
            <w:tcW w:w="604" w:type="pct"/>
            <w:vAlign w:val="center"/>
          </w:tcPr>
          <w:p w:rsidR="00BA138D" w:rsidRPr="00960A28" w:rsidRDefault="00BA138D" w:rsidP="0044428D">
            <w:pPr>
              <w:pStyle w:val="Tablesmalltext"/>
            </w:pPr>
            <w:r w:rsidRPr="00960A28">
              <w:t>407.81</w:t>
            </w:r>
          </w:p>
        </w:tc>
        <w:tc>
          <w:tcPr>
            <w:tcW w:w="1743" w:type="pct"/>
          </w:tcPr>
          <w:p w:rsidR="00BA138D" w:rsidRPr="00960A28" w:rsidRDefault="00BA138D" w:rsidP="0044428D">
            <w:pPr>
              <w:pStyle w:val="Tablesmalltext"/>
            </w:pPr>
            <w:r w:rsidRPr="00960A28">
              <w:t>Based on estimated average flow rate of 19,538 l/s for a total water use of 616</w:t>
            </w:r>
            <w:r>
              <w:t>,</w:t>
            </w:r>
            <w:r w:rsidRPr="00960A28">
              <w:t>166ML/year</w:t>
            </w:r>
            <w:r>
              <w:t>.</w:t>
            </w:r>
          </w:p>
        </w:tc>
      </w:tr>
      <w:tr w:rsidR="00BA138D" w:rsidRPr="00863E1E" w:rsidTr="00CA5B42">
        <w:trPr>
          <w:cantSplit/>
        </w:trPr>
        <w:tc>
          <w:tcPr>
            <w:tcW w:w="869" w:type="pct"/>
            <w:vAlign w:val="center"/>
          </w:tcPr>
          <w:p w:rsidR="00BA138D" w:rsidRPr="005976DB" w:rsidRDefault="00BA138D" w:rsidP="0044428D">
            <w:pPr>
              <w:pStyle w:val="Tablesmalltext"/>
              <w:rPr>
                <w:b/>
              </w:rPr>
            </w:pPr>
            <w:r w:rsidRPr="005976DB">
              <w:rPr>
                <w:b/>
              </w:rPr>
              <w:t>$/m change in pressure head</w:t>
            </w:r>
          </w:p>
        </w:tc>
        <w:tc>
          <w:tcPr>
            <w:tcW w:w="577" w:type="pct"/>
            <w:vAlign w:val="center"/>
          </w:tcPr>
          <w:p w:rsidR="00BA138D" w:rsidRPr="00960A28" w:rsidRDefault="00BA138D" w:rsidP="0044428D">
            <w:pPr>
              <w:pStyle w:val="Tablesmalltext"/>
            </w:pPr>
            <w:r w:rsidRPr="00960A28">
              <w:t>$714,490</w:t>
            </w:r>
          </w:p>
        </w:tc>
        <w:tc>
          <w:tcPr>
            <w:tcW w:w="603" w:type="pct"/>
            <w:vAlign w:val="center"/>
          </w:tcPr>
          <w:p w:rsidR="00BA138D" w:rsidRPr="00960A28" w:rsidRDefault="00BA138D" w:rsidP="0044428D">
            <w:pPr>
              <w:pStyle w:val="Tablesmalltext"/>
            </w:pPr>
            <w:r w:rsidRPr="00960A28">
              <w:t>$714,490</w:t>
            </w:r>
          </w:p>
        </w:tc>
        <w:tc>
          <w:tcPr>
            <w:tcW w:w="604" w:type="pct"/>
            <w:vAlign w:val="center"/>
          </w:tcPr>
          <w:p w:rsidR="00BA138D" w:rsidRPr="00960A28" w:rsidRDefault="00BA138D" w:rsidP="0044428D">
            <w:pPr>
              <w:pStyle w:val="Tablesmalltext"/>
            </w:pPr>
            <w:r w:rsidRPr="00960A28">
              <w:t>$714,490</w:t>
            </w:r>
          </w:p>
        </w:tc>
        <w:tc>
          <w:tcPr>
            <w:tcW w:w="604" w:type="pct"/>
            <w:vAlign w:val="center"/>
          </w:tcPr>
          <w:p w:rsidR="00BA138D" w:rsidRPr="00960A28" w:rsidRDefault="00BA138D" w:rsidP="0044428D">
            <w:pPr>
              <w:pStyle w:val="Tablesmalltext"/>
            </w:pPr>
            <w:r w:rsidRPr="00960A28">
              <w:t>$714,490</w:t>
            </w:r>
          </w:p>
        </w:tc>
        <w:tc>
          <w:tcPr>
            <w:tcW w:w="1743" w:type="pct"/>
          </w:tcPr>
          <w:p w:rsidR="00BA138D" w:rsidRDefault="00BA138D" w:rsidP="0044428D">
            <w:pPr>
              <w:pStyle w:val="Tablesmalltext"/>
            </w:pPr>
            <w:r w:rsidRPr="00EE04B6">
              <w:t>Based on $0.</w:t>
            </w:r>
            <w:r>
              <w:t>20</w:t>
            </w:r>
            <w:r w:rsidRPr="00EE04B6">
              <w:t>/kwh</w:t>
            </w:r>
            <w:r>
              <w:t xml:space="preserve"> and 8760 hours per year.</w:t>
            </w:r>
          </w:p>
          <w:p w:rsidR="00BA138D" w:rsidRPr="00863E1E" w:rsidRDefault="00BA138D" w:rsidP="0044428D">
            <w:pPr>
              <w:pStyle w:val="Tablesmalltext"/>
            </w:pPr>
            <w:r>
              <w:t>This is an annual cost.</w:t>
            </w:r>
          </w:p>
        </w:tc>
      </w:tr>
    </w:tbl>
    <w:p w:rsidR="00895289" w:rsidRPr="00A32E4F" w:rsidRDefault="00895289" w:rsidP="00895289">
      <w:pPr>
        <w:pStyle w:val="subhead"/>
      </w:pPr>
      <w:r w:rsidRPr="00A32E4F">
        <w:t>Results</w:t>
      </w:r>
    </w:p>
    <w:p w:rsidR="00FE60F7" w:rsidRPr="00FE60F7" w:rsidRDefault="00FE60F7" w:rsidP="00701E18">
      <w:pPr>
        <w:pStyle w:val="Para0"/>
      </w:pPr>
      <w:r>
        <w:t>As summarised in</w:t>
      </w:r>
      <w:r w:rsidR="003374E8">
        <w:t xml:space="preserve"> </w:t>
      </w:r>
      <w:r w:rsidR="006768F1">
        <w:fldChar w:fldCharType="begin"/>
      </w:r>
      <w:r w:rsidR="003374E8">
        <w:instrText xml:space="preserve"> REF _Ref373499989 \h </w:instrText>
      </w:r>
      <w:r w:rsidR="006768F1">
        <w:fldChar w:fldCharType="separate"/>
      </w:r>
      <w:r w:rsidR="00516D07" w:rsidRPr="00863E1E">
        <w:t xml:space="preserve">Table </w:t>
      </w:r>
      <w:r w:rsidR="00516D07">
        <w:rPr>
          <w:noProof/>
        </w:rPr>
        <w:t>11</w:t>
      </w:r>
      <w:r w:rsidR="006768F1">
        <w:fldChar w:fldCharType="end"/>
      </w:r>
      <w:r>
        <w:t xml:space="preserve">, there is insufficient information in existing reports and models to </w:t>
      </w:r>
      <w:r w:rsidRPr="00FE60F7">
        <w:t xml:space="preserve">quantify the avoided pump </w:t>
      </w:r>
      <w:r w:rsidR="00A7723B">
        <w:t xml:space="preserve">and pumping </w:t>
      </w:r>
      <w:r w:rsidRPr="00FE60F7">
        <w:t xml:space="preserve">costs </w:t>
      </w:r>
      <w:r>
        <w:t>attributed to GABSI.</w:t>
      </w:r>
    </w:p>
    <w:p w:rsidR="00EE04B6" w:rsidRPr="0058560F" w:rsidRDefault="00386891" w:rsidP="0058560F">
      <w:pPr>
        <w:pStyle w:val="Para0"/>
      </w:pPr>
      <w:r w:rsidRPr="0058560F">
        <w:t>The GAB</w:t>
      </w:r>
      <w:r w:rsidR="00A7723B">
        <w:t>W</w:t>
      </w:r>
      <w:r w:rsidR="00EE04B6" w:rsidRPr="0058560F">
        <w:t xml:space="preserve">RA </w:t>
      </w:r>
      <w:r w:rsidRPr="0058560F">
        <w:t xml:space="preserve">undertaken by CSIRO and others was reviewed for use in the </w:t>
      </w:r>
      <w:r w:rsidR="00C50161">
        <w:t>VfM</w:t>
      </w:r>
      <w:r w:rsidRPr="0058560F">
        <w:t xml:space="preserve"> assessment. The data contained in the report provided useful background to the consi</w:t>
      </w:r>
      <w:r w:rsidR="00A7723B">
        <w:t xml:space="preserve">deration of changes in pressure, but did not provide the required level of specificity to obtain the </w:t>
      </w:r>
      <w:r w:rsidRPr="0058560F">
        <w:t xml:space="preserve">raw data </w:t>
      </w:r>
      <w:r w:rsidR="00A7723B">
        <w:t>needed for this</w:t>
      </w:r>
      <w:r w:rsidRPr="0058560F">
        <w:t xml:space="preserve"> analysis</w:t>
      </w:r>
      <w:r w:rsidR="00C47D21">
        <w:rPr>
          <w:rStyle w:val="FootnoteReference"/>
        </w:rPr>
        <w:footnoteReference w:id="12"/>
      </w:r>
      <w:r w:rsidRPr="0058560F">
        <w:t>.</w:t>
      </w:r>
      <w:r w:rsidR="00656EDB" w:rsidRPr="0058560F">
        <w:t xml:space="preserve"> </w:t>
      </w:r>
      <w:r w:rsidR="00EE04B6" w:rsidRPr="0058560F">
        <w:t xml:space="preserve">To estimate the incremental change in pressure as a result of the GABSI program, </w:t>
      </w:r>
      <w:r w:rsidR="00A7723B">
        <w:t xml:space="preserve">relevant </w:t>
      </w:r>
      <w:r w:rsidR="00EE04B6" w:rsidRPr="0058560F">
        <w:t>p</w:t>
      </w:r>
      <w:r w:rsidR="00656EDB" w:rsidRPr="0058560F">
        <w:t xml:space="preserve">ressure maps </w:t>
      </w:r>
      <w:r w:rsidR="00EE04B6" w:rsidRPr="0058560F">
        <w:t xml:space="preserve">illustrating </w:t>
      </w:r>
      <w:r w:rsidR="00656EDB" w:rsidRPr="0058560F">
        <w:t xml:space="preserve">changes in pressure from </w:t>
      </w:r>
      <w:r w:rsidR="00A7723B">
        <w:t xml:space="preserve">around </w:t>
      </w:r>
      <w:r w:rsidR="00EE04B6" w:rsidRPr="0058560F">
        <w:t>1989</w:t>
      </w:r>
      <w:r w:rsidR="00656EDB" w:rsidRPr="0058560F">
        <w:t xml:space="preserve"> to 2012</w:t>
      </w:r>
      <w:r w:rsidR="00EE04B6" w:rsidRPr="00794271">
        <w:t>/13</w:t>
      </w:r>
      <w:r w:rsidR="00EE04B6" w:rsidRPr="0058560F">
        <w:t xml:space="preserve"> are needed. The GAB</w:t>
      </w:r>
      <w:r w:rsidR="00A7723B">
        <w:t>W</w:t>
      </w:r>
      <w:r w:rsidR="00EE04B6" w:rsidRPr="0058560F">
        <w:t>RA report does not provide this data. Furthermore, the scale</w:t>
      </w:r>
      <w:r w:rsidR="00C47D21" w:rsidRPr="0058560F">
        <w:t xml:space="preserve"> used in the maps </w:t>
      </w:r>
      <w:r w:rsidR="00EE04B6" w:rsidRPr="0058560F">
        <w:t xml:space="preserve">provided </w:t>
      </w:r>
      <w:r w:rsidR="00A7723B">
        <w:t xml:space="preserve">is </w:t>
      </w:r>
      <w:r w:rsidR="00656EDB" w:rsidRPr="0058560F">
        <w:t>too coarse</w:t>
      </w:r>
      <w:r w:rsidR="00C47D21" w:rsidRPr="0058560F">
        <w:t xml:space="preserve"> to be used for </w:t>
      </w:r>
      <w:r w:rsidR="00A7723B">
        <w:t>detailed analysis.</w:t>
      </w:r>
    </w:p>
    <w:p w:rsidR="00C47D21" w:rsidRPr="00794271" w:rsidRDefault="00C47D21" w:rsidP="00701E18">
      <w:pPr>
        <w:pStyle w:val="Para0"/>
      </w:pPr>
      <w:r w:rsidRPr="0058560F">
        <w:t xml:space="preserve">Additional </w:t>
      </w:r>
      <w:r w:rsidR="00C50161">
        <w:t xml:space="preserve">CSIRO </w:t>
      </w:r>
      <w:r w:rsidRPr="00794271">
        <w:t xml:space="preserve">groundwater </w:t>
      </w:r>
      <w:r w:rsidRPr="0058560F">
        <w:t xml:space="preserve">data </w:t>
      </w:r>
      <w:r w:rsidR="00C50161" w:rsidRPr="003635E5">
        <w:t xml:space="preserve">containing long term pressure observations in the GAB </w:t>
      </w:r>
      <w:r w:rsidR="00C50161">
        <w:t xml:space="preserve">was also considered as input to the VfM assessment. This </w:t>
      </w:r>
      <w:r w:rsidR="00EE2871">
        <w:t xml:space="preserve">showed </w:t>
      </w:r>
      <w:r w:rsidRPr="00794271">
        <w:t>mixed results</w:t>
      </w:r>
      <w:r w:rsidR="00C50161">
        <w:t>:</w:t>
      </w:r>
      <w:r w:rsidR="00CB5C5F" w:rsidRPr="00CB5C5F">
        <w:rPr>
          <w:rStyle w:val="FootnoteReference"/>
        </w:rPr>
        <w:t xml:space="preserve"> </w:t>
      </w:r>
      <w:r w:rsidR="00CB5C5F">
        <w:rPr>
          <w:rStyle w:val="FootnoteReference"/>
        </w:rPr>
        <w:footnoteReference w:id="13"/>
      </w:r>
    </w:p>
    <w:p w:rsidR="00C47D21" w:rsidRPr="0058560F" w:rsidRDefault="00C47D21" w:rsidP="0058560F">
      <w:pPr>
        <w:pStyle w:val="Para0bullet"/>
      </w:pPr>
      <w:r w:rsidRPr="0058560F">
        <w:t>The number of bores demonstrating an increase in p</w:t>
      </w:r>
      <w:r w:rsidR="00656EDB" w:rsidRPr="0058560F">
        <w:t xml:space="preserve">ressure prior to GABSI </w:t>
      </w:r>
      <w:r w:rsidRPr="0058560F">
        <w:t xml:space="preserve">is nearly </w:t>
      </w:r>
      <w:r w:rsidR="00656EDB" w:rsidRPr="0058560F">
        <w:t xml:space="preserve">equal </w:t>
      </w:r>
      <w:r w:rsidR="00EE2871">
        <w:t xml:space="preserve">to the </w:t>
      </w:r>
      <w:r w:rsidR="00656EDB" w:rsidRPr="0058560F">
        <w:t xml:space="preserve">number </w:t>
      </w:r>
      <w:r w:rsidRPr="0058560F">
        <w:t>showing</w:t>
      </w:r>
      <w:r w:rsidR="00656EDB" w:rsidRPr="0058560F">
        <w:t xml:space="preserve"> pressure increases </w:t>
      </w:r>
      <w:r w:rsidRPr="0058560F">
        <w:t>after GABSI implementation</w:t>
      </w:r>
      <w:r w:rsidR="00656EDB" w:rsidRPr="0058560F">
        <w:t>.</w:t>
      </w:r>
      <w:r w:rsidR="00D82B1A">
        <w:t xml:space="preserve"> This is presumably due to the capping and piping that occurred immediately prior to implementation of the GABSI works.</w:t>
      </w:r>
    </w:p>
    <w:p w:rsidR="00C47D21" w:rsidRPr="0058560F" w:rsidRDefault="00C47D21" w:rsidP="0058560F">
      <w:pPr>
        <w:pStyle w:val="Para0bullet"/>
      </w:pPr>
      <w:r w:rsidRPr="0058560F">
        <w:t>A</w:t>
      </w:r>
      <w:r w:rsidR="00656EDB" w:rsidRPr="0058560F">
        <w:t xml:space="preserve"> larger than expected number of bores </w:t>
      </w:r>
      <w:r w:rsidRPr="0058560F">
        <w:t xml:space="preserve">demonstrated an </w:t>
      </w:r>
      <w:r w:rsidR="00656EDB" w:rsidRPr="0058560F">
        <w:t>ongoing pressure decline</w:t>
      </w:r>
      <w:r w:rsidRPr="0058560F">
        <w:t>, even during the GABSI implementation period</w:t>
      </w:r>
      <w:r w:rsidR="00EE2871">
        <w:t>.</w:t>
      </w:r>
    </w:p>
    <w:p w:rsidR="00656EDB" w:rsidRPr="0058560F" w:rsidRDefault="00C47D21" w:rsidP="0058560F">
      <w:pPr>
        <w:pStyle w:val="Para0"/>
      </w:pPr>
      <w:r w:rsidRPr="0058560F">
        <w:t xml:space="preserve">These observations do not provide any conclusive evidence whether pressure in the GAB has or </w:t>
      </w:r>
      <w:r w:rsidR="00E83CCB">
        <w:t>has not</w:t>
      </w:r>
      <w:r w:rsidRPr="0058560F">
        <w:t xml:space="preserve"> changed as a result of GABSI.</w:t>
      </w:r>
      <w:r w:rsidR="00D016A6">
        <w:t xml:space="preserve"> </w:t>
      </w:r>
      <w:r w:rsidRPr="0058560F">
        <w:t xml:space="preserve">Importantly, the </w:t>
      </w:r>
      <w:r w:rsidR="00656EDB" w:rsidRPr="0058560F">
        <w:t xml:space="preserve">distribution of the bores with time series data </w:t>
      </w:r>
      <w:r w:rsidRPr="0058560F">
        <w:t xml:space="preserve">did not necessarily relate to areas where GABSI has been implemented. </w:t>
      </w:r>
    </w:p>
    <w:p w:rsidR="003C2A9F" w:rsidRPr="00AF6A59" w:rsidRDefault="00FE60F7" w:rsidP="00701E18">
      <w:pPr>
        <w:pStyle w:val="Para0"/>
      </w:pPr>
      <w:r w:rsidRPr="00794271">
        <w:t>Despite the lack of quantitative data</w:t>
      </w:r>
      <w:r w:rsidR="003C2A9F" w:rsidRPr="0058560F">
        <w:t xml:space="preserve"> f</w:t>
      </w:r>
      <w:r w:rsidR="00C47D21" w:rsidRPr="0058560F">
        <w:t>ro</w:t>
      </w:r>
      <w:r w:rsidR="003C2A9F" w:rsidRPr="0058560F">
        <w:t>m the GAB</w:t>
      </w:r>
      <w:r w:rsidR="00386891" w:rsidRPr="0058560F">
        <w:t>W</w:t>
      </w:r>
      <w:r w:rsidR="003C2A9F" w:rsidRPr="0058560F">
        <w:t>RA</w:t>
      </w:r>
      <w:r w:rsidRPr="0058560F">
        <w:t xml:space="preserve">, there </w:t>
      </w:r>
      <w:r w:rsidR="00701E18" w:rsidRPr="0058560F">
        <w:t xml:space="preserve">is </w:t>
      </w:r>
      <w:r w:rsidR="003C2A9F" w:rsidRPr="0058560F">
        <w:t>some anecdotal</w:t>
      </w:r>
      <w:r w:rsidR="00701E18" w:rsidRPr="0058560F">
        <w:t xml:space="preserve"> and physical evidence of pressure having increased in the GAB </w:t>
      </w:r>
      <w:r w:rsidRPr="0058560F">
        <w:t>as a result of</w:t>
      </w:r>
      <w:r w:rsidR="00701E18" w:rsidRPr="0058560F">
        <w:t xml:space="preserve"> GABSI. </w:t>
      </w:r>
      <w:r w:rsidRPr="0058560F">
        <w:t xml:space="preserve">Anecdotal evidence provided by </w:t>
      </w:r>
      <w:r w:rsidR="003C2A9F" w:rsidRPr="0058560F">
        <w:t>the jurisdictions is summarised in the following table.</w:t>
      </w:r>
    </w:p>
    <w:p w:rsidR="003C2A9F" w:rsidRPr="003C2A9F" w:rsidRDefault="003C2A9F" w:rsidP="003C2A9F">
      <w:pPr>
        <w:pStyle w:val="Caption"/>
      </w:pPr>
      <w:bookmarkStart w:id="34" w:name="_Ref373499989"/>
      <w:r w:rsidRPr="00863E1E">
        <w:t xml:space="preserve">Table </w:t>
      </w:r>
      <w:r w:rsidR="006768F1">
        <w:fldChar w:fldCharType="begin"/>
      </w:r>
      <w:r w:rsidR="00F843FC">
        <w:instrText xml:space="preserve"> SEQ Table \* ARABIC </w:instrText>
      </w:r>
      <w:r w:rsidR="006768F1">
        <w:fldChar w:fldCharType="separate"/>
      </w:r>
      <w:r w:rsidR="00516D07">
        <w:rPr>
          <w:noProof/>
        </w:rPr>
        <w:t>11</w:t>
      </w:r>
      <w:r w:rsidR="006768F1">
        <w:fldChar w:fldCharType="end"/>
      </w:r>
      <w:bookmarkEnd w:id="34"/>
      <w:r>
        <w:t>: Available evidence of pressure recovery provided by the GAB jurisdictions</w:t>
      </w:r>
    </w:p>
    <w:tbl>
      <w:tblPr>
        <w:tblW w:w="9922" w:type="dxa"/>
        <w:tblInd w:w="108" w:type="dxa"/>
        <w:tblBorders>
          <w:top w:val="single" w:sz="6" w:space="0" w:color="79746C"/>
          <w:left w:val="single" w:sz="6" w:space="0" w:color="79746C"/>
          <w:bottom w:val="single" w:sz="6" w:space="0" w:color="79746C"/>
          <w:right w:val="single" w:sz="6" w:space="0" w:color="79746C"/>
          <w:insideH w:val="single" w:sz="6" w:space="0" w:color="79746C"/>
          <w:insideV w:val="single" w:sz="6" w:space="0" w:color="79746C"/>
        </w:tblBorders>
        <w:tblLook w:val="00A0"/>
      </w:tblPr>
      <w:tblGrid>
        <w:gridCol w:w="1418"/>
        <w:gridCol w:w="4252"/>
        <w:gridCol w:w="4252"/>
      </w:tblGrid>
      <w:tr w:rsidR="00F669FB" w:rsidRPr="00863E1E" w:rsidTr="002E4907">
        <w:trPr>
          <w:trHeight w:val="322"/>
          <w:tblHeader/>
        </w:trPr>
        <w:tc>
          <w:tcPr>
            <w:tcW w:w="1418" w:type="dxa"/>
            <w:shd w:val="clear" w:color="auto" w:fill="5185C0"/>
          </w:tcPr>
          <w:p w:rsidR="003C2A9F" w:rsidRPr="00F669FB" w:rsidRDefault="003C2A9F" w:rsidP="00DF1CEB">
            <w:pPr>
              <w:pStyle w:val="Tablesmallheading"/>
            </w:pPr>
            <w:r w:rsidRPr="00F669FB">
              <w:t>Jurisdiction</w:t>
            </w:r>
          </w:p>
        </w:tc>
        <w:tc>
          <w:tcPr>
            <w:tcW w:w="4252" w:type="dxa"/>
            <w:shd w:val="clear" w:color="auto" w:fill="5185C0"/>
          </w:tcPr>
          <w:p w:rsidR="003C2A9F" w:rsidRPr="00AF3EEE" w:rsidRDefault="003C2A9F" w:rsidP="00DF1CEB">
            <w:pPr>
              <w:pStyle w:val="Tablesmallheading"/>
              <w:rPr>
                <w:highlight w:val="yellow"/>
              </w:rPr>
            </w:pPr>
            <w:r w:rsidRPr="00AF3EEE">
              <w:t>Data available or provided</w:t>
            </w:r>
          </w:p>
        </w:tc>
        <w:tc>
          <w:tcPr>
            <w:tcW w:w="4252" w:type="dxa"/>
            <w:shd w:val="clear" w:color="auto" w:fill="5185C0"/>
            <w:vAlign w:val="center"/>
          </w:tcPr>
          <w:p w:rsidR="003C2A9F" w:rsidRPr="00824349" w:rsidRDefault="003C2A9F" w:rsidP="00DF1CEB">
            <w:pPr>
              <w:pStyle w:val="Tablesmallheading"/>
            </w:pPr>
            <w:r w:rsidRPr="00824349">
              <w:t>Limitation of data</w:t>
            </w:r>
          </w:p>
        </w:tc>
      </w:tr>
      <w:tr w:rsidR="003C2A9F" w:rsidRPr="00A87C15" w:rsidTr="00622785">
        <w:tc>
          <w:tcPr>
            <w:tcW w:w="1418" w:type="dxa"/>
          </w:tcPr>
          <w:p w:rsidR="003C2A9F" w:rsidRPr="00622785" w:rsidRDefault="003C2A9F" w:rsidP="00DF1CEB">
            <w:pPr>
              <w:pStyle w:val="Tablesmalltext"/>
              <w:rPr>
                <w:b/>
              </w:rPr>
            </w:pPr>
            <w:r w:rsidRPr="00622785">
              <w:rPr>
                <w:b/>
              </w:rPr>
              <w:t>Qld</w:t>
            </w:r>
          </w:p>
        </w:tc>
        <w:tc>
          <w:tcPr>
            <w:tcW w:w="4252" w:type="dxa"/>
          </w:tcPr>
          <w:p w:rsidR="003C2A9F" w:rsidRDefault="003C2A9F" w:rsidP="00DF1CEB">
            <w:pPr>
              <w:pStyle w:val="Tablesmalltext"/>
              <w:rPr>
                <w:b/>
              </w:rPr>
            </w:pPr>
            <w:r w:rsidRPr="003C2A9F">
              <w:t>In Queensland, the establishment of a legislative framework to manage extraction of water and the significant investment in capping and piping programs by landholders and government since before GABSI has resulted in measurable pressure recovery in key areas across the GAB.</w:t>
            </w:r>
          </w:p>
          <w:p w:rsidR="003C2A9F" w:rsidRPr="003C2A9F" w:rsidRDefault="003C2A9F" w:rsidP="004532A4">
            <w:pPr>
              <w:pStyle w:val="Tablesmalltext"/>
            </w:pPr>
            <w:r w:rsidRPr="003C2A9F">
              <w:t xml:space="preserve">The combined result of these activities is that by 2005 there was an increase in pressure in half of all artesian bores monitored – 341 having increased by up to 8 m and 31 having increased by more than this. </w:t>
            </w:r>
          </w:p>
        </w:tc>
        <w:tc>
          <w:tcPr>
            <w:tcW w:w="4252" w:type="dxa"/>
          </w:tcPr>
          <w:p w:rsidR="003C2A9F" w:rsidRDefault="003C2A9F" w:rsidP="00DF1CEB">
            <w:pPr>
              <w:pStyle w:val="Tablesmalltext"/>
            </w:pPr>
            <w:r w:rsidRPr="003C2A9F">
              <w:t>Whist this</w:t>
            </w:r>
            <w:r>
              <w:t xml:space="preserve"> data</w:t>
            </w:r>
            <w:r w:rsidRPr="003C2A9F">
              <w:t xml:space="preserve"> </w:t>
            </w:r>
            <w:r>
              <w:t xml:space="preserve">suggests that capping and piping works have been successful in </w:t>
            </w:r>
            <w:r w:rsidRPr="003C2A9F">
              <w:t>recovering pressure, there is insufficient information to separate the impacts from pre-GABSI and different GABSI phases.</w:t>
            </w:r>
          </w:p>
          <w:p w:rsidR="003C2A9F" w:rsidRDefault="003C2A9F" w:rsidP="00DF1CEB">
            <w:pPr>
              <w:pStyle w:val="Tablesmalltext"/>
            </w:pPr>
          </w:p>
          <w:p w:rsidR="003C2A9F" w:rsidRDefault="003C2A9F" w:rsidP="00DF1CEB">
            <w:pPr>
              <w:pStyle w:val="Tablesmalltext"/>
              <w:rPr>
                <w:rFonts w:cs="Arial"/>
                <w:kern w:val="24"/>
              </w:rPr>
            </w:pPr>
            <w:r>
              <w:t>More recent data has not been made available</w:t>
            </w:r>
            <w:r w:rsidRPr="003C2A9F">
              <w:rPr>
                <w:rFonts w:cs="Arial"/>
                <w:kern w:val="24"/>
              </w:rPr>
              <w:t xml:space="preserve"> </w:t>
            </w:r>
          </w:p>
          <w:p w:rsidR="003C2A9F" w:rsidRPr="003C2A9F" w:rsidRDefault="003C2A9F" w:rsidP="00DF1CEB">
            <w:pPr>
              <w:pStyle w:val="Tablesmalltext"/>
              <w:rPr>
                <w:rFonts w:cs="Arial"/>
                <w:sz w:val="36"/>
                <w:szCs w:val="36"/>
              </w:rPr>
            </w:pPr>
          </w:p>
        </w:tc>
      </w:tr>
      <w:tr w:rsidR="003C2A9F" w:rsidRPr="00A87C15" w:rsidTr="00622785">
        <w:tc>
          <w:tcPr>
            <w:tcW w:w="1418" w:type="dxa"/>
          </w:tcPr>
          <w:p w:rsidR="003C2A9F" w:rsidRPr="00622785" w:rsidRDefault="003C2A9F" w:rsidP="00DF1CEB">
            <w:pPr>
              <w:pStyle w:val="Tablesmalltext"/>
              <w:rPr>
                <w:b/>
              </w:rPr>
            </w:pPr>
            <w:r w:rsidRPr="00622785">
              <w:rPr>
                <w:b/>
              </w:rPr>
              <w:t>NSW</w:t>
            </w:r>
          </w:p>
        </w:tc>
        <w:tc>
          <w:tcPr>
            <w:tcW w:w="4252" w:type="dxa"/>
          </w:tcPr>
          <w:p w:rsidR="003C2A9F" w:rsidRPr="003C2A9F" w:rsidRDefault="003C2A9F" w:rsidP="00DF1CEB">
            <w:pPr>
              <w:pStyle w:val="Tablesmalltext"/>
              <w:rPr>
                <w:rFonts w:cs="Arial"/>
                <w:sz w:val="36"/>
                <w:szCs w:val="36"/>
              </w:rPr>
            </w:pPr>
            <w:r w:rsidRPr="003C2A9F">
              <w:rPr>
                <w:rFonts w:cs="Arial"/>
                <w:kern w:val="24"/>
              </w:rPr>
              <w:t xml:space="preserve">Around 90% of capped bores have either stabilised or increased pressure during the period of GABSI (340 bores). </w:t>
            </w:r>
          </w:p>
          <w:p w:rsidR="003C2A9F" w:rsidRPr="003C2A9F" w:rsidRDefault="003C2A9F" w:rsidP="00DF1CEB">
            <w:pPr>
              <w:pStyle w:val="Tablesmalltext"/>
            </w:pPr>
            <w:r w:rsidRPr="003C2A9F">
              <w:rPr>
                <w:rFonts w:cs="Arial"/>
                <w:kern w:val="24"/>
              </w:rPr>
              <w:t>~12 bores have started to reflow in the last year or two. A non-linear increase is expected over the next few years.</w:t>
            </w:r>
          </w:p>
        </w:tc>
        <w:tc>
          <w:tcPr>
            <w:tcW w:w="4252" w:type="dxa"/>
          </w:tcPr>
          <w:p w:rsidR="003C2A9F" w:rsidRDefault="003C2A9F" w:rsidP="00DF1CEB">
            <w:pPr>
              <w:pStyle w:val="Tablesmalltext"/>
              <w:rPr>
                <w:rFonts w:cs="Arial"/>
                <w:kern w:val="24"/>
              </w:rPr>
            </w:pPr>
            <w:r>
              <w:rPr>
                <w:rFonts w:cs="Arial"/>
                <w:kern w:val="24"/>
              </w:rPr>
              <w:t>This information is anecdotal and cannot be tested or verified with existing models or reports. Furthermore the impacts cannot be attributed to the different GABSI phases.</w:t>
            </w:r>
          </w:p>
          <w:p w:rsidR="003C2A9F" w:rsidRPr="003C2A9F" w:rsidRDefault="003C2A9F" w:rsidP="00DF1CEB">
            <w:pPr>
              <w:pStyle w:val="Tablesmalltext"/>
              <w:rPr>
                <w:rFonts w:cs="Arial"/>
                <w:kern w:val="24"/>
              </w:rPr>
            </w:pPr>
            <w:r>
              <w:rPr>
                <w:rFonts w:cs="Arial"/>
                <w:kern w:val="24"/>
              </w:rPr>
              <w:t>Despite these limitations, this data suggests that NSW considers GABSI to have been successful in recovering pressure within its jurisdiction.</w:t>
            </w:r>
          </w:p>
        </w:tc>
      </w:tr>
      <w:tr w:rsidR="003C2A9F" w:rsidRPr="00A87C15" w:rsidTr="00622785">
        <w:tc>
          <w:tcPr>
            <w:tcW w:w="1418" w:type="dxa"/>
          </w:tcPr>
          <w:p w:rsidR="003C2A9F" w:rsidRPr="00622785" w:rsidRDefault="003C2A9F" w:rsidP="00DF1CEB">
            <w:pPr>
              <w:pStyle w:val="Tablesmalltext"/>
              <w:rPr>
                <w:b/>
              </w:rPr>
            </w:pPr>
            <w:r w:rsidRPr="00622785">
              <w:rPr>
                <w:b/>
              </w:rPr>
              <w:t>SA</w:t>
            </w:r>
          </w:p>
        </w:tc>
        <w:tc>
          <w:tcPr>
            <w:tcW w:w="4252" w:type="dxa"/>
          </w:tcPr>
          <w:p w:rsidR="003C2A9F" w:rsidRPr="003C2A9F" w:rsidRDefault="003C2A9F" w:rsidP="00DF1CEB">
            <w:pPr>
              <w:pStyle w:val="Tablesmalltext"/>
              <w:rPr>
                <w:rFonts w:cs="Arial"/>
                <w:kern w:val="24"/>
              </w:rPr>
            </w:pPr>
            <w:r w:rsidRPr="003C2A9F">
              <w:rPr>
                <w:rFonts w:cs="Arial"/>
                <w:kern w:val="24"/>
              </w:rPr>
              <w:t>Pressure recovery (10+kpa) observed at little Blyth bore over 17 month period which can be attributed to decommissioning of Big Blyth bore</w:t>
            </w:r>
            <w:r w:rsidR="00D016A6">
              <w:rPr>
                <w:rFonts w:cs="Arial"/>
                <w:kern w:val="24"/>
              </w:rPr>
              <w:t xml:space="preserve"> </w:t>
            </w:r>
            <w:r w:rsidRPr="003C2A9F">
              <w:rPr>
                <w:rFonts w:cs="Arial"/>
                <w:kern w:val="24"/>
              </w:rPr>
              <w:t>(located 13km away)</w:t>
            </w:r>
          </w:p>
        </w:tc>
        <w:tc>
          <w:tcPr>
            <w:tcW w:w="4252" w:type="dxa"/>
          </w:tcPr>
          <w:p w:rsidR="003C2A9F" w:rsidRDefault="00AF6A59" w:rsidP="00DF1CEB">
            <w:pPr>
              <w:pStyle w:val="Tablesmalltext"/>
              <w:rPr>
                <w:rFonts w:cs="Arial"/>
                <w:kern w:val="24"/>
              </w:rPr>
            </w:pPr>
            <w:r>
              <w:rPr>
                <w:rFonts w:cs="Arial"/>
                <w:kern w:val="24"/>
              </w:rPr>
              <w:t xml:space="preserve">This information is based on bore monitoring and is therefore </w:t>
            </w:r>
            <w:r w:rsidR="00BF450B">
              <w:rPr>
                <w:rFonts w:cs="Arial"/>
                <w:kern w:val="24"/>
              </w:rPr>
              <w:t>robust</w:t>
            </w:r>
            <w:r>
              <w:rPr>
                <w:rFonts w:cs="Arial"/>
                <w:kern w:val="24"/>
              </w:rPr>
              <w:t xml:space="preserve">. However, the results are only for one bore and cannot be extrapolated across the GAB or across GABSI phases. </w:t>
            </w:r>
          </w:p>
        </w:tc>
      </w:tr>
    </w:tbl>
    <w:p w:rsidR="008A03C0" w:rsidRPr="00A32E4F" w:rsidRDefault="008A03C0" w:rsidP="008A03C0">
      <w:pPr>
        <w:pStyle w:val="Para0"/>
      </w:pPr>
      <w:bookmarkStart w:id="35" w:name="_Toc371920338"/>
      <w:r w:rsidRPr="00A32E4F">
        <w:t>Given the limitations of quantifying the direct consumptive benefits from pressure recovery, these impacts</w:t>
      </w:r>
      <w:r>
        <w:t xml:space="preserve"> </w:t>
      </w:r>
      <w:r w:rsidRPr="00A32E4F">
        <w:t>have been considered further as part of a break-even assessment in</w:t>
      </w:r>
      <w:r>
        <w:t xml:space="preserve"> Section </w:t>
      </w:r>
      <w:r w:rsidR="006768F1" w:rsidRPr="00622785">
        <w:fldChar w:fldCharType="begin"/>
      </w:r>
      <w:r>
        <w:instrText xml:space="preserve"> REF _Ref373484495 \r \h </w:instrText>
      </w:r>
      <w:r w:rsidR="006768F1" w:rsidRPr="00622785">
        <w:fldChar w:fldCharType="separate"/>
      </w:r>
      <w:r w:rsidR="00516D07">
        <w:t>6.2</w:t>
      </w:r>
      <w:r w:rsidR="006768F1" w:rsidRPr="00622785">
        <w:fldChar w:fldCharType="end"/>
      </w:r>
      <w:r>
        <w:t xml:space="preserve">. </w:t>
      </w:r>
      <w:r w:rsidRPr="00A32E4F">
        <w:t>The break even assessment provides more detail about the pressure recover</w:t>
      </w:r>
      <w:r>
        <w:t>y</w:t>
      </w:r>
      <w:r w:rsidRPr="00A32E4F">
        <w:t xml:space="preserve"> that is needed for the program benefits to at least equal the costs. </w:t>
      </w:r>
    </w:p>
    <w:p w:rsidR="003001DF" w:rsidRDefault="003001DF">
      <w:pPr>
        <w:spacing w:after="0" w:line="240" w:lineRule="auto"/>
        <w:rPr>
          <w:rFonts w:ascii="Arial Narrow" w:eastAsiaTheme="majorEastAsia" w:hAnsi="Arial Narrow" w:cstheme="majorBidi"/>
          <w:b/>
          <w:bCs/>
          <w:color w:val="42145F"/>
          <w:sz w:val="24"/>
          <w:szCs w:val="26"/>
        </w:rPr>
      </w:pPr>
      <w:bookmarkStart w:id="36" w:name="_Toc373405144"/>
      <w:bookmarkEnd w:id="35"/>
      <w:r>
        <w:br w:type="page"/>
      </w:r>
    </w:p>
    <w:p w:rsidR="008A03C0" w:rsidRPr="00863E1E" w:rsidRDefault="008A03C0" w:rsidP="008A03C0">
      <w:pPr>
        <w:pStyle w:val="Heading2"/>
      </w:pPr>
      <w:bookmarkStart w:id="37" w:name="_Toc378163305"/>
      <w:r w:rsidRPr="00863E1E">
        <w:t>Non-consumptive benefits</w:t>
      </w:r>
      <w:bookmarkEnd w:id="36"/>
      <w:bookmarkEnd w:id="37"/>
    </w:p>
    <w:p w:rsidR="00201770" w:rsidRPr="00863E1E" w:rsidRDefault="00201770" w:rsidP="00201770">
      <w:pPr>
        <w:pStyle w:val="Para0"/>
      </w:pPr>
      <w:r w:rsidRPr="00863E1E">
        <w:t>Non-consumptive benefits relate to improved recreational, tourism, heritage, and amenity. They also include improved pest and weed control to private and public landowners.</w:t>
      </w:r>
    </w:p>
    <w:p w:rsidR="000B5AAB" w:rsidRPr="00863E1E" w:rsidRDefault="00E07B1D" w:rsidP="000B5AAB">
      <w:pPr>
        <w:pStyle w:val="Heading3"/>
      </w:pPr>
      <w:r w:rsidRPr="00863E1E">
        <w:t xml:space="preserve">Direct private landholder </w:t>
      </w:r>
      <w:r w:rsidR="008D73BA" w:rsidRPr="00863E1E">
        <w:t>benefits</w:t>
      </w:r>
    </w:p>
    <w:p w:rsidR="008D73BA" w:rsidRPr="00863E1E" w:rsidRDefault="008D73BA" w:rsidP="008D73BA">
      <w:pPr>
        <w:pStyle w:val="subhead"/>
      </w:pPr>
      <w:r w:rsidRPr="00863E1E">
        <w:t>Method</w:t>
      </w:r>
    </w:p>
    <w:p w:rsidR="008D73BA" w:rsidRPr="00863E1E" w:rsidRDefault="008D73BA" w:rsidP="008D73BA">
      <w:pPr>
        <w:pStyle w:val="Para0"/>
      </w:pPr>
      <w:r w:rsidRPr="00863E1E">
        <w:t>The purpose of this assessment is to better understand the VfM for government</w:t>
      </w:r>
      <w:r w:rsidR="00841EB7">
        <w:t xml:space="preserve"> investment</w:t>
      </w:r>
      <w:r w:rsidRPr="00863E1E">
        <w:t xml:space="preserve">, so </w:t>
      </w:r>
      <w:r w:rsidR="00841EB7">
        <w:t xml:space="preserve">assessing the VfM of </w:t>
      </w:r>
      <w:r w:rsidRPr="00863E1E">
        <w:t xml:space="preserve">private landholder </w:t>
      </w:r>
      <w:r w:rsidR="00841EB7">
        <w:t>investment was</w:t>
      </w:r>
      <w:r w:rsidRPr="00863E1E">
        <w:t xml:space="preserve"> agreed </w:t>
      </w:r>
      <w:r w:rsidR="00067A6F">
        <w:t>to be</w:t>
      </w:r>
      <w:r w:rsidRPr="00863E1E">
        <w:t xml:space="preserve"> out of scope. Furthermore, it is generally assumed that the benefit to landowners must at least equal their financial contribution to the GABSI program. This includes up-front investment</w:t>
      </w:r>
      <w:r w:rsidR="00841EB7">
        <w:t>, both in dollars and in-kind</w:t>
      </w:r>
      <w:r w:rsidRPr="00863E1E">
        <w:t xml:space="preserve"> and any ongoing maintenance costs. </w:t>
      </w:r>
      <w:r w:rsidR="007B5D45">
        <w:t>Participation in the program is voluntary</w:t>
      </w:r>
      <w:r w:rsidR="00622785">
        <w:t>,</w:t>
      </w:r>
      <w:r w:rsidR="007B5D45">
        <w:t xml:space="preserve"> so landholders must have some certainty in </w:t>
      </w:r>
      <w:r w:rsidR="00622785">
        <w:t xml:space="preserve">the </w:t>
      </w:r>
      <w:r w:rsidR="007B5D45">
        <w:t xml:space="preserve">direct benefits </w:t>
      </w:r>
      <w:r w:rsidR="00622785">
        <w:t xml:space="preserve">they will receive </w:t>
      </w:r>
      <w:r w:rsidR="007B5D45">
        <w:t>or they would not participate.</w:t>
      </w:r>
    </w:p>
    <w:p w:rsidR="000B5AAB" w:rsidRPr="00863E1E" w:rsidRDefault="000B5AAB" w:rsidP="000B5AAB">
      <w:pPr>
        <w:pStyle w:val="Para0"/>
      </w:pPr>
      <w:r w:rsidRPr="00863E1E">
        <w:t>The GABSI program involves bore rehabilitation and bore drain replacement on private property, leading to direct benefits to the landowner</w:t>
      </w:r>
      <w:r w:rsidRPr="00863E1E">
        <w:rPr>
          <w:rStyle w:val="FootnoteReference"/>
        </w:rPr>
        <w:footnoteReference w:id="14"/>
      </w:r>
      <w:r w:rsidRPr="00863E1E">
        <w:t xml:space="preserve"> :</w:t>
      </w:r>
    </w:p>
    <w:p w:rsidR="000B5AAB" w:rsidRPr="00863E1E" w:rsidRDefault="000B5AAB" w:rsidP="000B5AAB">
      <w:pPr>
        <w:pStyle w:val="Para0bullet"/>
        <w:tabs>
          <w:tab w:val="clear" w:pos="851"/>
          <w:tab w:val="left" w:pos="426"/>
        </w:tabs>
        <w:ind w:left="426" w:hanging="426"/>
      </w:pPr>
      <w:r w:rsidRPr="00863E1E">
        <w:t>Improved utilisation of productive land (better reach and/or less evaporation)</w:t>
      </w:r>
    </w:p>
    <w:p w:rsidR="000B5AAB" w:rsidRPr="00863E1E" w:rsidRDefault="000B5AAB" w:rsidP="000B5AAB">
      <w:pPr>
        <w:pStyle w:val="Para0bullet"/>
        <w:tabs>
          <w:tab w:val="clear" w:pos="851"/>
          <w:tab w:val="left" w:pos="426"/>
        </w:tabs>
        <w:ind w:left="426" w:hanging="426"/>
      </w:pPr>
      <w:r w:rsidRPr="00863E1E">
        <w:t>Extended life of bores</w:t>
      </w:r>
    </w:p>
    <w:p w:rsidR="000B5AAB" w:rsidRPr="00863E1E" w:rsidRDefault="000B5AAB" w:rsidP="000B5AAB">
      <w:pPr>
        <w:pStyle w:val="Para0bullet"/>
        <w:tabs>
          <w:tab w:val="clear" w:pos="851"/>
          <w:tab w:val="left" w:pos="426"/>
        </w:tabs>
        <w:ind w:left="426" w:hanging="426"/>
      </w:pPr>
      <w:r w:rsidRPr="00863E1E">
        <w:t>Reduced on farm maintenance/monitoring costs (eg of cleaning drains)</w:t>
      </w:r>
    </w:p>
    <w:p w:rsidR="000B5AAB" w:rsidRPr="00863E1E" w:rsidRDefault="000B5AAB" w:rsidP="000B5AAB">
      <w:pPr>
        <w:pStyle w:val="Para0bullet"/>
        <w:tabs>
          <w:tab w:val="clear" w:pos="851"/>
          <w:tab w:val="left" w:pos="426"/>
        </w:tabs>
        <w:ind w:left="426" w:hanging="426"/>
      </w:pPr>
      <w:r w:rsidRPr="00863E1E">
        <w:t>Restoration of native vegetation</w:t>
      </w:r>
    </w:p>
    <w:p w:rsidR="000B5AAB" w:rsidRPr="00863E1E" w:rsidRDefault="000B5AAB" w:rsidP="000B5AAB">
      <w:pPr>
        <w:pStyle w:val="Para0bullet"/>
        <w:tabs>
          <w:tab w:val="clear" w:pos="851"/>
          <w:tab w:val="left" w:pos="426"/>
        </w:tabs>
        <w:ind w:left="426" w:hanging="426"/>
      </w:pPr>
      <w:r w:rsidRPr="00863E1E">
        <w:t>Improved water quality – relative to when it flows through open drains</w:t>
      </w:r>
    </w:p>
    <w:p w:rsidR="000B5AAB" w:rsidRPr="00863E1E" w:rsidRDefault="000B5AAB" w:rsidP="000B5AAB">
      <w:pPr>
        <w:pStyle w:val="Para0bullet"/>
        <w:tabs>
          <w:tab w:val="clear" w:pos="851"/>
          <w:tab w:val="left" w:pos="426"/>
        </w:tabs>
        <w:ind w:left="426" w:hanging="426"/>
      </w:pPr>
      <w:r w:rsidRPr="00863E1E">
        <w:t>Improved safety and health of stock during drought (stock weakened by drought are more likely to collapse or bog in drains)</w:t>
      </w:r>
    </w:p>
    <w:p w:rsidR="000B5AAB" w:rsidRPr="00863E1E" w:rsidRDefault="008D73BA" w:rsidP="000B5AAB">
      <w:pPr>
        <w:pStyle w:val="Para0bullet"/>
        <w:tabs>
          <w:tab w:val="clear" w:pos="851"/>
          <w:tab w:val="left" w:pos="426"/>
        </w:tabs>
        <w:ind w:left="426" w:hanging="426"/>
      </w:pPr>
      <w:r w:rsidRPr="00863E1E">
        <w:t>Reduced mustering time- s</w:t>
      </w:r>
      <w:r w:rsidR="000B5AAB" w:rsidRPr="00863E1E">
        <w:t>tock traps can be installed at water points so that stock can self-muster</w:t>
      </w:r>
    </w:p>
    <w:p w:rsidR="000B5AAB" w:rsidRPr="00863E1E" w:rsidRDefault="000B5AAB" w:rsidP="000B5AAB">
      <w:pPr>
        <w:pStyle w:val="Para0bullet"/>
        <w:tabs>
          <w:tab w:val="clear" w:pos="851"/>
          <w:tab w:val="left" w:pos="426"/>
        </w:tabs>
        <w:ind w:left="426" w:hanging="426"/>
      </w:pPr>
      <w:r w:rsidRPr="00863E1E">
        <w:t>Improved (or lower cost of) local pest and weed control on private property</w:t>
      </w:r>
    </w:p>
    <w:p w:rsidR="000B5AAB" w:rsidRPr="00863E1E" w:rsidRDefault="000B5AAB" w:rsidP="000B5AAB">
      <w:pPr>
        <w:pStyle w:val="Para0bullet"/>
        <w:tabs>
          <w:tab w:val="clear" w:pos="851"/>
          <w:tab w:val="left" w:pos="426"/>
        </w:tabs>
        <w:ind w:left="426" w:hanging="426"/>
      </w:pPr>
      <w:r w:rsidRPr="00863E1E">
        <w:t>Improved pressure and clean water at homestead</w:t>
      </w:r>
    </w:p>
    <w:p w:rsidR="008D73BA" w:rsidRPr="00863E1E" w:rsidRDefault="008D73BA" w:rsidP="008D73BA">
      <w:pPr>
        <w:pStyle w:val="subhead"/>
      </w:pPr>
      <w:r w:rsidRPr="00863E1E">
        <w:t>Metrics</w:t>
      </w:r>
      <w:r w:rsidR="00622785">
        <w:t xml:space="preserve"> </w:t>
      </w:r>
    </w:p>
    <w:p w:rsidR="004A7728" w:rsidRPr="00863E1E" w:rsidRDefault="008D73BA" w:rsidP="004A7728">
      <w:pPr>
        <w:pStyle w:val="Para0"/>
      </w:pPr>
      <w:r w:rsidRPr="00863E1E">
        <w:t xml:space="preserve">While metrics could be developed for the benefits listed above, </w:t>
      </w:r>
      <w:r w:rsidR="004A7728" w:rsidRPr="00863E1E">
        <w:t xml:space="preserve">landowner benefits have not been included in the quantified economic value. If they were to be included, the benefit would be valued based on the assumption that landowners’ financial contribution to the scheme must at least equal any associated direct benefit. </w:t>
      </w:r>
    </w:p>
    <w:p w:rsidR="004A7728" w:rsidRPr="00863E1E" w:rsidRDefault="004A7728" w:rsidP="004A7728">
      <w:pPr>
        <w:pStyle w:val="Para0"/>
      </w:pPr>
      <w:r w:rsidRPr="00863E1E">
        <w:t xml:space="preserve">The assumption that landholder costs equal landholders benefits is considered to be a conservative estimate given that </w:t>
      </w:r>
      <w:r w:rsidR="00841EB7">
        <w:t>the scheme is voluntary and so</w:t>
      </w:r>
      <w:r w:rsidRPr="00863E1E">
        <w:t xml:space="preserve"> landowners would not choose to participate in the program if </w:t>
      </w:r>
      <w:r w:rsidR="00841EB7">
        <w:t>they did not consider that</w:t>
      </w:r>
      <w:r w:rsidRPr="00863E1E">
        <w:t xml:space="preserve"> the benefits did not outweigh their financial contribution. For example, a study by the Centre of International Economic (CIE 2003) surveyed 19 farms, and the average benefit cost ratio</w:t>
      </w:r>
      <w:r w:rsidR="00A66CD0" w:rsidRPr="00863E1E">
        <w:t xml:space="preserve"> (BCR)</w:t>
      </w:r>
      <w:r w:rsidRPr="00863E1E">
        <w:t xml:space="preserve"> for landowners was 2.6 – meaning 2.6 dollars of benefit to one dollar of private expenditure. Another survey undertaken by NSW Office of Water (Hill et al 2010) of nine NSW landholders estimated benefit cost ratios to landholders ranging from 0.4 to 7.2, suggesting that on average, landholders receive benefits that exceed the costs.</w:t>
      </w:r>
      <w:r w:rsidR="00D016A6">
        <w:t xml:space="preserve"> </w:t>
      </w:r>
      <w:r w:rsidRPr="00863E1E">
        <w:t xml:space="preserve"> </w:t>
      </w:r>
    </w:p>
    <w:p w:rsidR="004A7728" w:rsidRDefault="00A66CD0" w:rsidP="008D73BA">
      <w:pPr>
        <w:pStyle w:val="Para0"/>
      </w:pPr>
      <w:r w:rsidRPr="00863E1E">
        <w:t xml:space="preserve">If direct landowners are to be captured, in the TEV of the program, the </w:t>
      </w:r>
      <w:r w:rsidR="004A7728" w:rsidRPr="00863E1E">
        <w:t>following equation could be applied:</w:t>
      </w:r>
    </w:p>
    <w:p w:rsidR="004A7728" w:rsidRPr="00863E1E" w:rsidRDefault="00C91B94" w:rsidP="00C91B94">
      <w:pPr>
        <w:pStyle w:val="Para0"/>
        <w:pBdr>
          <w:top w:val="single" w:sz="4" w:space="1" w:color="009DD1" w:themeColor="accent5"/>
          <w:left w:val="single" w:sz="4" w:space="4" w:color="009DD1" w:themeColor="accent5"/>
          <w:bottom w:val="single" w:sz="4" w:space="1" w:color="009DD1" w:themeColor="accent5"/>
          <w:right w:val="single" w:sz="4" w:space="4" w:color="009DD1" w:themeColor="accent5"/>
        </w:pBdr>
      </w:pPr>
      <m:oMathPara>
        <m:oMath>
          <m:r>
            <m:rPr>
              <m:sty m:val="bi"/>
            </m:rPr>
            <w:rPr>
              <w:rFonts w:ascii="Cambria Math" w:hAnsi="Cambria Math"/>
              <w:color w:val="366295" w:themeColor="accent6" w:themeShade="BF"/>
              <w:kern w:val="24"/>
            </w:rPr>
            <m:t>Non consumptive landowner benefits</m:t>
          </m:r>
          <m:r>
            <m:rPr>
              <m:sty m:val="p"/>
            </m:rPr>
            <w:rPr>
              <w:rFonts w:ascii="Cambria Math" w:eastAsia="Cambria Math" w:hAnsi="Cambria Math" w:cs="Cambria Math"/>
              <w:color w:val="366295" w:themeColor="accent6" w:themeShade="BF"/>
              <w:kern w:val="24"/>
            </w:rPr>
            <m:t>=</m:t>
          </m:r>
          <m:r>
            <m:rPr>
              <m:sty m:val="bi"/>
            </m:rPr>
            <w:rPr>
              <w:rFonts w:ascii="Cambria Math" w:eastAsia="Cambria Math" w:hAnsi="Cambria Math" w:cs="Cambria Math"/>
              <w:color w:val="366295" w:themeColor="accent6" w:themeShade="BF"/>
              <w:kern w:val="24"/>
            </w:rPr>
            <m:t>PV</m:t>
          </m:r>
          <m:r>
            <m:rPr>
              <m:sty m:val="p"/>
            </m:rPr>
            <w:rPr>
              <w:rFonts w:ascii="Cambria Math" w:eastAsia="Cambria Math" w:hAnsi="Cambria Math" w:cs="Cambria Math"/>
              <w:color w:val="366295" w:themeColor="accent6" w:themeShade="BF"/>
              <w:kern w:val="24"/>
            </w:rPr>
            <m:t>(</m:t>
          </m:r>
          <m:nary>
            <m:naryPr>
              <m:chr m:val="∑"/>
              <m:grow m:val="on"/>
              <m:ctrlPr>
                <w:rPr>
                  <w:rFonts w:ascii="Cambria Math" w:hAnsi="Cambria Math"/>
                  <w:i/>
                  <w:iCs/>
                  <w:color w:val="366295" w:themeColor="accent6" w:themeShade="BF"/>
                  <w:kern w:val="24"/>
                </w:rPr>
              </m:ctrlPr>
            </m:naryPr>
            <m:sub>
              <m:r>
                <m:rPr>
                  <m:sty m:val="bi"/>
                </m:rPr>
                <w:rPr>
                  <w:rFonts w:ascii="Cambria Math" w:eastAsia="Cambria Math" w:hAnsi="Cambria Math" w:cs="Cambria Math"/>
                  <w:color w:val="366295" w:themeColor="accent6" w:themeShade="BF"/>
                  <w:kern w:val="24"/>
                </w:rPr>
                <m:t>y</m:t>
              </m:r>
              <m:r>
                <m:rPr>
                  <m:sty m:val="p"/>
                </m:rPr>
                <w:rPr>
                  <w:rFonts w:ascii="Cambria Math" w:eastAsia="Cambria Math" w:hAnsi="Cambria Math" w:cs="Cambria Math"/>
                  <w:color w:val="366295" w:themeColor="accent6" w:themeShade="BF"/>
                  <w:kern w:val="24"/>
                </w:rPr>
                <m:t>=</m:t>
              </m:r>
              <m:r>
                <m:rPr>
                  <m:sty m:val="b"/>
                </m:rPr>
                <w:rPr>
                  <w:rFonts w:ascii="Cambria Math" w:eastAsia="Cambria Math" w:hAnsi="Cambria Math" w:cs="Cambria Math"/>
                  <w:color w:val="366295" w:themeColor="accent6" w:themeShade="BF"/>
                  <w:kern w:val="24"/>
                </w:rPr>
                <m:t>1999</m:t>
              </m:r>
            </m:sub>
            <m:sup>
              <m:r>
                <m:rPr>
                  <m:sty m:val="bi"/>
                </m:rPr>
                <w:rPr>
                  <w:rFonts w:ascii="Cambria Math" w:eastAsia="Cambria Math" w:hAnsi="Cambria Math" w:cs="Cambria Math"/>
                  <w:color w:val="366295" w:themeColor="accent6" w:themeShade="BF"/>
                  <w:kern w:val="24"/>
                </w:rPr>
                <m:t>y</m:t>
              </m:r>
              <m:r>
                <m:rPr>
                  <m:sty m:val="p"/>
                </m:rPr>
                <w:rPr>
                  <w:rFonts w:ascii="Cambria Math" w:eastAsia="Cambria Math" w:hAnsi="Cambria Math" w:cs="Cambria Math"/>
                  <w:color w:val="366295" w:themeColor="accent6" w:themeShade="BF"/>
                  <w:kern w:val="24"/>
                </w:rPr>
                <m:t>=</m:t>
              </m:r>
              <m:r>
                <m:rPr>
                  <m:sty m:val="b"/>
                </m:rPr>
                <w:rPr>
                  <w:rFonts w:ascii="Cambria Math" w:eastAsia="Cambria Math" w:hAnsi="Cambria Math" w:cs="Cambria Math"/>
                  <w:color w:val="366295" w:themeColor="accent6" w:themeShade="BF"/>
                  <w:kern w:val="24"/>
                </w:rPr>
                <m:t>2043</m:t>
              </m:r>
            </m:sup>
            <m:e>
              <m:r>
                <m:rPr>
                  <m:sty m:val="p"/>
                </m:rPr>
                <w:rPr>
                  <w:rFonts w:ascii="Cambria Math" w:hAnsi="Cambria Math"/>
                  <w:color w:val="366295" w:themeColor="accent6" w:themeShade="BF"/>
                  <w:kern w:val="24"/>
                </w:rPr>
                <m:t xml:space="preserve">( </m:t>
              </m:r>
              <m:r>
                <m:rPr>
                  <m:sty m:val="bi"/>
                </m:rPr>
                <w:rPr>
                  <w:rFonts w:ascii="Cambria Math" w:hAnsi="Cambria Math"/>
                  <w:color w:val="366295" w:themeColor="accent6" w:themeShade="BF"/>
                  <w:kern w:val="24"/>
                </w:rPr>
                <m:t>landowner controbution</m:t>
              </m:r>
              <m:d>
                <m:dPr>
                  <m:ctrlPr>
                    <w:rPr>
                      <w:rFonts w:ascii="Cambria Math" w:hAnsi="Cambria Math"/>
                      <w:b/>
                      <w:bCs/>
                      <w:i/>
                      <w:iCs/>
                      <w:color w:val="366295" w:themeColor="accent6" w:themeShade="BF"/>
                      <w:kern w:val="24"/>
                    </w:rPr>
                  </m:ctrlPr>
                </m:dPr>
                <m:e>
                  <m:r>
                    <m:rPr>
                      <m:sty m:val="bi"/>
                    </m:rPr>
                    <w:rPr>
                      <w:rFonts w:ascii="Cambria Math" w:hAnsi="Cambria Math"/>
                      <w:color w:val="366295" w:themeColor="accent6" w:themeShade="BF"/>
                      <w:kern w:val="24"/>
                    </w:rPr>
                    <m:t>$</m:t>
                  </m:r>
                </m:e>
              </m:d>
              <m:r>
                <w:rPr>
                  <w:rFonts w:ascii="Cambria Math" w:eastAsia="Cambria Math" w:hAnsi="Cambria Math" w:cs="Cambria Math"/>
                  <w:color w:val="366295" w:themeColor="accent6" w:themeShade="BF"/>
                  <w:kern w:val="24"/>
                </w:rPr>
                <m:t>×BCR Factor</m:t>
              </m:r>
            </m:e>
          </m:nary>
        </m:oMath>
      </m:oMathPara>
    </w:p>
    <w:p w:rsidR="004A7728" w:rsidRPr="00863E1E" w:rsidRDefault="004A7728" w:rsidP="004A7728">
      <w:pPr>
        <w:pStyle w:val="Para0"/>
      </w:pPr>
      <w:r w:rsidRPr="00863E1E">
        <w:t>A summary of the metrics used for each phase is provided in the following table</w:t>
      </w:r>
      <w:r w:rsidR="0068200D">
        <w:rPr>
          <w:rStyle w:val="FootnoteReference"/>
        </w:rPr>
        <w:footnoteReference w:id="15"/>
      </w:r>
      <w:r w:rsidRPr="00863E1E">
        <w:t>.</w:t>
      </w:r>
    </w:p>
    <w:p w:rsidR="00F843FC" w:rsidRDefault="00F843FC" w:rsidP="00F843FC">
      <w:pPr>
        <w:pStyle w:val="Caption"/>
      </w:pPr>
      <w:r>
        <w:t xml:space="preserve">Table </w:t>
      </w:r>
      <w:r w:rsidR="006768F1">
        <w:fldChar w:fldCharType="begin"/>
      </w:r>
      <w:r>
        <w:instrText xml:space="preserve"> SEQ Table \* ARABIC </w:instrText>
      </w:r>
      <w:r w:rsidR="006768F1">
        <w:fldChar w:fldCharType="separate"/>
      </w:r>
      <w:r w:rsidR="00516D07">
        <w:rPr>
          <w:noProof/>
        </w:rPr>
        <w:t>12</w:t>
      </w:r>
      <w:r w:rsidR="006768F1">
        <w:fldChar w:fldCharType="end"/>
      </w:r>
      <w:r>
        <w:t xml:space="preserve">: </w:t>
      </w:r>
      <w:r w:rsidR="00B72CD0">
        <w:t>Landowner contributions</w:t>
      </w:r>
    </w:p>
    <w:tbl>
      <w:tblPr>
        <w:tblW w:w="496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841"/>
        <w:gridCol w:w="1135"/>
        <w:gridCol w:w="1277"/>
        <w:gridCol w:w="1558"/>
        <w:gridCol w:w="1560"/>
        <w:gridCol w:w="2652"/>
      </w:tblGrid>
      <w:tr w:rsidR="00F669FB" w:rsidRPr="00863E1E" w:rsidTr="00F843FC">
        <w:trPr>
          <w:cantSplit/>
          <w:tblHeader/>
        </w:trPr>
        <w:tc>
          <w:tcPr>
            <w:tcW w:w="918" w:type="pct"/>
            <w:shd w:val="clear" w:color="auto" w:fill="5185C0"/>
          </w:tcPr>
          <w:p w:rsidR="004A7728" w:rsidRPr="00863E1E" w:rsidRDefault="004A7728" w:rsidP="000D47D8">
            <w:pPr>
              <w:pStyle w:val="Tablesmallheading"/>
            </w:pPr>
            <w:r w:rsidRPr="00863E1E">
              <w:t xml:space="preserve">Metric </w:t>
            </w:r>
            <w:r w:rsidR="000D47D8">
              <w:t>d</w:t>
            </w:r>
            <w:r w:rsidRPr="00863E1E">
              <w:t xml:space="preserve">escription </w:t>
            </w:r>
          </w:p>
        </w:tc>
        <w:tc>
          <w:tcPr>
            <w:tcW w:w="566" w:type="pct"/>
            <w:shd w:val="clear" w:color="auto" w:fill="5185C0"/>
            <w:vAlign w:val="center"/>
          </w:tcPr>
          <w:p w:rsidR="004A7728" w:rsidRPr="00863E1E" w:rsidRDefault="004A7728" w:rsidP="00E17A62">
            <w:pPr>
              <w:pStyle w:val="Tablesmallheading"/>
              <w:jc w:val="center"/>
            </w:pPr>
            <w:r w:rsidRPr="00863E1E">
              <w:t>GABSI Phase 1</w:t>
            </w:r>
          </w:p>
        </w:tc>
        <w:tc>
          <w:tcPr>
            <w:tcW w:w="637" w:type="pct"/>
            <w:shd w:val="clear" w:color="auto" w:fill="5185C0"/>
            <w:vAlign w:val="center"/>
          </w:tcPr>
          <w:p w:rsidR="004A7728" w:rsidRPr="00863E1E" w:rsidRDefault="004A7728" w:rsidP="00E17A62">
            <w:pPr>
              <w:pStyle w:val="Tablesmallheading"/>
              <w:jc w:val="center"/>
            </w:pPr>
            <w:r w:rsidRPr="00863E1E">
              <w:t>GABSI Phase 2</w:t>
            </w:r>
          </w:p>
        </w:tc>
        <w:tc>
          <w:tcPr>
            <w:tcW w:w="777" w:type="pct"/>
            <w:shd w:val="clear" w:color="auto" w:fill="5185C0"/>
            <w:vAlign w:val="center"/>
          </w:tcPr>
          <w:p w:rsidR="004A7728" w:rsidRPr="00863E1E" w:rsidRDefault="004A7728" w:rsidP="00E17A62">
            <w:pPr>
              <w:pStyle w:val="Tablesmallheading"/>
              <w:jc w:val="center"/>
            </w:pPr>
            <w:r w:rsidRPr="00863E1E">
              <w:t>GABSI Phase 3 (to June 2013)</w:t>
            </w:r>
          </w:p>
        </w:tc>
        <w:tc>
          <w:tcPr>
            <w:tcW w:w="778" w:type="pct"/>
            <w:shd w:val="clear" w:color="auto" w:fill="5185C0"/>
            <w:vAlign w:val="center"/>
          </w:tcPr>
          <w:p w:rsidR="004A7728" w:rsidRPr="00863E1E" w:rsidRDefault="004A7728" w:rsidP="00E17A62">
            <w:pPr>
              <w:pStyle w:val="Tablesmallheading"/>
              <w:jc w:val="center"/>
            </w:pPr>
            <w:r w:rsidRPr="00863E1E">
              <w:t>GABSI Phase 3 (to June 2014)</w:t>
            </w:r>
          </w:p>
        </w:tc>
        <w:tc>
          <w:tcPr>
            <w:tcW w:w="1323" w:type="pct"/>
            <w:shd w:val="clear" w:color="auto" w:fill="5185C0"/>
          </w:tcPr>
          <w:p w:rsidR="004A7728" w:rsidRPr="00863E1E" w:rsidRDefault="004A7728" w:rsidP="00CD72A5">
            <w:pPr>
              <w:pStyle w:val="Tablesmallheading"/>
            </w:pPr>
            <w:r w:rsidRPr="00863E1E">
              <w:t xml:space="preserve">Comment </w:t>
            </w:r>
          </w:p>
        </w:tc>
      </w:tr>
      <w:tr w:rsidR="0029164D" w:rsidRPr="00863E1E" w:rsidTr="00F843FC">
        <w:tc>
          <w:tcPr>
            <w:tcW w:w="918" w:type="pct"/>
          </w:tcPr>
          <w:p w:rsidR="0029164D" w:rsidRPr="00D93708" w:rsidRDefault="0029164D" w:rsidP="00537081">
            <w:pPr>
              <w:pStyle w:val="Tablesmalltext"/>
            </w:pPr>
            <w:r w:rsidRPr="00D93708">
              <w:t>$ landowner contribution (TOTAL - $2013 real)</w:t>
            </w:r>
          </w:p>
        </w:tc>
        <w:tc>
          <w:tcPr>
            <w:tcW w:w="566" w:type="pct"/>
            <w:vAlign w:val="center"/>
          </w:tcPr>
          <w:p w:rsidR="0029164D" w:rsidRDefault="0029164D" w:rsidP="0029164D">
            <w:pPr>
              <w:pStyle w:val="Tablesmalltext"/>
              <w:jc w:val="center"/>
            </w:pPr>
            <w:r>
              <w:t>$36.13</w:t>
            </w:r>
          </w:p>
        </w:tc>
        <w:tc>
          <w:tcPr>
            <w:tcW w:w="637" w:type="pct"/>
            <w:vAlign w:val="center"/>
          </w:tcPr>
          <w:p w:rsidR="0029164D" w:rsidRDefault="0029164D" w:rsidP="0029164D">
            <w:pPr>
              <w:pStyle w:val="Tablesmalltext"/>
              <w:jc w:val="center"/>
            </w:pPr>
            <w:r>
              <w:t>$45.36</w:t>
            </w:r>
          </w:p>
        </w:tc>
        <w:tc>
          <w:tcPr>
            <w:tcW w:w="777" w:type="pct"/>
            <w:vAlign w:val="center"/>
          </w:tcPr>
          <w:p w:rsidR="0029164D" w:rsidRDefault="0029164D" w:rsidP="0029164D">
            <w:pPr>
              <w:pStyle w:val="Tablesmalltext"/>
              <w:jc w:val="center"/>
            </w:pPr>
            <w:r>
              <w:t>$31.70</w:t>
            </w:r>
          </w:p>
        </w:tc>
        <w:tc>
          <w:tcPr>
            <w:tcW w:w="778" w:type="pct"/>
            <w:vAlign w:val="center"/>
          </w:tcPr>
          <w:p w:rsidR="0029164D" w:rsidRDefault="0029164D" w:rsidP="0029164D">
            <w:pPr>
              <w:pStyle w:val="Tablesmalltext"/>
              <w:jc w:val="center"/>
            </w:pPr>
            <w:r>
              <w:t>$16.64</w:t>
            </w:r>
          </w:p>
        </w:tc>
        <w:tc>
          <w:tcPr>
            <w:tcW w:w="1323" w:type="pct"/>
            <w:vMerge w:val="restart"/>
            <w:vAlign w:val="center"/>
          </w:tcPr>
          <w:p w:rsidR="0029164D" w:rsidRPr="00863E1E" w:rsidRDefault="0029164D" w:rsidP="00537081">
            <w:pPr>
              <w:pStyle w:val="Tablesmalltext"/>
            </w:pPr>
            <w:r w:rsidRPr="00863E1E">
              <w:t>Based on estimated contributions provided by each jurisdiction</w:t>
            </w:r>
            <w:r>
              <w:t>.</w:t>
            </w:r>
          </w:p>
        </w:tc>
      </w:tr>
      <w:tr w:rsidR="0068200D" w:rsidRPr="00863E1E" w:rsidTr="00F843FC">
        <w:tc>
          <w:tcPr>
            <w:tcW w:w="918" w:type="pct"/>
          </w:tcPr>
          <w:p w:rsidR="0068200D" w:rsidRPr="00D93708" w:rsidRDefault="0068200D" w:rsidP="00537081">
            <w:pPr>
              <w:pStyle w:val="Tablesmalltext"/>
            </w:pPr>
            <w:r w:rsidRPr="00D93708">
              <w:t>Qld</w:t>
            </w:r>
          </w:p>
        </w:tc>
        <w:tc>
          <w:tcPr>
            <w:tcW w:w="566" w:type="pct"/>
            <w:vAlign w:val="center"/>
          </w:tcPr>
          <w:p w:rsidR="0068200D" w:rsidRPr="00D93708" w:rsidRDefault="0068200D" w:rsidP="00E17A62">
            <w:pPr>
              <w:pStyle w:val="Tablesmalltext"/>
              <w:jc w:val="center"/>
            </w:pPr>
            <w:r w:rsidRPr="00D93708">
              <w:t>$ 12.73 m</w:t>
            </w:r>
          </w:p>
        </w:tc>
        <w:tc>
          <w:tcPr>
            <w:tcW w:w="637" w:type="pct"/>
            <w:vAlign w:val="center"/>
          </w:tcPr>
          <w:p w:rsidR="0068200D" w:rsidRPr="00D93708" w:rsidRDefault="0068200D" w:rsidP="00E17A62">
            <w:pPr>
              <w:pStyle w:val="Tablesmalltext"/>
              <w:jc w:val="center"/>
            </w:pPr>
            <w:r w:rsidRPr="00D93708">
              <w:t>$ 16.94 m</w:t>
            </w:r>
          </w:p>
        </w:tc>
        <w:tc>
          <w:tcPr>
            <w:tcW w:w="777" w:type="pct"/>
            <w:vAlign w:val="center"/>
          </w:tcPr>
          <w:p w:rsidR="0068200D" w:rsidRPr="00D93708" w:rsidRDefault="0068200D" w:rsidP="00E17A62">
            <w:pPr>
              <w:pStyle w:val="Tablesmalltext"/>
              <w:jc w:val="center"/>
            </w:pPr>
            <w:r w:rsidRPr="00D93708">
              <w:t>$ 10.44 m</w:t>
            </w:r>
          </w:p>
        </w:tc>
        <w:tc>
          <w:tcPr>
            <w:tcW w:w="778" w:type="pct"/>
            <w:vAlign w:val="center"/>
          </w:tcPr>
          <w:p w:rsidR="0068200D" w:rsidRPr="00D93708" w:rsidRDefault="0068200D" w:rsidP="00E17A62">
            <w:pPr>
              <w:pStyle w:val="Tablesmalltext"/>
              <w:jc w:val="center"/>
            </w:pPr>
            <w:r w:rsidRPr="00D93708">
              <w:t>$ 16.64 m</w:t>
            </w:r>
          </w:p>
        </w:tc>
        <w:tc>
          <w:tcPr>
            <w:tcW w:w="1323" w:type="pct"/>
            <w:vMerge/>
          </w:tcPr>
          <w:p w:rsidR="0068200D" w:rsidRPr="00863E1E" w:rsidRDefault="0068200D" w:rsidP="00537081">
            <w:pPr>
              <w:pStyle w:val="Tablesmalltext"/>
            </w:pPr>
          </w:p>
        </w:tc>
      </w:tr>
      <w:tr w:rsidR="0068200D" w:rsidRPr="00863E1E" w:rsidTr="00F843FC">
        <w:tc>
          <w:tcPr>
            <w:tcW w:w="918" w:type="pct"/>
          </w:tcPr>
          <w:p w:rsidR="0068200D" w:rsidRPr="00D93708" w:rsidRDefault="0068200D" w:rsidP="00537081">
            <w:pPr>
              <w:pStyle w:val="Tablesmalltext"/>
            </w:pPr>
            <w:r w:rsidRPr="00D93708">
              <w:t>NSW</w:t>
            </w:r>
          </w:p>
        </w:tc>
        <w:tc>
          <w:tcPr>
            <w:tcW w:w="566" w:type="pct"/>
            <w:vAlign w:val="center"/>
          </w:tcPr>
          <w:p w:rsidR="0068200D" w:rsidRPr="00D93708" w:rsidRDefault="00AA71B5" w:rsidP="00AA71B5">
            <w:pPr>
              <w:pStyle w:val="Tablesmalltext"/>
              <w:jc w:val="center"/>
            </w:pPr>
            <w:r>
              <w:t>$ 22.20 m</w:t>
            </w:r>
          </w:p>
        </w:tc>
        <w:tc>
          <w:tcPr>
            <w:tcW w:w="637" w:type="pct"/>
            <w:vAlign w:val="center"/>
          </w:tcPr>
          <w:p w:rsidR="0068200D" w:rsidRPr="00D93708" w:rsidRDefault="00AA71B5" w:rsidP="00AA71B5">
            <w:pPr>
              <w:pStyle w:val="Tablesmalltext"/>
              <w:jc w:val="center"/>
            </w:pPr>
            <w:r>
              <w:t>$ 28.42 m</w:t>
            </w:r>
          </w:p>
        </w:tc>
        <w:tc>
          <w:tcPr>
            <w:tcW w:w="777" w:type="pct"/>
            <w:vAlign w:val="center"/>
          </w:tcPr>
          <w:p w:rsidR="0068200D" w:rsidRPr="00D93708" w:rsidRDefault="0068200D" w:rsidP="00AA71B5">
            <w:pPr>
              <w:pStyle w:val="Tablesmalltext"/>
              <w:jc w:val="center"/>
            </w:pPr>
            <w:r w:rsidRPr="00D93708">
              <w:t xml:space="preserve">$ </w:t>
            </w:r>
            <w:r w:rsidR="00AA71B5">
              <w:t>21.26 m</w:t>
            </w:r>
          </w:p>
        </w:tc>
        <w:tc>
          <w:tcPr>
            <w:tcW w:w="778" w:type="pct"/>
            <w:vAlign w:val="center"/>
          </w:tcPr>
          <w:p w:rsidR="0068200D" w:rsidRPr="00D93708" w:rsidRDefault="00622785" w:rsidP="00E17A62">
            <w:pPr>
              <w:pStyle w:val="Tablesmalltext"/>
              <w:jc w:val="center"/>
            </w:pPr>
            <w:r>
              <w:t>Not available</w:t>
            </w:r>
            <w:r w:rsidR="00AA71B5">
              <w:t>-</w:t>
            </w:r>
          </w:p>
        </w:tc>
        <w:tc>
          <w:tcPr>
            <w:tcW w:w="1323" w:type="pct"/>
            <w:vMerge/>
          </w:tcPr>
          <w:p w:rsidR="0068200D" w:rsidRPr="00863E1E" w:rsidRDefault="0068200D" w:rsidP="00537081">
            <w:pPr>
              <w:pStyle w:val="Tablesmalltext"/>
            </w:pPr>
          </w:p>
        </w:tc>
      </w:tr>
      <w:tr w:rsidR="0068200D" w:rsidRPr="00863E1E" w:rsidTr="00F843FC">
        <w:tc>
          <w:tcPr>
            <w:tcW w:w="918" w:type="pct"/>
          </w:tcPr>
          <w:p w:rsidR="0068200D" w:rsidRPr="00D93708" w:rsidRDefault="0068200D" w:rsidP="00537081">
            <w:pPr>
              <w:pStyle w:val="Tablesmalltext"/>
            </w:pPr>
            <w:r w:rsidRPr="00D93708">
              <w:t>SA</w:t>
            </w:r>
          </w:p>
        </w:tc>
        <w:tc>
          <w:tcPr>
            <w:tcW w:w="566" w:type="pct"/>
            <w:vAlign w:val="center"/>
          </w:tcPr>
          <w:p w:rsidR="0068200D" w:rsidRPr="00D93708" w:rsidRDefault="0068200D" w:rsidP="00AE1130">
            <w:pPr>
              <w:pStyle w:val="Tablesmalltext"/>
              <w:jc w:val="center"/>
            </w:pPr>
            <w:r w:rsidRPr="00D93708">
              <w:t xml:space="preserve">$ </w:t>
            </w:r>
            <w:r w:rsidR="00AE1130">
              <w:t>1.20</w:t>
            </w:r>
          </w:p>
        </w:tc>
        <w:tc>
          <w:tcPr>
            <w:tcW w:w="637" w:type="pct"/>
            <w:vAlign w:val="center"/>
          </w:tcPr>
          <w:p w:rsidR="0068200D" w:rsidRPr="00D93708" w:rsidRDefault="0068200D" w:rsidP="00E17A62">
            <w:pPr>
              <w:pStyle w:val="Tablesmalltext"/>
              <w:jc w:val="center"/>
            </w:pPr>
            <w:r w:rsidRPr="00D93708">
              <w:t>-</w:t>
            </w:r>
          </w:p>
        </w:tc>
        <w:tc>
          <w:tcPr>
            <w:tcW w:w="777" w:type="pct"/>
            <w:vAlign w:val="center"/>
          </w:tcPr>
          <w:p w:rsidR="0068200D" w:rsidRPr="00D93708" w:rsidRDefault="00AE1130" w:rsidP="00E17A62">
            <w:pPr>
              <w:pStyle w:val="Tablesmalltext"/>
              <w:jc w:val="center"/>
            </w:pPr>
            <w:r>
              <w:t>-</w:t>
            </w:r>
          </w:p>
        </w:tc>
        <w:tc>
          <w:tcPr>
            <w:tcW w:w="778" w:type="pct"/>
            <w:vAlign w:val="center"/>
          </w:tcPr>
          <w:p w:rsidR="0068200D" w:rsidRPr="00D93708" w:rsidRDefault="0068200D" w:rsidP="00E17A62">
            <w:pPr>
              <w:pStyle w:val="Tablesmalltext"/>
              <w:jc w:val="center"/>
            </w:pPr>
            <w:r w:rsidRPr="00D93708">
              <w:t>-</w:t>
            </w:r>
          </w:p>
        </w:tc>
        <w:tc>
          <w:tcPr>
            <w:tcW w:w="1323" w:type="pct"/>
            <w:vMerge/>
          </w:tcPr>
          <w:p w:rsidR="0068200D" w:rsidRPr="00863E1E" w:rsidRDefault="0068200D" w:rsidP="00537081">
            <w:pPr>
              <w:pStyle w:val="Tablesmalltext"/>
            </w:pPr>
          </w:p>
        </w:tc>
      </w:tr>
      <w:tr w:rsidR="004A7728" w:rsidRPr="00863E1E" w:rsidTr="00F843FC">
        <w:tc>
          <w:tcPr>
            <w:tcW w:w="918" w:type="pct"/>
          </w:tcPr>
          <w:p w:rsidR="004A7728" w:rsidRPr="00D93708" w:rsidRDefault="004A7728" w:rsidP="00537081">
            <w:pPr>
              <w:pStyle w:val="Tablesmalltext"/>
            </w:pPr>
            <w:r w:rsidRPr="00D93708">
              <w:t xml:space="preserve">Landowner Benefit Cost Ratio </w:t>
            </w:r>
            <w:r w:rsidR="00E17A62">
              <w:t>(</w:t>
            </w:r>
            <w:r w:rsidRPr="00D93708">
              <w:t>BCR</w:t>
            </w:r>
            <w:r w:rsidR="00E17A62">
              <w:t>)</w:t>
            </w:r>
            <w:r w:rsidRPr="00D93708">
              <w:t xml:space="preserve"> Factor</w:t>
            </w:r>
          </w:p>
        </w:tc>
        <w:tc>
          <w:tcPr>
            <w:tcW w:w="566" w:type="pct"/>
            <w:vAlign w:val="center"/>
          </w:tcPr>
          <w:p w:rsidR="004A7728" w:rsidRPr="00D93708" w:rsidRDefault="004A7728" w:rsidP="00E17A62">
            <w:pPr>
              <w:pStyle w:val="Tablesmalltext"/>
              <w:jc w:val="center"/>
            </w:pPr>
            <w:r w:rsidRPr="00D93708">
              <w:t>1</w:t>
            </w:r>
          </w:p>
        </w:tc>
        <w:tc>
          <w:tcPr>
            <w:tcW w:w="637" w:type="pct"/>
            <w:vAlign w:val="center"/>
          </w:tcPr>
          <w:p w:rsidR="004A7728" w:rsidRPr="00D93708" w:rsidRDefault="004A7728" w:rsidP="00E17A62">
            <w:pPr>
              <w:pStyle w:val="Tablesmalltext"/>
              <w:jc w:val="center"/>
            </w:pPr>
            <w:r w:rsidRPr="00D93708">
              <w:t>1</w:t>
            </w:r>
          </w:p>
        </w:tc>
        <w:tc>
          <w:tcPr>
            <w:tcW w:w="777" w:type="pct"/>
            <w:vAlign w:val="center"/>
          </w:tcPr>
          <w:p w:rsidR="004A7728" w:rsidRPr="00D93708" w:rsidRDefault="004A7728" w:rsidP="00E17A62">
            <w:pPr>
              <w:pStyle w:val="Tablesmalltext"/>
              <w:jc w:val="center"/>
            </w:pPr>
            <w:r w:rsidRPr="00D93708">
              <w:t>1</w:t>
            </w:r>
          </w:p>
        </w:tc>
        <w:tc>
          <w:tcPr>
            <w:tcW w:w="778" w:type="pct"/>
            <w:vAlign w:val="center"/>
          </w:tcPr>
          <w:p w:rsidR="004A7728" w:rsidRPr="00D93708" w:rsidRDefault="004A7728" w:rsidP="00E17A62">
            <w:pPr>
              <w:pStyle w:val="Tablesmalltext"/>
              <w:jc w:val="center"/>
            </w:pPr>
            <w:r w:rsidRPr="00D93708">
              <w:t>1</w:t>
            </w:r>
          </w:p>
        </w:tc>
        <w:tc>
          <w:tcPr>
            <w:tcW w:w="1323" w:type="pct"/>
          </w:tcPr>
          <w:p w:rsidR="004A7728" w:rsidRPr="00863E1E" w:rsidRDefault="00A66CD0" w:rsidP="00537081">
            <w:pPr>
              <w:pStyle w:val="Tablesmalltext"/>
            </w:pPr>
            <w:r w:rsidRPr="00863E1E">
              <w:t>As the most conservative assumption, it can be assumed that the value equals the financial contribution</w:t>
            </w:r>
            <w:r w:rsidR="00E17A62">
              <w:t>.</w:t>
            </w:r>
          </w:p>
        </w:tc>
      </w:tr>
    </w:tbl>
    <w:p w:rsidR="009A2753" w:rsidRPr="00863E1E" w:rsidRDefault="009A2753" w:rsidP="009A2753">
      <w:pPr>
        <w:pStyle w:val="subhead"/>
      </w:pPr>
      <w:r w:rsidRPr="00863E1E">
        <w:t>Results</w:t>
      </w:r>
    </w:p>
    <w:p w:rsidR="004A7728" w:rsidRDefault="004D0E02" w:rsidP="009A2753">
      <w:pPr>
        <w:pStyle w:val="subhead"/>
        <w:rPr>
          <w:b w:val="0"/>
          <w:i w:val="0"/>
        </w:rPr>
      </w:pPr>
      <w:r w:rsidRPr="00863E1E">
        <w:rPr>
          <w:b w:val="0"/>
          <w:i w:val="0"/>
        </w:rPr>
        <w:t xml:space="preserve">The landowner benefits </w:t>
      </w:r>
      <w:r w:rsidR="00CB5C5F">
        <w:rPr>
          <w:b w:val="0"/>
          <w:i w:val="0"/>
        </w:rPr>
        <w:t xml:space="preserve">and costs </w:t>
      </w:r>
      <w:r w:rsidRPr="00863E1E">
        <w:rPr>
          <w:b w:val="0"/>
          <w:i w:val="0"/>
        </w:rPr>
        <w:t>have not been included in the TEV</w:t>
      </w:r>
      <w:r w:rsidR="00EF4262">
        <w:rPr>
          <w:b w:val="0"/>
          <w:i w:val="0"/>
        </w:rPr>
        <w:t>.</w:t>
      </w:r>
      <w:r w:rsidR="006A3CB3">
        <w:rPr>
          <w:b w:val="0"/>
          <w:i w:val="0"/>
        </w:rPr>
        <w:t xml:space="preserve"> A sample of landholder views obtained through a study conducted by the Centre for International  Economics and Resource Policy and Management (2003) are provided below.</w:t>
      </w:r>
    </w:p>
    <w:tbl>
      <w:tblPr>
        <w:tblStyle w:val="Table1"/>
        <w:tblW w:w="0" w:type="auto"/>
        <w:jc w:val="center"/>
        <w:tblBorders>
          <w:top w:val="single" w:sz="36" w:space="0" w:color="FFFFFF" w:themeColor="background2"/>
          <w:left w:val="single" w:sz="36" w:space="0" w:color="FFFFFF" w:themeColor="background2"/>
          <w:bottom w:val="single" w:sz="36" w:space="0" w:color="FFFFFF" w:themeColor="background2"/>
          <w:right w:val="single" w:sz="36" w:space="0" w:color="FFFFFF" w:themeColor="background2"/>
          <w:insideH w:val="single" w:sz="36" w:space="0" w:color="FFFFFF" w:themeColor="background2"/>
          <w:insideV w:val="single" w:sz="36" w:space="0" w:color="FFFFFF" w:themeColor="background2"/>
        </w:tblBorders>
        <w:shd w:val="clear" w:color="auto" w:fill="E9E9EA" w:themeFill="background1" w:themeFillTint="33"/>
        <w:tblLook w:val="04A0"/>
      </w:tblPr>
      <w:tblGrid>
        <w:gridCol w:w="5010"/>
        <w:gridCol w:w="5009"/>
      </w:tblGrid>
      <w:tr w:rsidR="00156C5E" w:rsidTr="004F3B4B">
        <w:trPr>
          <w:cnfStyle w:val="100000000000"/>
          <w:jc w:val="center"/>
        </w:trPr>
        <w:tc>
          <w:tcPr>
            <w:cnfStyle w:val="001000000000"/>
            <w:tcW w:w="5066" w:type="dxa"/>
            <w:shd w:val="clear" w:color="auto" w:fill="E9E9EA" w:themeFill="background1" w:themeFillTint="33"/>
          </w:tcPr>
          <w:p w:rsidR="004F3B4B" w:rsidRDefault="004F3B4B" w:rsidP="004F3B4B">
            <w:pPr>
              <w:pStyle w:val="Para0"/>
              <w:rPr>
                <w:i/>
              </w:rPr>
            </w:pPr>
            <w:r w:rsidRPr="004F3B4B">
              <w:rPr>
                <w:i/>
              </w:rPr>
              <w:t>Case study 1: Warrego (QLD) landholder view</w:t>
            </w:r>
            <w:r>
              <w:rPr>
                <w:rStyle w:val="FootnoteReference"/>
                <w:i/>
              </w:rPr>
              <w:footnoteReference w:id="16"/>
            </w:r>
          </w:p>
          <w:p w:rsidR="004F3B4B" w:rsidRPr="004F3B4B" w:rsidRDefault="004F3B4B" w:rsidP="004F3B4B">
            <w:pPr>
              <w:pStyle w:val="Tablesmallbullet"/>
              <w:rPr>
                <w:b w:val="0"/>
              </w:rPr>
            </w:pPr>
            <w:r w:rsidRPr="004F3B4B">
              <w:rPr>
                <w:b w:val="0"/>
              </w:rPr>
              <w:t xml:space="preserve">“The owner believes that the GAB as a whole is facing declining bore pressures and is ‘in trouble’ but is now being managed in a responsible manner provided the current government approach continues. </w:t>
            </w:r>
          </w:p>
          <w:p w:rsidR="004F3B4B" w:rsidRPr="004F3B4B" w:rsidRDefault="004F3B4B" w:rsidP="004F3B4B">
            <w:pPr>
              <w:pStyle w:val="Tablesmallbullet"/>
              <w:rPr>
                <w:b w:val="0"/>
              </w:rPr>
            </w:pPr>
            <w:r w:rsidRPr="004F3B4B">
              <w:rPr>
                <w:b w:val="0"/>
              </w:rPr>
              <w:t>Key problems, he thinks, are too many uncontrolled bores and the huge wastage of water in bore drains. Concentrating on increasing or at least maintain bore pressures is the key focus.</w:t>
            </w:r>
          </w:p>
          <w:p w:rsidR="004F3B4B" w:rsidRPr="004F3B4B" w:rsidRDefault="004F3B4B" w:rsidP="004F3B4B">
            <w:pPr>
              <w:pStyle w:val="Tablesmallbullet"/>
              <w:rPr>
                <w:b w:val="0"/>
              </w:rPr>
            </w:pPr>
            <w:r w:rsidRPr="004F3B4B">
              <w:rPr>
                <w:b w:val="0"/>
              </w:rPr>
              <w:t>There is an even mix of public and private benefits from capping and piping.</w:t>
            </w:r>
          </w:p>
          <w:p w:rsidR="004F3B4B" w:rsidRPr="004F3B4B" w:rsidRDefault="004F3B4B" w:rsidP="004F3B4B">
            <w:pPr>
              <w:pStyle w:val="Tablesmallbullet"/>
              <w:rPr>
                <w:b w:val="0"/>
              </w:rPr>
            </w:pPr>
            <w:r w:rsidRPr="004F3B4B">
              <w:rPr>
                <w:b w:val="0"/>
              </w:rPr>
              <w:t>He believes those who have not piped would be most influenced by seeing for themselves the advantages of capping and piping, and the threat of lower government subsidies or regulations.”</w:t>
            </w:r>
          </w:p>
        </w:tc>
        <w:tc>
          <w:tcPr>
            <w:tcW w:w="5066" w:type="dxa"/>
            <w:shd w:val="clear" w:color="auto" w:fill="E9E9EA" w:themeFill="background1" w:themeFillTint="33"/>
          </w:tcPr>
          <w:p w:rsidR="00156C5E" w:rsidRDefault="00156C5E" w:rsidP="00156C5E">
            <w:pPr>
              <w:pStyle w:val="Para0"/>
              <w:cnfStyle w:val="100000000000"/>
              <w:rPr>
                <w:i/>
              </w:rPr>
            </w:pPr>
            <w:r>
              <w:rPr>
                <w:i/>
              </w:rPr>
              <w:t>Case study 2</w:t>
            </w:r>
            <w:r w:rsidRPr="004F3B4B">
              <w:rPr>
                <w:i/>
              </w:rPr>
              <w:t xml:space="preserve">: </w:t>
            </w:r>
            <w:r>
              <w:rPr>
                <w:i/>
              </w:rPr>
              <w:t xml:space="preserve">Surat (NSW) </w:t>
            </w:r>
            <w:r w:rsidRPr="004F3B4B">
              <w:rPr>
                <w:i/>
              </w:rPr>
              <w:t>landholder view</w:t>
            </w:r>
            <w:r>
              <w:rPr>
                <w:rStyle w:val="FootnoteReference"/>
                <w:i/>
              </w:rPr>
              <w:footnoteReference w:id="17"/>
            </w:r>
          </w:p>
          <w:p w:rsidR="00156C5E" w:rsidRPr="00156C5E" w:rsidRDefault="00156C5E" w:rsidP="00156C5E">
            <w:pPr>
              <w:pStyle w:val="Tablesmallbullet"/>
              <w:cnfStyle w:val="100000000000"/>
              <w:rPr>
                <w:b w:val="0"/>
              </w:rPr>
            </w:pPr>
            <w:r w:rsidRPr="00156C5E">
              <w:rPr>
                <w:b w:val="0"/>
              </w:rPr>
              <w:t>“The owner believes that bore pressures across the Basin are decreasing somewhat but that in general it is now being managed responsibly. But there is still a long way to go and uncapped bores constitute a serious problem.</w:t>
            </w:r>
          </w:p>
          <w:p w:rsidR="00156C5E" w:rsidRPr="00156C5E" w:rsidRDefault="00156C5E" w:rsidP="00156C5E">
            <w:pPr>
              <w:pStyle w:val="Tablesmallbullet"/>
              <w:cnfStyle w:val="100000000000"/>
              <w:rPr>
                <w:b w:val="0"/>
              </w:rPr>
            </w:pPr>
            <w:r w:rsidRPr="00156C5E">
              <w:rPr>
                <w:b w:val="0"/>
              </w:rPr>
              <w:t>Wastage of water, decreasing bore pressures and uncontrolled bores are key problems facing the GAB.</w:t>
            </w:r>
          </w:p>
          <w:p w:rsidR="00156C5E" w:rsidRPr="00156C5E" w:rsidRDefault="00156C5E" w:rsidP="00156C5E">
            <w:pPr>
              <w:pStyle w:val="Tablesmallbullet"/>
              <w:cnfStyle w:val="100000000000"/>
              <w:rPr>
                <w:b w:val="0"/>
              </w:rPr>
            </w:pPr>
            <w:r w:rsidRPr="00156C5E">
              <w:rPr>
                <w:b w:val="0"/>
              </w:rPr>
              <w:t>In addressing the problem attention should concentrate on those areas where bore pressures are lowest.</w:t>
            </w:r>
          </w:p>
          <w:p w:rsidR="00156C5E" w:rsidRPr="00156C5E" w:rsidRDefault="00156C5E" w:rsidP="00156C5E">
            <w:pPr>
              <w:pStyle w:val="Tablesmallbullet"/>
              <w:cnfStyle w:val="100000000000"/>
              <w:rPr>
                <w:b w:val="0"/>
              </w:rPr>
            </w:pPr>
            <w:r w:rsidRPr="00156C5E">
              <w:rPr>
                <w:b w:val="0"/>
              </w:rPr>
              <w:t>The current subsidy scheme is about right — probably on the generous side.</w:t>
            </w:r>
          </w:p>
          <w:p w:rsidR="004F3B4B" w:rsidRPr="00156C5E" w:rsidRDefault="00156C5E" w:rsidP="00156C5E">
            <w:pPr>
              <w:pStyle w:val="Tablesmallbullet"/>
              <w:cnfStyle w:val="100000000000"/>
              <w:rPr>
                <w:b w:val="0"/>
              </w:rPr>
            </w:pPr>
            <w:r w:rsidRPr="00156C5E">
              <w:rPr>
                <w:b w:val="0"/>
              </w:rPr>
              <w:t>A real problem with bore trust is that some people find it financially difficult to participate, hold up the project for all the others.”</w:t>
            </w:r>
          </w:p>
        </w:tc>
      </w:tr>
    </w:tbl>
    <w:p w:rsidR="000B5AAB" w:rsidRPr="00863E1E" w:rsidRDefault="000B5AAB" w:rsidP="000B5AAB">
      <w:pPr>
        <w:pStyle w:val="Heading3"/>
      </w:pPr>
      <w:r w:rsidRPr="00863E1E">
        <w:t>Tourism</w:t>
      </w:r>
      <w:r w:rsidR="00BF790E" w:rsidRPr="00863E1E">
        <w:t>, recreation and amenity</w:t>
      </w:r>
      <w:r w:rsidRPr="00863E1E">
        <w:t xml:space="preserve"> benefits</w:t>
      </w:r>
    </w:p>
    <w:p w:rsidR="00AA5B99" w:rsidRPr="00863E1E" w:rsidRDefault="00AA5B99" w:rsidP="00AA5B99">
      <w:pPr>
        <w:pStyle w:val="subhead"/>
      </w:pPr>
      <w:r w:rsidRPr="00863E1E">
        <w:t>Method</w:t>
      </w:r>
    </w:p>
    <w:p w:rsidR="008A03C0" w:rsidRPr="00863E1E" w:rsidRDefault="008A03C0" w:rsidP="008A03C0">
      <w:pPr>
        <w:pStyle w:val="Para0"/>
      </w:pPr>
      <w:r w:rsidRPr="00863E1E">
        <w:t xml:space="preserve">ACIL Tasman (1999) conducted an economic and social assessment of the GAB in Queensland, and looked at the contribution of the two regions considered to reflect the GAB – Darling Downs and Outback. Tourism contributed a total of $294m to the Gross Regional Product of the two regions. However this is expected to overestimate the benefits of the GAB as many activities are independent of the GAB resource, and it is unlikely that GABSI could be attributed to </w:t>
      </w:r>
      <w:r>
        <w:t xml:space="preserve">preserving/maintaining </w:t>
      </w:r>
      <w:r w:rsidRPr="00863E1E">
        <w:t>all of the activities that do depend on the GAB.</w:t>
      </w:r>
    </w:p>
    <w:p w:rsidR="008F7ADA" w:rsidRPr="00863E1E" w:rsidRDefault="008F7ADA" w:rsidP="00AA5B99">
      <w:pPr>
        <w:pStyle w:val="Para0"/>
      </w:pPr>
      <w:r w:rsidRPr="00863E1E">
        <w:t>Another approach to determining the tourism and recreation benefits of GABSI would be to consider the value</w:t>
      </w:r>
      <w:r w:rsidR="00B96DA3" w:rsidRPr="00863E1E">
        <w:t xml:space="preserve"> placed on tourism and recreation ($ / household, $ / visitor) and extrapolate this across visitor numbers at each of the key </w:t>
      </w:r>
      <w:r w:rsidRPr="00863E1E">
        <w:t>tourism and recreation sites that are known to depend on the GAB.</w:t>
      </w:r>
      <w:r w:rsidR="00B96DA3" w:rsidRPr="00863E1E">
        <w:t xml:space="preserve"> Rolfe (2008) used this approach to determine an average recreational consumer surplus of $139.41</w:t>
      </w:r>
      <w:r w:rsidR="00587590" w:rsidRPr="00863E1E">
        <w:t>/day</w:t>
      </w:r>
      <w:r w:rsidR="00793D5A">
        <w:t xml:space="preserve"> ($154.90/day in 2013 dollars)</w:t>
      </w:r>
      <w:r w:rsidR="00B96DA3" w:rsidRPr="00863E1E">
        <w:t xml:space="preserve">, which could be transferred to recreation use in the GAB. He also </w:t>
      </w:r>
      <w:r w:rsidR="00CE70F4" w:rsidRPr="00863E1E">
        <w:t xml:space="preserve">looked at the value of the Dalhousie Springs complex in Witjira National Park ($2.79 million based on 10,000 visitors per annum staying two nights) and applied a </w:t>
      </w:r>
      <w:r w:rsidR="00B96DA3" w:rsidRPr="00863E1E">
        <w:t>21% reduction in annual extraction achieved by GABSI as a proxy for estimating marginal effects.</w:t>
      </w:r>
      <w:r w:rsidR="00CE70F4" w:rsidRPr="00863E1E">
        <w:t xml:space="preserve"> This resulted in annual recreation benefits estimated at $585,222 or $4.05/ML of reduced water extraction.</w:t>
      </w:r>
      <w:r w:rsidR="00D37AE0" w:rsidRPr="00D37AE0">
        <w:rPr>
          <w:rStyle w:val="FootnoteReference"/>
        </w:rPr>
        <w:t xml:space="preserve"> </w:t>
      </w:r>
      <w:r w:rsidR="00D37AE0">
        <w:rPr>
          <w:rStyle w:val="FootnoteReference"/>
        </w:rPr>
        <w:footnoteReference w:id="18"/>
      </w:r>
    </w:p>
    <w:p w:rsidR="003001DF" w:rsidRDefault="002119BE">
      <w:pPr>
        <w:spacing w:after="0" w:line="240" w:lineRule="auto"/>
        <w:rPr>
          <w:rFonts w:ascii="Arial Narrow" w:hAnsi="Arial Narrow"/>
          <w:b/>
        </w:rPr>
      </w:pPr>
      <w:r w:rsidRPr="00863E1E">
        <w:t>A list of the key regions and specific tourism and recreations sites partly supported by the GAB is provided in</w:t>
      </w:r>
      <w:r w:rsidR="00F748A4">
        <w:t xml:space="preserve"> </w:t>
      </w:r>
      <w:r w:rsidR="006768F1">
        <w:fldChar w:fldCharType="begin"/>
      </w:r>
      <w:r w:rsidR="00F748A4">
        <w:instrText xml:space="preserve"> REF _Ref375304319 \h </w:instrText>
      </w:r>
      <w:r w:rsidR="006768F1">
        <w:fldChar w:fldCharType="separate"/>
      </w:r>
      <w:r w:rsidR="00516D07" w:rsidRPr="00863E1E">
        <w:t xml:space="preserve">Table </w:t>
      </w:r>
      <w:r w:rsidR="00516D07">
        <w:rPr>
          <w:noProof/>
        </w:rPr>
        <w:t>13</w:t>
      </w:r>
      <w:r w:rsidR="006768F1">
        <w:fldChar w:fldCharType="end"/>
      </w:r>
      <w:r w:rsidRPr="00863E1E">
        <w:t>.</w:t>
      </w:r>
      <w:bookmarkStart w:id="38" w:name="_Ref372188924"/>
    </w:p>
    <w:p w:rsidR="008F7ADA" w:rsidRPr="00863E1E" w:rsidRDefault="008F7ADA" w:rsidP="008F7ADA">
      <w:pPr>
        <w:pStyle w:val="Caption"/>
      </w:pPr>
      <w:bookmarkStart w:id="39" w:name="_Ref375304319"/>
      <w:r w:rsidRPr="00863E1E">
        <w:t xml:space="preserve">Table </w:t>
      </w:r>
      <w:r w:rsidR="006768F1">
        <w:fldChar w:fldCharType="begin"/>
      </w:r>
      <w:r w:rsidR="00F843FC">
        <w:instrText xml:space="preserve"> SEQ Table \* ARABIC </w:instrText>
      </w:r>
      <w:r w:rsidR="006768F1">
        <w:fldChar w:fldCharType="separate"/>
      </w:r>
      <w:r w:rsidR="00516D07">
        <w:rPr>
          <w:noProof/>
        </w:rPr>
        <w:t>13</w:t>
      </w:r>
      <w:r w:rsidR="006768F1">
        <w:fldChar w:fldCharType="end"/>
      </w:r>
      <w:bookmarkEnd w:id="38"/>
      <w:bookmarkEnd w:id="39"/>
      <w:r w:rsidRPr="00863E1E">
        <w:t>: Key tourism and recreation sites supported by the GAB</w:t>
      </w:r>
      <w:r w:rsidR="00C5206E" w:rsidRPr="00863E1E">
        <w:rPr>
          <w:rStyle w:val="FootnoteReference"/>
        </w:rPr>
        <w:footnoteReference w:id="19"/>
      </w:r>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192"/>
        <w:gridCol w:w="3202"/>
        <w:gridCol w:w="5607"/>
      </w:tblGrid>
      <w:tr w:rsidR="00F669FB" w:rsidRPr="00863E1E" w:rsidTr="002E4907">
        <w:trPr>
          <w:cantSplit/>
          <w:tblHeader/>
        </w:trPr>
        <w:tc>
          <w:tcPr>
            <w:tcW w:w="596" w:type="pct"/>
            <w:shd w:val="clear" w:color="auto" w:fill="5185C0"/>
          </w:tcPr>
          <w:p w:rsidR="00B96DA3" w:rsidRPr="00645758" w:rsidRDefault="00B96DA3" w:rsidP="00396219">
            <w:pPr>
              <w:pStyle w:val="Tablesmallheading"/>
            </w:pPr>
            <w:r w:rsidRPr="00645758">
              <w:t>Jurisdiction</w:t>
            </w:r>
          </w:p>
        </w:tc>
        <w:tc>
          <w:tcPr>
            <w:tcW w:w="1601" w:type="pct"/>
            <w:shd w:val="clear" w:color="auto" w:fill="5185C0"/>
          </w:tcPr>
          <w:p w:rsidR="00B96DA3" w:rsidRPr="00863E1E" w:rsidRDefault="00B96DA3" w:rsidP="00B96DA3">
            <w:pPr>
              <w:pStyle w:val="Tablesmallheading"/>
            </w:pPr>
            <w:r w:rsidRPr="00863E1E">
              <w:t>Relevant regions</w:t>
            </w:r>
            <w:r w:rsidR="00D37AE0">
              <w:t xml:space="preserve"> and tourism data</w:t>
            </w:r>
          </w:p>
        </w:tc>
        <w:tc>
          <w:tcPr>
            <w:tcW w:w="2803" w:type="pct"/>
            <w:shd w:val="clear" w:color="auto" w:fill="5185C0"/>
          </w:tcPr>
          <w:p w:rsidR="00B96DA3" w:rsidRPr="00863E1E" w:rsidRDefault="00B96DA3" w:rsidP="008F7ADA">
            <w:pPr>
              <w:pStyle w:val="Tablesmallheading"/>
            </w:pPr>
            <w:r w:rsidRPr="00863E1E">
              <w:t>Key tourism and recreation sites</w:t>
            </w:r>
          </w:p>
        </w:tc>
      </w:tr>
      <w:tr w:rsidR="00B96DA3" w:rsidRPr="00863E1E" w:rsidTr="00622785">
        <w:trPr>
          <w:cantSplit/>
        </w:trPr>
        <w:tc>
          <w:tcPr>
            <w:tcW w:w="596" w:type="pct"/>
          </w:tcPr>
          <w:p w:rsidR="00B96DA3" w:rsidRPr="00645758" w:rsidRDefault="00B96DA3" w:rsidP="00396219">
            <w:pPr>
              <w:pStyle w:val="Tablesmalltext"/>
              <w:rPr>
                <w:b/>
              </w:rPr>
            </w:pPr>
            <w:r w:rsidRPr="00645758">
              <w:rPr>
                <w:b/>
              </w:rPr>
              <w:t>NSW</w:t>
            </w:r>
          </w:p>
        </w:tc>
        <w:tc>
          <w:tcPr>
            <w:tcW w:w="1601" w:type="pct"/>
          </w:tcPr>
          <w:p w:rsidR="00B96DA3" w:rsidRPr="00863E1E" w:rsidRDefault="00B96DA3" w:rsidP="00645758">
            <w:pPr>
              <w:pStyle w:val="Tablesmallbullet"/>
            </w:pPr>
            <w:r w:rsidRPr="00863E1E">
              <w:t>Outback</w:t>
            </w:r>
            <w:r w:rsidR="00D94B3E" w:rsidRPr="00863E1E">
              <w:t xml:space="preserve"> NSW – 320,700 overnight visitors in 2012/13</w:t>
            </w:r>
            <w:r w:rsidR="00D94B3E" w:rsidRPr="00863E1E">
              <w:rPr>
                <w:rStyle w:val="FootnoteReference"/>
              </w:rPr>
              <w:footnoteReference w:id="20"/>
            </w:r>
            <w:r w:rsidR="00EF1079" w:rsidRPr="00863E1E">
              <w:t>; total tourism expenditure of $175m (basic prices)</w:t>
            </w:r>
            <w:r w:rsidR="00D37AE0">
              <w:rPr>
                <w:rStyle w:val="FootnoteReference"/>
              </w:rPr>
              <w:footnoteReference w:id="21"/>
            </w:r>
          </w:p>
        </w:tc>
        <w:tc>
          <w:tcPr>
            <w:tcW w:w="2803" w:type="pct"/>
          </w:tcPr>
          <w:p w:rsidR="00B96DA3" w:rsidRPr="00863E1E" w:rsidRDefault="00B96DA3" w:rsidP="00645758">
            <w:pPr>
              <w:pStyle w:val="Tablesmallbullet"/>
            </w:pPr>
            <w:r w:rsidRPr="00863E1E">
              <w:t>Moree, various locations - a number of accommodation houses that have access to private artesian spas.</w:t>
            </w:r>
          </w:p>
          <w:p w:rsidR="00B96DA3" w:rsidRPr="00863E1E" w:rsidRDefault="00B96DA3" w:rsidP="00645758">
            <w:pPr>
              <w:pStyle w:val="Tablesmallbullet"/>
            </w:pPr>
            <w:r w:rsidRPr="00863E1E">
              <w:t>Bourke, Comeroo Camel Station - multi-faceted tourist retreat with camel riding, private artesian spas, and a working sheep station.</w:t>
            </w:r>
          </w:p>
          <w:p w:rsidR="00B96DA3" w:rsidRPr="00863E1E" w:rsidRDefault="00B96DA3" w:rsidP="00645758">
            <w:pPr>
              <w:pStyle w:val="Tablesmallbullet"/>
            </w:pPr>
            <w:r w:rsidRPr="00863E1E">
              <w:t>Pilliga Bore Baths</w:t>
            </w:r>
          </w:p>
          <w:p w:rsidR="00B96DA3" w:rsidRPr="00863E1E" w:rsidRDefault="00B96DA3" w:rsidP="00645758">
            <w:pPr>
              <w:pStyle w:val="Tablesmallbullet"/>
            </w:pPr>
            <w:r w:rsidRPr="00863E1E">
              <w:t>Burren Junction Bore Baths – also has accommodation and facilities.</w:t>
            </w:r>
          </w:p>
          <w:p w:rsidR="00B96DA3" w:rsidRPr="00863E1E" w:rsidRDefault="00B96DA3" w:rsidP="00645758">
            <w:pPr>
              <w:pStyle w:val="Tablesmallbullet"/>
            </w:pPr>
            <w:r w:rsidRPr="00863E1E">
              <w:t>Lightning Ridge Bore Baths – has several accommodation houses and Bore Baths.</w:t>
            </w:r>
          </w:p>
        </w:tc>
      </w:tr>
      <w:tr w:rsidR="00B96DA3" w:rsidRPr="00863E1E" w:rsidTr="00622785">
        <w:trPr>
          <w:cantSplit/>
        </w:trPr>
        <w:tc>
          <w:tcPr>
            <w:tcW w:w="596" w:type="pct"/>
          </w:tcPr>
          <w:p w:rsidR="00B96DA3" w:rsidRPr="00645758" w:rsidRDefault="00B96DA3" w:rsidP="00396219">
            <w:pPr>
              <w:pStyle w:val="Tablesmalltext"/>
              <w:rPr>
                <w:b/>
              </w:rPr>
            </w:pPr>
            <w:r w:rsidRPr="00645758">
              <w:rPr>
                <w:b/>
              </w:rPr>
              <w:t>QLD</w:t>
            </w:r>
          </w:p>
        </w:tc>
        <w:tc>
          <w:tcPr>
            <w:tcW w:w="1601" w:type="pct"/>
          </w:tcPr>
          <w:p w:rsidR="00B96DA3" w:rsidRPr="00863E1E" w:rsidRDefault="00B96DA3" w:rsidP="00B96DA3">
            <w:pPr>
              <w:pStyle w:val="Tablesmallbullet"/>
            </w:pPr>
            <w:r w:rsidRPr="00863E1E">
              <w:t xml:space="preserve">Outback </w:t>
            </w:r>
            <w:r w:rsidR="00EF1079" w:rsidRPr="00863E1E">
              <w:t>– total tourism expenditure of $299m (basic prices)</w:t>
            </w:r>
          </w:p>
          <w:p w:rsidR="00B96DA3" w:rsidRPr="00863E1E" w:rsidRDefault="00B96DA3" w:rsidP="00B96DA3">
            <w:pPr>
              <w:pStyle w:val="Tablesmallbullet"/>
            </w:pPr>
            <w:r w:rsidRPr="00863E1E">
              <w:t>Darling Downs</w:t>
            </w:r>
            <w:r w:rsidR="00EF1079" w:rsidRPr="00863E1E">
              <w:t xml:space="preserve"> – total tourism expenditure of $429m (basic prices)</w:t>
            </w:r>
          </w:p>
        </w:tc>
        <w:tc>
          <w:tcPr>
            <w:tcW w:w="2803" w:type="pct"/>
          </w:tcPr>
          <w:p w:rsidR="00B96DA3" w:rsidRPr="00863E1E" w:rsidRDefault="00B96DA3" w:rsidP="00BE5D46">
            <w:pPr>
              <w:pStyle w:val="Tablesmallbullet"/>
            </w:pPr>
            <w:r w:rsidRPr="00863E1E">
              <w:t>Blackall Aquatic Centre - aquatic centre with artesian spa.</w:t>
            </w:r>
          </w:p>
          <w:p w:rsidR="00B96DA3" w:rsidRPr="00863E1E" w:rsidRDefault="00B96DA3" w:rsidP="00BE5D46">
            <w:pPr>
              <w:pStyle w:val="Tablesmallbullet"/>
            </w:pPr>
            <w:r w:rsidRPr="00863E1E">
              <w:t>Mitchell Great Artesian Spa Complex - Mitchell's major tourist attraction.</w:t>
            </w:r>
          </w:p>
          <w:p w:rsidR="00B96DA3" w:rsidRPr="00863E1E" w:rsidRDefault="00B96DA3" w:rsidP="00BE5D46">
            <w:pPr>
              <w:pStyle w:val="Tablesmallbullet"/>
            </w:pPr>
            <w:r w:rsidRPr="00863E1E">
              <w:t>Cunnamulla, Charlotte Plains Farmstay - a working sheep and cattle property with bore baths.</w:t>
            </w:r>
          </w:p>
          <w:p w:rsidR="00B96DA3" w:rsidRPr="00863E1E" w:rsidRDefault="00B96DA3" w:rsidP="0099338E">
            <w:pPr>
              <w:pStyle w:val="Tablesmallbullet"/>
            </w:pPr>
            <w:r w:rsidRPr="00863E1E">
              <w:t>Ilfracombe Artesian Spa</w:t>
            </w:r>
          </w:p>
          <w:p w:rsidR="00B96DA3" w:rsidRPr="00863E1E" w:rsidRDefault="00B96DA3" w:rsidP="0099338E">
            <w:pPr>
              <w:pStyle w:val="Tablesmallbullet"/>
            </w:pPr>
            <w:r w:rsidRPr="00863E1E">
              <w:t xml:space="preserve">Bedourie Artesian Spa – 22 person Therapeutic Spa and provides for an aquatic centre (built in 2000) </w:t>
            </w:r>
          </w:p>
          <w:p w:rsidR="00B96DA3" w:rsidRPr="00863E1E" w:rsidRDefault="00B96DA3" w:rsidP="008F7ADA">
            <w:pPr>
              <w:pStyle w:val="Tablesmallbullet"/>
            </w:pPr>
            <w:r w:rsidRPr="00863E1E">
              <w:t>Cunnamulla Fella Centre – Artesian Time Tunnel, Paroo Shire Council, Eromanga Basin</w:t>
            </w:r>
          </w:p>
        </w:tc>
      </w:tr>
      <w:tr w:rsidR="00B96DA3" w:rsidRPr="00863E1E" w:rsidTr="00622785">
        <w:trPr>
          <w:cantSplit/>
        </w:trPr>
        <w:tc>
          <w:tcPr>
            <w:tcW w:w="596" w:type="pct"/>
          </w:tcPr>
          <w:p w:rsidR="00B96DA3" w:rsidRPr="00645758" w:rsidRDefault="00B96DA3" w:rsidP="00396219">
            <w:pPr>
              <w:pStyle w:val="Tablesmalltext"/>
              <w:rPr>
                <w:b/>
              </w:rPr>
            </w:pPr>
            <w:r w:rsidRPr="00645758">
              <w:rPr>
                <w:b/>
              </w:rPr>
              <w:t>SA</w:t>
            </w:r>
          </w:p>
        </w:tc>
        <w:tc>
          <w:tcPr>
            <w:tcW w:w="1601" w:type="pct"/>
          </w:tcPr>
          <w:p w:rsidR="00B96DA3" w:rsidRPr="00863E1E" w:rsidRDefault="00B96DA3" w:rsidP="00D94B3E">
            <w:pPr>
              <w:pStyle w:val="Tablesmallbullet"/>
            </w:pPr>
            <w:r w:rsidRPr="00863E1E">
              <w:t>Outback</w:t>
            </w:r>
            <w:r w:rsidR="00D94B3E" w:rsidRPr="00863E1E">
              <w:t xml:space="preserve"> and Flinders Range </w:t>
            </w:r>
            <w:r w:rsidRPr="00863E1E">
              <w:t>– 570,000 visits over June 2010-12</w:t>
            </w:r>
            <w:r w:rsidR="00D94B3E" w:rsidRPr="00863E1E">
              <w:t>, with an average stay length of stay of 4.3 nights</w:t>
            </w:r>
            <w:r w:rsidR="00D94B3E" w:rsidRPr="00863E1E">
              <w:rPr>
                <w:rStyle w:val="FootnoteReference"/>
              </w:rPr>
              <w:footnoteReference w:id="22"/>
            </w:r>
            <w:r w:rsidR="00EF1079" w:rsidRPr="00863E1E">
              <w:t>; total tourism expenditure of $48m (basic prices) for the Outback region</w:t>
            </w:r>
            <w:r w:rsidR="00D35393" w:rsidRPr="00863E1E">
              <w:t xml:space="preserve"> only</w:t>
            </w:r>
          </w:p>
        </w:tc>
        <w:tc>
          <w:tcPr>
            <w:tcW w:w="2803" w:type="pct"/>
          </w:tcPr>
          <w:p w:rsidR="00B96DA3" w:rsidRPr="00863E1E" w:rsidRDefault="00B96DA3" w:rsidP="005966DD">
            <w:pPr>
              <w:pStyle w:val="Tablesmallbullet"/>
            </w:pPr>
            <w:r w:rsidRPr="00863E1E">
              <w:t>Wabma Kadarbu Mound Springs Conservation Park – Blanche Cup and The Bubbler mound springs</w:t>
            </w:r>
          </w:p>
          <w:p w:rsidR="00B96DA3" w:rsidRPr="00863E1E" w:rsidRDefault="00B96DA3" w:rsidP="005966DD">
            <w:pPr>
              <w:pStyle w:val="Tablesmallbullet"/>
            </w:pPr>
            <w:r w:rsidRPr="00863E1E">
              <w:t>Witjira National Park – Dalhous</w:t>
            </w:r>
            <w:r w:rsidR="00817C4F" w:rsidRPr="00863E1E">
              <w:t>i</w:t>
            </w:r>
            <w:r w:rsidRPr="00863E1E">
              <w:t>e Springs</w:t>
            </w:r>
          </w:p>
          <w:p w:rsidR="00B96DA3" w:rsidRPr="00863E1E" w:rsidRDefault="00B96DA3" w:rsidP="006815FE">
            <w:pPr>
              <w:pStyle w:val="Tablesmallbullet"/>
            </w:pPr>
            <w:r w:rsidRPr="00863E1E">
              <w:t>Vulkathunha-Gammon Ranges National Park – Mount McKinlay Spring</w:t>
            </w:r>
          </w:p>
        </w:tc>
      </w:tr>
    </w:tbl>
    <w:p w:rsidR="00BE5D46" w:rsidRPr="00863E1E" w:rsidRDefault="002119BE" w:rsidP="007759E6">
      <w:pPr>
        <w:pStyle w:val="Para0"/>
        <w:rPr>
          <w:b/>
          <w:i/>
        </w:rPr>
      </w:pPr>
      <w:r w:rsidRPr="00863E1E">
        <w:rPr>
          <w:b/>
          <w:i/>
        </w:rPr>
        <w:t>Metrics</w:t>
      </w:r>
    </w:p>
    <w:p w:rsidR="008A03C0" w:rsidRDefault="008A03C0" w:rsidP="008A03C0">
      <w:pPr>
        <w:pStyle w:val="Para0"/>
      </w:pPr>
      <w:r>
        <w:t>A potential metric to measure the tourism / recreational benefits of GABSI is provided below. This metric would need to be applied to each of the key tourism and recreation sites listed above. Importantly, the number of visitors captured in the assessment (and/or the length of stay) must reflect the additional visitor numbers (or duration) that can be directly attributed to GABSI. In other words, only the additional recreation or tourism benefits that are a result of improved spring flows should be captured. The proxy of 21% applied by Rolfe (2008) to estimate the marginal recreation/tourism value produced by GABSI would need to be further tested before it is used as part of a value for money assessment.</w:t>
      </w:r>
    </w:p>
    <w:p w:rsidR="00BA138D" w:rsidRPr="00DF1CEB" w:rsidRDefault="00BA138D" w:rsidP="00BA138D">
      <w:pPr>
        <w:pStyle w:val="Para0"/>
        <w:pBdr>
          <w:top w:val="single" w:sz="4" w:space="1" w:color="009DD1"/>
          <w:left w:val="single" w:sz="4" w:space="4" w:color="009DD1"/>
          <w:bottom w:val="single" w:sz="4" w:space="1" w:color="009DD1"/>
          <w:right w:val="single" w:sz="4" w:space="4" w:color="009DD1"/>
        </w:pBdr>
        <w:rPr>
          <w:b/>
          <w:i/>
          <w:sz w:val="22"/>
        </w:rPr>
      </w:pPr>
      <m:oMathPara>
        <m:oMathParaPr>
          <m:jc m:val="left"/>
        </m:oMathParaPr>
        <m:oMath>
          <m:r>
            <m:rPr>
              <m:sty m:val="bi"/>
            </m:rPr>
            <w:rPr>
              <w:rFonts w:ascii="Cambria Math" w:eastAsia="Cambria Math" w:hAnsi="Cambria Math" w:cs="Cambria Math"/>
              <w:color w:val="366295"/>
              <w:kern w:val="24"/>
              <w:szCs w:val="18"/>
            </w:rPr>
            <m:t xml:space="preserve">Tourism </m:t>
          </m:r>
          <m:r>
            <w:rPr>
              <w:rFonts w:ascii="Cambria Math" w:eastAsia="Cambria Math" w:hAnsi="Cambria Math" w:cs="Cambria Math"/>
              <w:color w:val="366295"/>
              <w:kern w:val="24"/>
              <w:szCs w:val="18"/>
            </w:rPr>
            <m:t>&amp; recreation benefit=PV(</m:t>
          </m:r>
          <m:nary>
            <m:naryPr>
              <m:chr m:val="∑"/>
              <m:grow m:val="on"/>
              <m:ctrlPr>
                <w:rPr>
                  <w:rFonts w:ascii="Cambria Math" w:eastAsia="Times New Roman" w:hAnsi="Cambria Math" w:cs="Times New Roman"/>
                  <w:b/>
                  <w:i/>
                  <w:iCs/>
                  <w:color w:val="366295"/>
                  <w:kern w:val="24"/>
                  <w:szCs w:val="18"/>
                </w:rPr>
              </m:ctrlPr>
            </m:naryPr>
            <m:sub>
              <m:r>
                <m:rPr>
                  <m:sty m:val="bi"/>
                </m:rPr>
                <w:rPr>
                  <w:rFonts w:ascii="Cambria Math" w:eastAsia="Cambria Math" w:hAnsi="Cambria Math" w:cs="Cambria Math"/>
                  <w:color w:val="366295"/>
                  <w:kern w:val="24"/>
                  <w:szCs w:val="18"/>
                </w:rPr>
                <m:t>y=1999</m:t>
              </m:r>
            </m:sub>
            <m:sup>
              <m:r>
                <m:rPr>
                  <m:sty m:val="bi"/>
                </m:rPr>
                <w:rPr>
                  <w:rFonts w:ascii="Cambria Math" w:eastAsia="Cambria Math" w:hAnsi="Cambria Math" w:cs="Cambria Math"/>
                  <w:color w:val="366295"/>
                  <w:kern w:val="24"/>
                  <w:szCs w:val="18"/>
                </w:rPr>
                <m:t>y=2043</m:t>
              </m:r>
            </m:sup>
            <m:e>
              <m:r>
                <m:rPr>
                  <m:sty m:val="bi"/>
                </m:rPr>
                <w:rPr>
                  <w:rFonts w:ascii="Cambria Math" w:hAnsi="Cambria Math"/>
                  <w:color w:val="366295"/>
                  <w:kern w:val="24"/>
                  <w:szCs w:val="18"/>
                </w:rPr>
                <m:t>(incremental annual visitors (#)</m:t>
              </m:r>
              <m:r>
                <m:rPr>
                  <m:sty m:val="bi"/>
                </m:rPr>
                <w:rPr>
                  <w:rFonts w:ascii="Cambria Math" w:eastAsia="Cambria Math" w:hAnsi="Cambria Math" w:cs="Cambria Math"/>
                  <w:color w:val="366295"/>
                  <w:kern w:val="24"/>
                  <w:szCs w:val="18"/>
                </w:rPr>
                <m:t xml:space="preserve">×length of stay </m:t>
              </m:r>
              <m:d>
                <m:dPr>
                  <m:ctrlPr>
                    <w:rPr>
                      <w:rFonts w:ascii="Cambria Math" w:eastAsia="Cambria Math" w:hAnsi="Cambria Math" w:cs="Cambria Math"/>
                      <w:b/>
                      <w:i/>
                      <w:color w:val="366295"/>
                      <w:kern w:val="24"/>
                      <w:szCs w:val="18"/>
                    </w:rPr>
                  </m:ctrlPr>
                </m:dPr>
                <m:e>
                  <m:r>
                    <m:rPr>
                      <m:sty m:val="bi"/>
                    </m:rPr>
                    <w:rPr>
                      <w:rFonts w:ascii="Cambria Math" w:eastAsia="Cambria Math" w:hAnsi="Cambria Math" w:cs="Cambria Math"/>
                      <w:color w:val="366295"/>
                      <w:kern w:val="24"/>
                      <w:szCs w:val="18"/>
                    </w:rPr>
                    <m:t>days</m:t>
                  </m:r>
                </m:e>
              </m:d>
              <m:r>
                <m:rPr>
                  <m:sty m:val="bi"/>
                </m:rPr>
                <w:rPr>
                  <w:rFonts w:ascii="Cambria Math" w:eastAsia="Cambria Math" w:hAnsi="Cambria Math" w:cs="Cambria Math"/>
                  <w:color w:val="366295"/>
                  <w:kern w:val="24"/>
                  <w:szCs w:val="18"/>
                </w:rPr>
                <m:t>×consumer surplus ($/day)</m:t>
              </m:r>
            </m:e>
          </m:nary>
        </m:oMath>
      </m:oMathPara>
    </w:p>
    <w:p w:rsidR="002119BE" w:rsidRPr="00863E1E" w:rsidRDefault="002119BE" w:rsidP="007759E6">
      <w:pPr>
        <w:pStyle w:val="Para0"/>
        <w:rPr>
          <w:b/>
          <w:i/>
        </w:rPr>
      </w:pPr>
      <w:r w:rsidRPr="00863E1E">
        <w:rPr>
          <w:b/>
          <w:i/>
        </w:rPr>
        <w:t>Results</w:t>
      </w:r>
    </w:p>
    <w:p w:rsidR="00D37AE0" w:rsidRPr="00F513E9" w:rsidRDefault="00D37AE0" w:rsidP="00D37AE0">
      <w:pPr>
        <w:pStyle w:val="Para0"/>
      </w:pPr>
      <w:r>
        <w:t xml:space="preserve">A value for recreational or tourism benefits could not be quantified based on existing data. In particular, data on the visitor numbers and average length of stay at each of the key tourism and recreation sites listed above would be required. This data would also need to identify the increase in visitor numbers or length of stay at each site as a result of GABSI. The information currently available does not provide that required level of detail for this type of analysis. However, based on the previous study of the Dalhousie Springs complex (recreation benefits of $0.6m/annum) there are likely to be some relatively minor but tangible recreation benefits associated with the GABSI program. </w:t>
      </w:r>
    </w:p>
    <w:p w:rsidR="000B5AAB" w:rsidRDefault="000B5AAB" w:rsidP="000B5AAB">
      <w:pPr>
        <w:pStyle w:val="Heading3"/>
      </w:pPr>
      <w:r w:rsidRPr="00863E1E">
        <w:t>Heritage benefits</w:t>
      </w:r>
    </w:p>
    <w:p w:rsidR="0003164D" w:rsidRPr="0003164D" w:rsidRDefault="0003164D" w:rsidP="0003164D">
      <w:pPr>
        <w:pStyle w:val="Para0"/>
        <w:rPr>
          <w:b/>
          <w:i/>
        </w:rPr>
      </w:pPr>
      <w:r>
        <w:rPr>
          <w:b/>
          <w:i/>
        </w:rPr>
        <w:t>Methodology</w:t>
      </w:r>
    </w:p>
    <w:p w:rsidR="00D37AE0" w:rsidRDefault="00D37AE0" w:rsidP="00D37AE0">
      <w:pPr>
        <w:pStyle w:val="Para0"/>
      </w:pPr>
      <w:bookmarkStart w:id="40" w:name="_Toc371920339"/>
      <w:r w:rsidRPr="00863E1E">
        <w:t xml:space="preserve">Heritage </w:t>
      </w:r>
      <w:r>
        <w:t>value attributed to the GABSI program</w:t>
      </w:r>
      <w:r w:rsidRPr="00863E1E">
        <w:t xml:space="preserve"> cannot be quantified because: 1) the GAB area has not been systematically surveyed or assessed for cultural heritage significance; and 2) surveys to determine the importance of cultural heritage sites in the GAB to Indigenous and non-Indigenous communities have not been undertaken.</w:t>
      </w:r>
      <w:r>
        <w:t xml:space="preserve"> Furthermore, some information is culturally sensitive and thus not widely available. Thus, metrics have not been developed for this part of the TEV framework.</w:t>
      </w:r>
    </w:p>
    <w:p w:rsidR="0003164D" w:rsidRPr="0003164D" w:rsidRDefault="0003164D" w:rsidP="00102107">
      <w:pPr>
        <w:pStyle w:val="Para0"/>
        <w:rPr>
          <w:b/>
          <w:i/>
        </w:rPr>
      </w:pPr>
      <w:r w:rsidRPr="0003164D">
        <w:rPr>
          <w:b/>
          <w:i/>
        </w:rPr>
        <w:t>Results</w:t>
      </w:r>
    </w:p>
    <w:p w:rsidR="0003164D" w:rsidRDefault="00102107" w:rsidP="0003164D">
      <w:pPr>
        <w:pStyle w:val="Para0"/>
        <w:rPr>
          <w:rFonts w:ascii="Optima" w:hAnsi="Optima" w:cs="Optima"/>
          <w:szCs w:val="20"/>
        </w:rPr>
      </w:pPr>
      <w:r w:rsidRPr="00863E1E">
        <w:t>Although these benefits cannot be quantified, there is significant e</w:t>
      </w:r>
      <w:r w:rsidRPr="00863E1E">
        <w:rPr>
          <w:rFonts w:ascii="Optima" w:hAnsi="Optima" w:cs="Optima"/>
          <w:szCs w:val="20"/>
        </w:rPr>
        <w:t xml:space="preserve">vidence of Indigenous occupation and use recorded within GAB spring wetlands. Cultural heritage artefacts including scarred trees, rock art, burials, pathways, stone artefacts and scatters, wells, grinding grooves, etc. have all been found at sites and spring wetlands throughout the GAB. </w:t>
      </w:r>
    </w:p>
    <w:p w:rsidR="0015124F" w:rsidRDefault="00102107" w:rsidP="00C52460">
      <w:pPr>
        <w:pStyle w:val="Para0"/>
        <w:rPr>
          <w:rFonts w:ascii="Optima" w:hAnsi="Optima" w:cs="Optima"/>
          <w:szCs w:val="20"/>
        </w:rPr>
      </w:pPr>
      <w:r w:rsidRPr="00863E1E">
        <w:rPr>
          <w:rFonts w:ascii="Optima" w:hAnsi="Optima" w:cs="Optima"/>
          <w:szCs w:val="20"/>
        </w:rPr>
        <w:t>In Queensland</w:t>
      </w:r>
      <w:r w:rsidR="008A03C0">
        <w:rPr>
          <w:rFonts w:ascii="Optima" w:hAnsi="Optima" w:cs="Optima"/>
          <w:szCs w:val="20"/>
        </w:rPr>
        <w:t>,</w:t>
      </w:r>
      <w:r w:rsidR="0003164D">
        <w:rPr>
          <w:rFonts w:ascii="Optima" w:hAnsi="Optima" w:cs="Optima"/>
          <w:szCs w:val="20"/>
        </w:rPr>
        <w:t xml:space="preserve"> for example</w:t>
      </w:r>
      <w:r w:rsidRPr="00863E1E">
        <w:rPr>
          <w:rFonts w:ascii="Optima" w:hAnsi="Optima" w:cs="Optima"/>
          <w:szCs w:val="20"/>
        </w:rPr>
        <w:t xml:space="preserve">, 150 Indigenous cultural heritage sites have been recorded in relation to GAB spring wetlands, however this is expected to be a lower estimate of the total number of sites. </w:t>
      </w:r>
      <w:r w:rsidR="0003164D">
        <w:rPr>
          <w:rFonts w:ascii="Optima" w:hAnsi="Optima" w:cs="Optima"/>
          <w:szCs w:val="20"/>
        </w:rPr>
        <w:t>In NSW, s</w:t>
      </w:r>
      <w:r w:rsidR="0003164D" w:rsidRPr="0003164D">
        <w:rPr>
          <w:rFonts w:ascii="Optima" w:hAnsi="Optima" w:cs="Optima"/>
          <w:szCs w:val="20"/>
        </w:rPr>
        <w:t>ignificance to Aboriginal people has not been researched for the springs, but Peery Lake has been designated a place of major cultural significance for Aboriginal people of the Barkindji.</w:t>
      </w:r>
      <w:r w:rsidR="0003164D">
        <w:rPr>
          <w:rFonts w:ascii="Optima" w:hAnsi="Optima" w:cs="Optima"/>
          <w:szCs w:val="20"/>
        </w:rPr>
        <w:t xml:space="preserve"> South Australia has also undertaken studies finding Indigenous cultural heritage sites in the GAB region, but these records are</w:t>
      </w:r>
      <w:r w:rsidR="002E6C4D">
        <w:rPr>
          <w:rFonts w:ascii="Optima" w:hAnsi="Optima" w:cs="Optima"/>
          <w:szCs w:val="20"/>
        </w:rPr>
        <w:t xml:space="preserve"> not available to the public</w:t>
      </w:r>
      <w:r w:rsidR="0003164D">
        <w:rPr>
          <w:rFonts w:ascii="Optima" w:hAnsi="Optima" w:cs="Optima"/>
          <w:szCs w:val="20"/>
        </w:rPr>
        <w:t>.</w:t>
      </w:r>
    </w:p>
    <w:p w:rsidR="000B5AAB" w:rsidRPr="00863E1E" w:rsidRDefault="000B5AAB" w:rsidP="0015124F">
      <w:pPr>
        <w:pStyle w:val="Heading2"/>
      </w:pPr>
      <w:bookmarkStart w:id="41" w:name="_Toc378163306"/>
      <w:r w:rsidRPr="00863E1E">
        <w:t xml:space="preserve">Indirect </w:t>
      </w:r>
      <w:bookmarkEnd w:id="40"/>
      <w:r w:rsidR="007A6C69" w:rsidRPr="00863E1E">
        <w:t>value</w:t>
      </w:r>
      <w:bookmarkEnd w:id="41"/>
    </w:p>
    <w:p w:rsidR="007A6C69" w:rsidRPr="00863E1E" w:rsidRDefault="007A6C69" w:rsidP="007A6C69">
      <w:pPr>
        <w:pStyle w:val="Heading3"/>
      </w:pPr>
      <w:r w:rsidRPr="00863E1E">
        <w:t>Indirect benefits to rural communities</w:t>
      </w:r>
    </w:p>
    <w:p w:rsidR="00067A6F" w:rsidRPr="00863E1E" w:rsidRDefault="00067A6F" w:rsidP="00067A6F">
      <w:pPr>
        <w:pStyle w:val="subhead"/>
      </w:pPr>
      <w:r w:rsidRPr="00863E1E">
        <w:t>Method</w:t>
      </w:r>
    </w:p>
    <w:p w:rsidR="00541A0B" w:rsidRPr="00A46503" w:rsidRDefault="00067A6F" w:rsidP="000B5AAB">
      <w:pPr>
        <w:pStyle w:val="Para0"/>
      </w:pPr>
      <w:r w:rsidRPr="00A46503">
        <w:t xml:space="preserve">The </w:t>
      </w:r>
      <w:r w:rsidR="00541A0B" w:rsidRPr="00A46503">
        <w:t xml:space="preserve">flow-on effects of </w:t>
      </w:r>
      <w:r w:rsidRPr="00A46503">
        <w:t xml:space="preserve">the direct consumptive benefit to the rest of the economy have been </w:t>
      </w:r>
      <w:r w:rsidR="00541A0B" w:rsidRPr="00A46503">
        <w:t>estimated using</w:t>
      </w:r>
      <w:r w:rsidRPr="00A46503">
        <w:t xml:space="preserve"> multipliers estimated by Deloitte Access Economics (2013). These multipliers reflect the degree to which the economic activity by water </w:t>
      </w:r>
      <w:r w:rsidR="00A46503">
        <w:t>users</w:t>
      </w:r>
      <w:r w:rsidRPr="00A46503">
        <w:t xml:space="preserve"> impact</w:t>
      </w:r>
      <w:r w:rsidR="00A46503">
        <w:t>s</w:t>
      </w:r>
      <w:r w:rsidRPr="00A46503">
        <w:t xml:space="preserve"> demand for inputs in other sectors. </w:t>
      </w:r>
    </w:p>
    <w:p w:rsidR="00A46503" w:rsidRDefault="00541A0B" w:rsidP="000B5AAB">
      <w:pPr>
        <w:pStyle w:val="Para0"/>
      </w:pPr>
      <w:r w:rsidRPr="00A46503">
        <w:t>The multipliers estimated are presented in ratio figures, which represent the ratio between total direct value and total value. A ratio of 2 therefore suggests that every dollar of direct value results in an additional value of $1 of value add elsewhere in the economy, with a total economic value of $2. These ratios (as well as multipliers between direct and indirect value) are provided in the following table.</w:t>
      </w:r>
    </w:p>
    <w:p w:rsidR="008A03C0" w:rsidRDefault="008A03C0" w:rsidP="008A03C0">
      <w:pPr>
        <w:pStyle w:val="Caption"/>
      </w:pPr>
      <w:bookmarkStart w:id="42" w:name="_Ref373498481"/>
      <w:r>
        <w:t xml:space="preserve">Table </w:t>
      </w:r>
      <w:r w:rsidR="006768F1">
        <w:fldChar w:fldCharType="begin"/>
      </w:r>
      <w:r w:rsidR="00F843FC">
        <w:instrText xml:space="preserve"> SEQ Table \* ARABIC </w:instrText>
      </w:r>
      <w:r w:rsidR="006768F1">
        <w:fldChar w:fldCharType="separate"/>
      </w:r>
      <w:r w:rsidR="00516D07">
        <w:rPr>
          <w:noProof/>
        </w:rPr>
        <w:t>14</w:t>
      </w:r>
      <w:r w:rsidR="006768F1">
        <w:fldChar w:fldCharType="end"/>
      </w:r>
      <w:bookmarkEnd w:id="42"/>
      <w:r>
        <w:t xml:space="preserve">: </w:t>
      </w:r>
      <w:r w:rsidRPr="00AE040F">
        <w:t>Summary of available indirect benefit multipliers (Deloitte Access Economics, 2013)</w:t>
      </w:r>
    </w:p>
    <w:tbl>
      <w:tblPr>
        <w:tblW w:w="428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5246"/>
        <w:gridCol w:w="1702"/>
        <w:gridCol w:w="1698"/>
      </w:tblGrid>
      <w:tr w:rsidR="00F669FB" w:rsidRPr="00863E1E" w:rsidTr="001753FF">
        <w:trPr>
          <w:cantSplit/>
          <w:tblHeader/>
        </w:trPr>
        <w:tc>
          <w:tcPr>
            <w:tcW w:w="3034" w:type="pct"/>
            <w:shd w:val="clear" w:color="auto" w:fill="5185C0"/>
          </w:tcPr>
          <w:p w:rsidR="00A46503" w:rsidRPr="00863E1E" w:rsidRDefault="00A46503" w:rsidP="00A46503">
            <w:pPr>
              <w:pStyle w:val="Tablesmallheading"/>
            </w:pPr>
            <w:r>
              <w:t>Sector</w:t>
            </w:r>
          </w:p>
        </w:tc>
        <w:tc>
          <w:tcPr>
            <w:tcW w:w="984" w:type="pct"/>
            <w:shd w:val="clear" w:color="auto" w:fill="5185C0"/>
            <w:vAlign w:val="center"/>
          </w:tcPr>
          <w:p w:rsidR="00A46503" w:rsidRPr="00863E1E" w:rsidRDefault="00A46503" w:rsidP="001753FF">
            <w:pPr>
              <w:pStyle w:val="Tablesmallheading"/>
              <w:jc w:val="center"/>
            </w:pPr>
            <w:r>
              <w:t>Ratio of direct to total value</w:t>
            </w:r>
          </w:p>
        </w:tc>
        <w:tc>
          <w:tcPr>
            <w:tcW w:w="982" w:type="pct"/>
            <w:shd w:val="clear" w:color="auto" w:fill="5185C0"/>
            <w:vAlign w:val="center"/>
          </w:tcPr>
          <w:p w:rsidR="00A46503" w:rsidRPr="00863E1E" w:rsidRDefault="00A46503" w:rsidP="001753FF">
            <w:pPr>
              <w:pStyle w:val="Tablesmallheading"/>
              <w:jc w:val="center"/>
            </w:pPr>
            <w:r>
              <w:t>Multiplier – direct to indirect value</w:t>
            </w:r>
          </w:p>
        </w:tc>
      </w:tr>
      <w:tr w:rsidR="00A46503" w:rsidRPr="00863E1E" w:rsidTr="001753FF">
        <w:trPr>
          <w:cantSplit/>
        </w:trPr>
        <w:tc>
          <w:tcPr>
            <w:tcW w:w="3034" w:type="pct"/>
            <w:vAlign w:val="center"/>
          </w:tcPr>
          <w:p w:rsidR="00A46503" w:rsidRDefault="00A46503" w:rsidP="00A46503">
            <w:pPr>
              <w:pStyle w:val="Tablesmalltext"/>
            </w:pPr>
            <w:r>
              <w:t xml:space="preserve">Agriculture - Irrigation </w:t>
            </w:r>
          </w:p>
        </w:tc>
        <w:tc>
          <w:tcPr>
            <w:tcW w:w="984" w:type="pct"/>
            <w:vAlign w:val="center"/>
          </w:tcPr>
          <w:p w:rsidR="00A46503" w:rsidRDefault="00A46503" w:rsidP="001753FF">
            <w:pPr>
              <w:pStyle w:val="Tablesmalltext"/>
              <w:jc w:val="center"/>
            </w:pPr>
            <w:r>
              <w:t>2.00</w:t>
            </w:r>
          </w:p>
        </w:tc>
        <w:tc>
          <w:tcPr>
            <w:tcW w:w="982" w:type="pct"/>
            <w:vAlign w:val="center"/>
          </w:tcPr>
          <w:p w:rsidR="00A46503" w:rsidRDefault="00A46503" w:rsidP="001753FF">
            <w:pPr>
              <w:pStyle w:val="Tablesmalltext"/>
              <w:jc w:val="center"/>
            </w:pPr>
            <w:r>
              <w:t>1.00</w:t>
            </w:r>
          </w:p>
        </w:tc>
      </w:tr>
      <w:tr w:rsidR="00A46503" w:rsidRPr="00863E1E" w:rsidTr="001753FF">
        <w:trPr>
          <w:cantSplit/>
        </w:trPr>
        <w:tc>
          <w:tcPr>
            <w:tcW w:w="3034" w:type="pct"/>
            <w:vAlign w:val="center"/>
          </w:tcPr>
          <w:p w:rsidR="00A46503" w:rsidRDefault="00A46503" w:rsidP="00A46503">
            <w:pPr>
              <w:pStyle w:val="Tablesmalltext"/>
            </w:pPr>
            <w:r>
              <w:t xml:space="preserve">Agriculture- drinking water for livestock </w:t>
            </w:r>
          </w:p>
        </w:tc>
        <w:tc>
          <w:tcPr>
            <w:tcW w:w="984" w:type="pct"/>
            <w:vAlign w:val="center"/>
          </w:tcPr>
          <w:p w:rsidR="00A46503" w:rsidRDefault="00A46503" w:rsidP="001753FF">
            <w:pPr>
              <w:pStyle w:val="Tablesmalltext"/>
              <w:jc w:val="center"/>
            </w:pPr>
            <w:r>
              <w:t>2.08</w:t>
            </w:r>
          </w:p>
        </w:tc>
        <w:tc>
          <w:tcPr>
            <w:tcW w:w="982" w:type="pct"/>
            <w:vAlign w:val="center"/>
          </w:tcPr>
          <w:p w:rsidR="00A46503" w:rsidRDefault="00A46503" w:rsidP="001753FF">
            <w:pPr>
              <w:pStyle w:val="Tablesmalltext"/>
              <w:jc w:val="center"/>
            </w:pPr>
            <w:r>
              <w:t>1.08</w:t>
            </w:r>
          </w:p>
        </w:tc>
      </w:tr>
      <w:tr w:rsidR="00A46503" w:rsidRPr="00863E1E" w:rsidTr="001753FF">
        <w:trPr>
          <w:cantSplit/>
        </w:trPr>
        <w:tc>
          <w:tcPr>
            <w:tcW w:w="3034" w:type="pct"/>
            <w:vAlign w:val="center"/>
          </w:tcPr>
          <w:p w:rsidR="00A46503" w:rsidRDefault="00A46503" w:rsidP="00A46503">
            <w:pPr>
              <w:pStyle w:val="Tablesmalltext"/>
            </w:pPr>
            <w:r>
              <w:t>Mining</w:t>
            </w:r>
          </w:p>
        </w:tc>
        <w:tc>
          <w:tcPr>
            <w:tcW w:w="984" w:type="pct"/>
            <w:vAlign w:val="center"/>
          </w:tcPr>
          <w:p w:rsidR="00A46503" w:rsidRDefault="00A46503" w:rsidP="001753FF">
            <w:pPr>
              <w:pStyle w:val="Tablesmalltext"/>
              <w:jc w:val="center"/>
            </w:pPr>
            <w:r>
              <w:t>1.45</w:t>
            </w:r>
          </w:p>
        </w:tc>
        <w:tc>
          <w:tcPr>
            <w:tcW w:w="982" w:type="pct"/>
            <w:vAlign w:val="center"/>
          </w:tcPr>
          <w:p w:rsidR="00A46503" w:rsidRDefault="00A46503" w:rsidP="001753FF">
            <w:pPr>
              <w:pStyle w:val="Tablesmalltext"/>
              <w:jc w:val="center"/>
            </w:pPr>
            <w:r>
              <w:t>0.45</w:t>
            </w:r>
          </w:p>
        </w:tc>
      </w:tr>
      <w:tr w:rsidR="00A46503" w:rsidRPr="00863E1E" w:rsidTr="001753FF">
        <w:trPr>
          <w:cantSplit/>
        </w:trPr>
        <w:tc>
          <w:tcPr>
            <w:tcW w:w="3034" w:type="pct"/>
            <w:vAlign w:val="center"/>
          </w:tcPr>
          <w:p w:rsidR="00A46503" w:rsidRDefault="00A46503" w:rsidP="00A46503">
            <w:pPr>
              <w:pStyle w:val="Tablesmalltext"/>
            </w:pPr>
            <w:r>
              <w:t xml:space="preserve">Urban Water supply </w:t>
            </w:r>
          </w:p>
        </w:tc>
        <w:tc>
          <w:tcPr>
            <w:tcW w:w="984" w:type="pct"/>
            <w:vAlign w:val="center"/>
          </w:tcPr>
          <w:p w:rsidR="00A46503" w:rsidRDefault="00A46503" w:rsidP="001753FF">
            <w:pPr>
              <w:pStyle w:val="Tablesmalltext"/>
              <w:jc w:val="center"/>
            </w:pPr>
            <w:r>
              <w:t>1.89</w:t>
            </w:r>
          </w:p>
        </w:tc>
        <w:tc>
          <w:tcPr>
            <w:tcW w:w="982" w:type="pct"/>
            <w:vAlign w:val="center"/>
          </w:tcPr>
          <w:p w:rsidR="00A46503" w:rsidRDefault="00A46503" w:rsidP="001753FF">
            <w:pPr>
              <w:pStyle w:val="Tablesmalltext"/>
              <w:jc w:val="center"/>
            </w:pPr>
            <w:r>
              <w:t>0.89</w:t>
            </w:r>
          </w:p>
        </w:tc>
      </w:tr>
      <w:tr w:rsidR="00A46503" w:rsidRPr="00863E1E" w:rsidTr="001753FF">
        <w:trPr>
          <w:cantSplit/>
        </w:trPr>
        <w:tc>
          <w:tcPr>
            <w:tcW w:w="3034" w:type="pct"/>
            <w:vAlign w:val="center"/>
          </w:tcPr>
          <w:p w:rsidR="00A46503" w:rsidRDefault="00A46503" w:rsidP="00A46503">
            <w:pPr>
              <w:pStyle w:val="Tablesmalltext"/>
            </w:pPr>
            <w:r>
              <w:t>Households</w:t>
            </w:r>
          </w:p>
        </w:tc>
        <w:tc>
          <w:tcPr>
            <w:tcW w:w="984" w:type="pct"/>
            <w:vAlign w:val="center"/>
          </w:tcPr>
          <w:p w:rsidR="00A46503" w:rsidRDefault="00A46503" w:rsidP="001753FF">
            <w:pPr>
              <w:pStyle w:val="Tablesmalltext"/>
              <w:jc w:val="center"/>
            </w:pPr>
            <w:r>
              <w:t>NA</w:t>
            </w:r>
          </w:p>
        </w:tc>
        <w:tc>
          <w:tcPr>
            <w:tcW w:w="982" w:type="pct"/>
            <w:vAlign w:val="center"/>
          </w:tcPr>
          <w:p w:rsidR="00A46503" w:rsidRDefault="00A46503" w:rsidP="001753FF">
            <w:pPr>
              <w:pStyle w:val="Tablesmalltext"/>
              <w:jc w:val="center"/>
            </w:pPr>
            <w:r>
              <w:t>NA</w:t>
            </w:r>
          </w:p>
        </w:tc>
      </w:tr>
      <w:tr w:rsidR="00A46503" w:rsidRPr="00863E1E" w:rsidTr="001753FF">
        <w:trPr>
          <w:cantSplit/>
        </w:trPr>
        <w:tc>
          <w:tcPr>
            <w:tcW w:w="3034" w:type="pct"/>
            <w:vAlign w:val="center"/>
          </w:tcPr>
          <w:p w:rsidR="00A46503" w:rsidRDefault="00A46503" w:rsidP="00A46503">
            <w:pPr>
              <w:pStyle w:val="Tablesmalltext"/>
            </w:pPr>
            <w:r>
              <w:t>Manufacturing and other industries</w:t>
            </w:r>
          </w:p>
        </w:tc>
        <w:tc>
          <w:tcPr>
            <w:tcW w:w="984" w:type="pct"/>
            <w:vAlign w:val="center"/>
          </w:tcPr>
          <w:p w:rsidR="00A46503" w:rsidRDefault="00A46503" w:rsidP="001753FF">
            <w:pPr>
              <w:pStyle w:val="Tablesmalltext"/>
              <w:jc w:val="center"/>
            </w:pPr>
            <w:r>
              <w:t>2.00</w:t>
            </w:r>
          </w:p>
        </w:tc>
        <w:tc>
          <w:tcPr>
            <w:tcW w:w="982" w:type="pct"/>
            <w:vAlign w:val="center"/>
          </w:tcPr>
          <w:p w:rsidR="00A46503" w:rsidRDefault="00A46503" w:rsidP="001753FF">
            <w:pPr>
              <w:pStyle w:val="Tablesmalltext"/>
              <w:jc w:val="center"/>
            </w:pPr>
            <w:r>
              <w:t>1.00</w:t>
            </w:r>
          </w:p>
        </w:tc>
      </w:tr>
    </w:tbl>
    <w:p w:rsidR="0033599F" w:rsidRDefault="0033599F" w:rsidP="0033599F">
      <w:pPr>
        <w:pStyle w:val="Para0"/>
      </w:pPr>
      <w:r>
        <w:t>The average multiplier across sectors was used in the assessment. This is an indicative estimate only; as the multiplier could be higher or lower depending on how the water is reallocated (i.e. to which sector). This is discussed in more detail in</w:t>
      </w:r>
      <w:r w:rsidR="001319DD">
        <w:t xml:space="preserve"> </w:t>
      </w:r>
      <w:r w:rsidR="006768F1">
        <w:fldChar w:fldCharType="begin"/>
      </w:r>
      <w:r w:rsidR="001319DD">
        <w:instrText xml:space="preserve"> REF _Ref373498426 \h </w:instrText>
      </w:r>
      <w:r w:rsidR="006768F1">
        <w:fldChar w:fldCharType="separate"/>
      </w:r>
      <w:r w:rsidR="00516D07" w:rsidRPr="00863E1E">
        <w:t xml:space="preserve">Table </w:t>
      </w:r>
      <w:r w:rsidR="00516D07">
        <w:rPr>
          <w:noProof/>
        </w:rPr>
        <w:t>15</w:t>
      </w:r>
      <w:r w:rsidR="006768F1">
        <w:fldChar w:fldCharType="end"/>
      </w:r>
      <w:r>
        <w:t>.</w:t>
      </w:r>
    </w:p>
    <w:p w:rsidR="00A46503" w:rsidRPr="00A46503" w:rsidRDefault="00A46503" w:rsidP="000B5AAB">
      <w:pPr>
        <w:pStyle w:val="Para0"/>
      </w:pPr>
      <w:r w:rsidRPr="00A46503">
        <w:t xml:space="preserve">The average multiplier is applied to the direct use value quantified in the assessment, which is the direct use value from reallocation of saved water. </w:t>
      </w:r>
    </w:p>
    <w:p w:rsidR="00A46503" w:rsidRPr="00863E1E" w:rsidRDefault="00A46503" w:rsidP="00A46503">
      <w:pPr>
        <w:pStyle w:val="subhead"/>
      </w:pPr>
      <w:r w:rsidRPr="00863E1E">
        <w:t>Metrics</w:t>
      </w:r>
    </w:p>
    <w:p w:rsidR="00C91B94" w:rsidRDefault="00C91B94" w:rsidP="00C91B94">
      <w:pPr>
        <w:pStyle w:val="Para0"/>
      </w:pPr>
      <w:r w:rsidRPr="00863E1E">
        <w:t>The methodology and associated metrics applied to value the consumptive use of reallocated water are presented in the following equation:</w:t>
      </w:r>
    </w:p>
    <w:p w:rsidR="00C91B94" w:rsidRPr="00DF1CEB" w:rsidRDefault="00C91B94" w:rsidP="00C91B94">
      <w:pPr>
        <w:pStyle w:val="Para0"/>
        <w:pBdr>
          <w:top w:val="single" w:sz="4" w:space="1" w:color="5185C0" w:themeColor="accent6"/>
          <w:left w:val="single" w:sz="4" w:space="4" w:color="5185C0" w:themeColor="accent6"/>
          <w:bottom w:val="single" w:sz="4" w:space="1" w:color="5185C0" w:themeColor="accent6"/>
          <w:right w:val="single" w:sz="4" w:space="4" w:color="5185C0" w:themeColor="accent6"/>
        </w:pBdr>
      </w:pPr>
      <m:oMathPara>
        <m:oMathParaPr>
          <m:jc m:val="left"/>
        </m:oMathParaPr>
        <m:oMath>
          <m:r>
            <m:rPr>
              <m:sty m:val="bi"/>
            </m:rPr>
            <w:rPr>
              <w:rFonts w:ascii="Cambria Math" w:hAnsi="Cambria Math"/>
              <w:color w:val="366295" w:themeColor="accent6" w:themeShade="BF"/>
              <w:kern w:val="24"/>
            </w:rPr>
            <m:t>Indirect benefits</m:t>
          </m:r>
          <m:r>
            <m:rPr>
              <m:sty m:val="p"/>
            </m:rPr>
            <w:rPr>
              <w:rFonts w:ascii="Cambria Math" w:eastAsia="Cambria Math" w:hAnsi="Cambria Math" w:cs="Cambria Math"/>
              <w:color w:val="366295" w:themeColor="accent6" w:themeShade="BF"/>
              <w:kern w:val="24"/>
            </w:rPr>
            <m:t>=</m:t>
          </m:r>
          <m:r>
            <m:rPr>
              <m:sty m:val="bi"/>
            </m:rPr>
            <w:rPr>
              <w:rFonts w:ascii="Cambria Math" w:eastAsia="Cambria Math" w:hAnsi="Cambria Math" w:cs="Cambria Math"/>
              <w:color w:val="366295" w:themeColor="accent6" w:themeShade="BF"/>
              <w:kern w:val="24"/>
            </w:rPr>
            <m:t>PV</m:t>
          </m:r>
          <m:r>
            <m:rPr>
              <m:sty m:val="p"/>
            </m:rPr>
            <w:rPr>
              <w:rFonts w:ascii="Cambria Math" w:eastAsia="Cambria Math" w:hAnsi="Cambria Math" w:cs="Cambria Math"/>
              <w:color w:val="366295" w:themeColor="accent6" w:themeShade="BF"/>
              <w:kern w:val="24"/>
            </w:rPr>
            <m:t>(</m:t>
          </m:r>
          <m:nary>
            <m:naryPr>
              <m:chr m:val="∑"/>
              <m:grow m:val="on"/>
              <m:ctrlPr>
                <w:rPr>
                  <w:rFonts w:ascii="Cambria Math" w:hAnsi="Cambria Math"/>
                  <w:i/>
                  <w:iCs/>
                  <w:color w:val="366295" w:themeColor="accent6" w:themeShade="BF"/>
                  <w:kern w:val="24"/>
                </w:rPr>
              </m:ctrlPr>
            </m:naryPr>
            <m:sub>
              <m:r>
                <m:rPr>
                  <m:sty m:val="bi"/>
                </m:rPr>
                <w:rPr>
                  <w:rFonts w:ascii="Cambria Math" w:eastAsia="Cambria Math" w:hAnsi="Cambria Math" w:cs="Cambria Math"/>
                  <w:color w:val="366295" w:themeColor="accent6" w:themeShade="BF"/>
                  <w:kern w:val="24"/>
                </w:rPr>
                <m:t>y</m:t>
              </m:r>
              <m:r>
                <m:rPr>
                  <m:sty m:val="p"/>
                </m:rPr>
                <w:rPr>
                  <w:rFonts w:ascii="Cambria Math" w:eastAsia="Cambria Math" w:hAnsi="Cambria Math" w:cs="Cambria Math"/>
                  <w:color w:val="366295" w:themeColor="accent6" w:themeShade="BF"/>
                  <w:kern w:val="24"/>
                </w:rPr>
                <m:t>=</m:t>
              </m:r>
              <m:r>
                <m:rPr>
                  <m:sty m:val="b"/>
                </m:rPr>
                <w:rPr>
                  <w:rFonts w:ascii="Cambria Math" w:eastAsia="Cambria Math" w:hAnsi="Cambria Math" w:cs="Cambria Math"/>
                  <w:color w:val="366295" w:themeColor="accent6" w:themeShade="BF"/>
                  <w:kern w:val="24"/>
                </w:rPr>
                <m:t>1999</m:t>
              </m:r>
            </m:sub>
            <m:sup>
              <m:r>
                <m:rPr>
                  <m:sty m:val="bi"/>
                </m:rPr>
                <w:rPr>
                  <w:rFonts w:ascii="Cambria Math" w:eastAsia="Cambria Math" w:hAnsi="Cambria Math" w:cs="Cambria Math"/>
                  <w:color w:val="366295" w:themeColor="accent6" w:themeShade="BF"/>
                  <w:kern w:val="24"/>
                </w:rPr>
                <m:t>y</m:t>
              </m:r>
              <m:r>
                <m:rPr>
                  <m:sty m:val="p"/>
                </m:rPr>
                <w:rPr>
                  <w:rFonts w:ascii="Cambria Math" w:eastAsia="Cambria Math" w:hAnsi="Cambria Math" w:cs="Cambria Math"/>
                  <w:color w:val="366295" w:themeColor="accent6" w:themeShade="BF"/>
                  <w:kern w:val="24"/>
                </w:rPr>
                <m:t>=</m:t>
              </m:r>
              <m:r>
                <m:rPr>
                  <m:sty m:val="b"/>
                </m:rPr>
                <w:rPr>
                  <w:rFonts w:ascii="Cambria Math" w:eastAsia="Cambria Math" w:hAnsi="Cambria Math" w:cs="Cambria Math"/>
                  <w:color w:val="366295" w:themeColor="accent6" w:themeShade="BF"/>
                  <w:kern w:val="24"/>
                </w:rPr>
                <m:t>2043</m:t>
              </m:r>
            </m:sup>
            <m:e>
              <m:r>
                <m:rPr>
                  <m:sty m:val="p"/>
                </m:rPr>
                <w:rPr>
                  <w:rFonts w:ascii="Cambria Math" w:hAnsi="Cambria Math"/>
                  <w:color w:val="366295" w:themeColor="accent6" w:themeShade="BF"/>
                  <w:kern w:val="24"/>
                </w:rPr>
                <m:t xml:space="preserve">( </m:t>
              </m:r>
              <m:r>
                <m:rPr>
                  <m:sty m:val="bi"/>
                </m:rPr>
                <w:rPr>
                  <w:rFonts w:ascii="Cambria Math" w:hAnsi="Cambria Math"/>
                  <w:color w:val="366295" w:themeColor="accent6" w:themeShade="BF"/>
                  <w:kern w:val="24"/>
                </w:rPr>
                <m:t>annual direct benefit×average multiplier</m:t>
              </m:r>
              <m:r>
                <m:rPr>
                  <m:sty m:val="p"/>
                </m:rPr>
                <w:rPr>
                  <w:rFonts w:ascii="Cambria Math" w:eastAsia="Cambria Math" w:hAnsi="Cambria Math" w:cs="Cambria Math"/>
                  <w:color w:val="366295" w:themeColor="accent6" w:themeShade="BF"/>
                  <w:kern w:val="24"/>
                </w:rPr>
                <m:t>)</m:t>
              </m:r>
            </m:e>
          </m:nary>
        </m:oMath>
      </m:oMathPara>
    </w:p>
    <w:p w:rsidR="00C91B94" w:rsidRDefault="00C91B94" w:rsidP="00C91B94">
      <w:pPr>
        <w:pStyle w:val="Para0"/>
      </w:pPr>
      <w:r>
        <w:t>A s</w:t>
      </w:r>
      <w:r w:rsidRPr="00863E1E">
        <w:t>ummary of the metrics used for each phase is provided in the following table.</w:t>
      </w:r>
    </w:p>
    <w:p w:rsidR="00C91B94" w:rsidRPr="00863E1E" w:rsidRDefault="00794271" w:rsidP="0058560F">
      <w:pPr>
        <w:pStyle w:val="Caption"/>
      </w:pPr>
      <w:bookmarkStart w:id="43" w:name="_Ref373498426"/>
      <w:r w:rsidRPr="00863E1E">
        <w:t xml:space="preserve">Table </w:t>
      </w:r>
      <w:r w:rsidR="006768F1">
        <w:fldChar w:fldCharType="begin"/>
      </w:r>
      <w:r w:rsidR="00F843FC">
        <w:instrText xml:space="preserve"> SEQ Table \* ARABIC </w:instrText>
      </w:r>
      <w:r w:rsidR="006768F1">
        <w:fldChar w:fldCharType="separate"/>
      </w:r>
      <w:r w:rsidR="00516D07">
        <w:rPr>
          <w:noProof/>
        </w:rPr>
        <w:t>15</w:t>
      </w:r>
      <w:r w:rsidR="006768F1">
        <w:fldChar w:fldCharType="end"/>
      </w:r>
      <w:bookmarkEnd w:id="43"/>
      <w:r w:rsidRPr="00863E1E">
        <w:t xml:space="preserve">: </w:t>
      </w:r>
      <w:r w:rsidR="008A03C0">
        <w:t>M</w:t>
      </w:r>
      <w:r>
        <w:t>etrics for</w:t>
      </w:r>
      <w:r w:rsidR="00D016A6">
        <w:t xml:space="preserve"> </w:t>
      </w:r>
      <w:r>
        <w:t xml:space="preserve">indirect benefit valuation </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277"/>
        <w:gridCol w:w="1134"/>
        <w:gridCol w:w="1134"/>
        <w:gridCol w:w="1133"/>
        <w:gridCol w:w="1133"/>
        <w:gridCol w:w="4112"/>
      </w:tblGrid>
      <w:tr w:rsidR="00F669FB" w:rsidRPr="00863E1E" w:rsidTr="003001DF">
        <w:trPr>
          <w:cantSplit/>
          <w:tblHeader/>
        </w:trPr>
        <w:tc>
          <w:tcPr>
            <w:tcW w:w="643" w:type="pct"/>
            <w:shd w:val="clear" w:color="auto" w:fill="5185C0"/>
          </w:tcPr>
          <w:p w:rsidR="00C91B94" w:rsidRPr="00863E1E" w:rsidRDefault="00C91B94" w:rsidP="00750BAB">
            <w:pPr>
              <w:pStyle w:val="Tablesmallheading"/>
            </w:pPr>
            <w:r w:rsidRPr="00863E1E">
              <w:t xml:space="preserve">Metric </w:t>
            </w:r>
            <w:r w:rsidR="00750BAB">
              <w:t>d</w:t>
            </w:r>
            <w:r w:rsidRPr="00863E1E">
              <w:t xml:space="preserve">escription </w:t>
            </w:r>
          </w:p>
        </w:tc>
        <w:tc>
          <w:tcPr>
            <w:tcW w:w="571" w:type="pct"/>
            <w:shd w:val="clear" w:color="auto" w:fill="5185C0"/>
          </w:tcPr>
          <w:p w:rsidR="00C91B94" w:rsidRPr="00863E1E" w:rsidRDefault="00C91B94" w:rsidP="00743CE7">
            <w:pPr>
              <w:pStyle w:val="Tablesmallheading"/>
            </w:pPr>
            <w:r w:rsidRPr="00863E1E">
              <w:t>GABSI Phase 1</w:t>
            </w:r>
          </w:p>
        </w:tc>
        <w:tc>
          <w:tcPr>
            <w:tcW w:w="571" w:type="pct"/>
            <w:shd w:val="clear" w:color="auto" w:fill="5185C0"/>
          </w:tcPr>
          <w:p w:rsidR="00C91B94" w:rsidRPr="00863E1E" w:rsidRDefault="00C91B94" w:rsidP="00743CE7">
            <w:pPr>
              <w:pStyle w:val="Tablesmallheading"/>
            </w:pPr>
            <w:r w:rsidRPr="00863E1E">
              <w:t>GABSI Phase 2</w:t>
            </w:r>
          </w:p>
        </w:tc>
        <w:tc>
          <w:tcPr>
            <w:tcW w:w="571" w:type="pct"/>
            <w:shd w:val="clear" w:color="auto" w:fill="5185C0"/>
          </w:tcPr>
          <w:p w:rsidR="00C91B94" w:rsidRPr="00863E1E" w:rsidRDefault="00C91B94" w:rsidP="00743CE7">
            <w:pPr>
              <w:pStyle w:val="Tablesmallheading"/>
            </w:pPr>
            <w:r w:rsidRPr="00863E1E">
              <w:t>GABSI Phase 3 (to June 2013)</w:t>
            </w:r>
          </w:p>
        </w:tc>
        <w:tc>
          <w:tcPr>
            <w:tcW w:w="571" w:type="pct"/>
            <w:shd w:val="clear" w:color="auto" w:fill="5185C0"/>
          </w:tcPr>
          <w:p w:rsidR="00C91B94" w:rsidRPr="00863E1E" w:rsidRDefault="00C91B94" w:rsidP="00743CE7">
            <w:pPr>
              <w:pStyle w:val="Tablesmallheading"/>
            </w:pPr>
            <w:r w:rsidRPr="00863E1E">
              <w:t>GABSI Phase 3 (to June 2014)</w:t>
            </w:r>
          </w:p>
        </w:tc>
        <w:tc>
          <w:tcPr>
            <w:tcW w:w="2071" w:type="pct"/>
            <w:shd w:val="clear" w:color="auto" w:fill="5185C0"/>
          </w:tcPr>
          <w:p w:rsidR="00C91B94" w:rsidRPr="00863E1E" w:rsidRDefault="00C91B94" w:rsidP="00743CE7">
            <w:pPr>
              <w:pStyle w:val="Tablesmallheading"/>
            </w:pPr>
            <w:r w:rsidRPr="00863E1E">
              <w:t xml:space="preserve">Comment </w:t>
            </w:r>
          </w:p>
        </w:tc>
      </w:tr>
      <w:tr w:rsidR="00C91B94" w:rsidRPr="00863E1E" w:rsidTr="003001DF">
        <w:tc>
          <w:tcPr>
            <w:tcW w:w="643" w:type="pct"/>
          </w:tcPr>
          <w:p w:rsidR="00C91B94" w:rsidRPr="00D93708" w:rsidRDefault="00C91B94" w:rsidP="00743CE7">
            <w:pPr>
              <w:pStyle w:val="Tablesmalltext"/>
            </w:pPr>
            <w:r>
              <w:t>Multiplier (direct to indirect value)</w:t>
            </w:r>
          </w:p>
        </w:tc>
        <w:tc>
          <w:tcPr>
            <w:tcW w:w="571" w:type="pct"/>
          </w:tcPr>
          <w:p w:rsidR="00C91B94" w:rsidRPr="00D93708" w:rsidRDefault="00C91B94" w:rsidP="00750BAB">
            <w:pPr>
              <w:pStyle w:val="Tablesmalltext"/>
              <w:jc w:val="center"/>
            </w:pPr>
            <w:r>
              <w:t>0.88</w:t>
            </w:r>
          </w:p>
        </w:tc>
        <w:tc>
          <w:tcPr>
            <w:tcW w:w="571" w:type="pct"/>
          </w:tcPr>
          <w:p w:rsidR="00C91B94" w:rsidRPr="00D93708" w:rsidRDefault="00C91B94" w:rsidP="00750BAB">
            <w:pPr>
              <w:pStyle w:val="Tablesmalltext"/>
              <w:jc w:val="center"/>
            </w:pPr>
            <w:r>
              <w:t>0.88</w:t>
            </w:r>
          </w:p>
        </w:tc>
        <w:tc>
          <w:tcPr>
            <w:tcW w:w="571" w:type="pct"/>
          </w:tcPr>
          <w:p w:rsidR="00C91B94" w:rsidRPr="00D93708" w:rsidRDefault="00C91B94" w:rsidP="00750BAB">
            <w:pPr>
              <w:pStyle w:val="Tablesmalltext"/>
              <w:jc w:val="center"/>
            </w:pPr>
            <w:r>
              <w:t>0.88</w:t>
            </w:r>
          </w:p>
        </w:tc>
        <w:tc>
          <w:tcPr>
            <w:tcW w:w="571" w:type="pct"/>
          </w:tcPr>
          <w:p w:rsidR="00C91B94" w:rsidRPr="00D93708" w:rsidRDefault="00C91B94" w:rsidP="00750BAB">
            <w:pPr>
              <w:pStyle w:val="Tablesmalltext"/>
              <w:jc w:val="center"/>
            </w:pPr>
            <w:r>
              <w:t>0.88</w:t>
            </w:r>
          </w:p>
        </w:tc>
        <w:tc>
          <w:tcPr>
            <w:tcW w:w="2071" w:type="pct"/>
          </w:tcPr>
          <w:p w:rsidR="00650740" w:rsidRDefault="00650740" w:rsidP="00650740">
            <w:pPr>
              <w:pStyle w:val="Tablesmalltext"/>
            </w:pPr>
            <w:r>
              <w:t>Based on average multiplier across the water use sectors.</w:t>
            </w:r>
          </w:p>
          <w:p w:rsidR="00650740" w:rsidRDefault="00650740" w:rsidP="00650740">
            <w:pPr>
              <w:pStyle w:val="Tablesmalltext"/>
            </w:pPr>
            <w:r>
              <w:t xml:space="preserve">This is an indicative estimate only; as the multiplier could be higher or lower depending on how the water is reallocated. </w:t>
            </w:r>
          </w:p>
          <w:p w:rsidR="00650740" w:rsidRDefault="00650740" w:rsidP="00650740">
            <w:pPr>
              <w:pStyle w:val="Tablesmalltext"/>
            </w:pPr>
            <w:r>
              <w:t xml:space="preserve">For example, the multiplier would be 1.0 if a weighted average of the multipliers in </w:t>
            </w:r>
            <w:fldSimple w:instr=" REF _Ref373498481 \h  \* MERGEFORMAT ">
              <w:r w:rsidR="00516D07">
                <w:t xml:space="preserve">Table </w:t>
              </w:r>
              <w:r w:rsidR="00516D07">
                <w:rPr>
                  <w:noProof/>
                </w:rPr>
                <w:t>14</w:t>
              </w:r>
            </w:fldSimple>
            <w:r>
              <w:t xml:space="preserve"> is used (based on the water use profile in the GAB). Similarly, the multiplier would be 1.0 if it is assumed that the industries purchasing water will be the same as those that participated in the NSW auction (tourism and feedlot). </w:t>
            </w:r>
          </w:p>
          <w:p w:rsidR="00C91B94" w:rsidRPr="00D93708" w:rsidRDefault="00650740" w:rsidP="00650740">
            <w:pPr>
              <w:pStyle w:val="Tablesmalltext"/>
            </w:pPr>
            <w:r>
              <w:t>Given that the allocation of new water between sectors is unknown, a basic average of the multipliers was considered to be most appropriate.</w:t>
            </w:r>
          </w:p>
        </w:tc>
      </w:tr>
      <w:tr w:rsidR="008105BB" w:rsidRPr="00863E1E" w:rsidTr="003001DF">
        <w:tc>
          <w:tcPr>
            <w:tcW w:w="643" w:type="pct"/>
          </w:tcPr>
          <w:p w:rsidR="008105BB" w:rsidRPr="00D93708" w:rsidRDefault="008105BB" w:rsidP="00743CE7">
            <w:pPr>
              <w:pStyle w:val="Tablesmalltext"/>
            </w:pPr>
            <w:r>
              <w:t xml:space="preserve">Direct value </w:t>
            </w:r>
            <w:r w:rsidR="00794271">
              <w:t>($ 2013)</w:t>
            </w:r>
          </w:p>
        </w:tc>
        <w:tc>
          <w:tcPr>
            <w:tcW w:w="571" w:type="pct"/>
          </w:tcPr>
          <w:p w:rsidR="008105BB" w:rsidRPr="00446CD3" w:rsidRDefault="008105BB" w:rsidP="00DF1CEB">
            <w:pPr>
              <w:pStyle w:val="Tablesmalltext"/>
            </w:pPr>
            <w:r w:rsidRPr="00446CD3">
              <w:t>$ 24.87 m</w:t>
            </w:r>
          </w:p>
        </w:tc>
        <w:tc>
          <w:tcPr>
            <w:tcW w:w="571" w:type="pct"/>
          </w:tcPr>
          <w:p w:rsidR="008105BB" w:rsidRPr="00446CD3" w:rsidRDefault="008105BB" w:rsidP="00DF1CEB">
            <w:pPr>
              <w:pStyle w:val="Tablesmalltext"/>
            </w:pPr>
            <w:r w:rsidRPr="00446CD3">
              <w:t>$ 18.21 m</w:t>
            </w:r>
          </w:p>
        </w:tc>
        <w:tc>
          <w:tcPr>
            <w:tcW w:w="571" w:type="pct"/>
          </w:tcPr>
          <w:p w:rsidR="008105BB" w:rsidRPr="00446CD3" w:rsidRDefault="007249A9" w:rsidP="00DF1CEB">
            <w:pPr>
              <w:pStyle w:val="Tablesmalltext"/>
            </w:pPr>
            <w:r>
              <w:t>$ 9.53</w:t>
            </w:r>
            <w:r w:rsidR="008105BB" w:rsidRPr="00446CD3">
              <w:t xml:space="preserve"> m</w:t>
            </w:r>
          </w:p>
        </w:tc>
        <w:tc>
          <w:tcPr>
            <w:tcW w:w="571" w:type="pct"/>
          </w:tcPr>
          <w:p w:rsidR="008105BB" w:rsidRPr="00446CD3" w:rsidRDefault="007249A9" w:rsidP="007249A9">
            <w:pPr>
              <w:pStyle w:val="Tablesmalltext"/>
            </w:pPr>
            <w:r>
              <w:t>$ 14</w:t>
            </w:r>
            <w:r w:rsidR="008105BB" w:rsidRPr="00446CD3">
              <w:t>.</w:t>
            </w:r>
            <w:r>
              <w:t>39</w:t>
            </w:r>
            <w:r w:rsidR="008105BB" w:rsidRPr="00446CD3">
              <w:t xml:space="preserve"> m</w:t>
            </w:r>
          </w:p>
        </w:tc>
        <w:tc>
          <w:tcPr>
            <w:tcW w:w="2071" w:type="pct"/>
          </w:tcPr>
          <w:p w:rsidR="008105BB" w:rsidRPr="00863E1E" w:rsidRDefault="008105BB" w:rsidP="008105BB">
            <w:pPr>
              <w:pStyle w:val="Tablesmalltext"/>
            </w:pPr>
            <w:r>
              <w:t>Based on the only direct value fully quantified in the assessment – direct consumptive benefit from reallocation of saved water</w:t>
            </w:r>
            <w:r w:rsidR="008A03C0">
              <w:t>.</w:t>
            </w:r>
          </w:p>
        </w:tc>
      </w:tr>
    </w:tbl>
    <w:p w:rsidR="00B71EB9" w:rsidRPr="00863E1E" w:rsidRDefault="00B71EB9" w:rsidP="00B71EB9">
      <w:pPr>
        <w:pStyle w:val="subhead"/>
      </w:pPr>
      <w:r>
        <w:t>Results</w:t>
      </w:r>
    </w:p>
    <w:p w:rsidR="00B71EB9" w:rsidRPr="00863E1E" w:rsidRDefault="00B71EB9" w:rsidP="00B71EB9">
      <w:pPr>
        <w:pStyle w:val="Para0"/>
      </w:pPr>
      <w:r>
        <w:t>The total</w:t>
      </w:r>
      <w:r w:rsidR="008A03C0">
        <w:t xml:space="preserve"> estimated</w:t>
      </w:r>
      <w:r>
        <w:t xml:space="preserve"> indirect benefit across GABSI is $</w:t>
      </w:r>
      <w:r w:rsidR="00AA620A">
        <w:t>46.5</w:t>
      </w:r>
      <w:r w:rsidR="00211A1A">
        <w:t>1</w:t>
      </w:r>
      <w:r>
        <w:t>m (to June 2013) or $</w:t>
      </w:r>
      <w:r w:rsidR="00AA620A">
        <w:t>50.81</w:t>
      </w:r>
      <w:r>
        <w:t>m to June 2014. A breakdown of results by jurisdiction is provided in</w:t>
      </w:r>
      <w:r w:rsidR="00D01733">
        <w:t xml:space="preserve"> </w:t>
      </w:r>
      <w:r w:rsidR="006768F1">
        <w:fldChar w:fldCharType="begin"/>
      </w:r>
      <w:r w:rsidR="00211A1A">
        <w:instrText xml:space="preserve"> REF _Ref373499300 \h </w:instrText>
      </w:r>
      <w:r w:rsidR="006768F1">
        <w:fldChar w:fldCharType="separate"/>
      </w:r>
      <w:r w:rsidR="00516D07" w:rsidRPr="00863E1E">
        <w:t xml:space="preserve">Table </w:t>
      </w:r>
      <w:r w:rsidR="00516D07">
        <w:rPr>
          <w:noProof/>
        </w:rPr>
        <w:t>16</w:t>
      </w:r>
      <w:r w:rsidR="006768F1">
        <w:fldChar w:fldCharType="end"/>
      </w:r>
      <w:r w:rsidR="00211A1A">
        <w:t xml:space="preserve"> </w:t>
      </w:r>
      <w:r w:rsidRPr="00B71EB9">
        <w:t xml:space="preserve">and </w:t>
      </w:r>
      <w:fldSimple w:instr=" REF _Ref373161313 \h  \* MERGEFORMAT ">
        <w:r w:rsidR="00516D07" w:rsidRPr="00B71EB9">
          <w:t xml:space="preserve">Figure </w:t>
        </w:r>
        <w:r w:rsidR="00516D07">
          <w:t>5</w:t>
        </w:r>
      </w:fldSimple>
      <w:r>
        <w:t>.</w:t>
      </w:r>
    </w:p>
    <w:p w:rsidR="00B71EB9" w:rsidRPr="00863E1E" w:rsidRDefault="00B71EB9" w:rsidP="00B71EB9">
      <w:pPr>
        <w:pStyle w:val="Caption"/>
      </w:pPr>
      <w:bookmarkStart w:id="44" w:name="_Ref373499300"/>
      <w:r w:rsidRPr="00863E1E">
        <w:t xml:space="preserve">Table </w:t>
      </w:r>
      <w:r w:rsidR="006768F1">
        <w:fldChar w:fldCharType="begin"/>
      </w:r>
      <w:r w:rsidR="00F843FC">
        <w:instrText xml:space="preserve"> SEQ Table \* ARABIC </w:instrText>
      </w:r>
      <w:r w:rsidR="006768F1">
        <w:fldChar w:fldCharType="separate"/>
      </w:r>
      <w:r w:rsidR="00516D07">
        <w:rPr>
          <w:noProof/>
        </w:rPr>
        <w:t>16</w:t>
      </w:r>
      <w:r w:rsidR="006768F1">
        <w:fldChar w:fldCharType="end"/>
      </w:r>
      <w:bookmarkEnd w:id="44"/>
      <w:r w:rsidRPr="00863E1E">
        <w:t xml:space="preserve">: Total </w:t>
      </w:r>
      <w:r w:rsidRPr="00B71EB9">
        <w:t>indirect value ($ 2013, real)</w:t>
      </w:r>
    </w:p>
    <w:tbl>
      <w:tblPr>
        <w:tblW w:w="9923" w:type="dxa"/>
        <w:tblInd w:w="108" w:type="dxa"/>
        <w:tblBorders>
          <w:top w:val="single" w:sz="6" w:space="0" w:color="009DD1"/>
          <w:left w:val="single" w:sz="6" w:space="0" w:color="009DD1"/>
          <w:bottom w:val="single" w:sz="6" w:space="0" w:color="009DD1"/>
          <w:right w:val="single" w:sz="6" w:space="0" w:color="009DD1"/>
          <w:insideH w:val="single" w:sz="6" w:space="0" w:color="009DD1"/>
          <w:insideV w:val="single" w:sz="6" w:space="0" w:color="009DD1"/>
        </w:tblBorders>
        <w:tblLook w:val="00A0"/>
      </w:tblPr>
      <w:tblGrid>
        <w:gridCol w:w="1247"/>
        <w:gridCol w:w="1446"/>
        <w:gridCol w:w="1446"/>
        <w:gridCol w:w="1446"/>
        <w:gridCol w:w="1446"/>
        <w:gridCol w:w="1446"/>
        <w:gridCol w:w="1446"/>
      </w:tblGrid>
      <w:tr w:rsidR="00F669FB" w:rsidRPr="00863E1E" w:rsidTr="002E4907">
        <w:trPr>
          <w:trHeight w:val="578"/>
          <w:tblHeader/>
        </w:trPr>
        <w:tc>
          <w:tcPr>
            <w:tcW w:w="1247" w:type="dxa"/>
            <w:shd w:val="clear" w:color="auto" w:fill="5185C0"/>
            <w:vAlign w:val="center"/>
          </w:tcPr>
          <w:p w:rsidR="00B71EB9" w:rsidRPr="00AF3EEE" w:rsidRDefault="00B71EB9" w:rsidP="003E2951">
            <w:pPr>
              <w:pStyle w:val="Tablesmallheading"/>
              <w:rPr>
                <w:highlight w:val="yellow"/>
              </w:rPr>
            </w:pPr>
            <w:r w:rsidRPr="00F669FB">
              <w:t>Jurisdiction</w:t>
            </w:r>
          </w:p>
        </w:tc>
        <w:tc>
          <w:tcPr>
            <w:tcW w:w="1446" w:type="dxa"/>
            <w:shd w:val="clear" w:color="auto" w:fill="5185C0"/>
            <w:vAlign w:val="center"/>
          </w:tcPr>
          <w:p w:rsidR="00B71EB9" w:rsidRPr="00824349" w:rsidRDefault="00B71EB9" w:rsidP="003E2951">
            <w:pPr>
              <w:pStyle w:val="Tablesmallheading"/>
            </w:pPr>
            <w:r w:rsidRPr="00824349">
              <w:t>Phase 1</w:t>
            </w:r>
          </w:p>
        </w:tc>
        <w:tc>
          <w:tcPr>
            <w:tcW w:w="1446" w:type="dxa"/>
            <w:shd w:val="clear" w:color="auto" w:fill="5185C0"/>
            <w:vAlign w:val="center"/>
          </w:tcPr>
          <w:p w:rsidR="00B71EB9" w:rsidRPr="00824349" w:rsidRDefault="00B71EB9" w:rsidP="003E2951">
            <w:pPr>
              <w:pStyle w:val="Tablesmallheading"/>
            </w:pPr>
            <w:r w:rsidRPr="00824349">
              <w:t>Phase 2</w:t>
            </w:r>
          </w:p>
        </w:tc>
        <w:tc>
          <w:tcPr>
            <w:tcW w:w="1446" w:type="dxa"/>
            <w:shd w:val="clear" w:color="auto" w:fill="5185C0"/>
            <w:vAlign w:val="center"/>
          </w:tcPr>
          <w:p w:rsidR="00B71EB9" w:rsidRPr="00824349" w:rsidRDefault="00B71EB9" w:rsidP="003E2951">
            <w:pPr>
              <w:pStyle w:val="Tablesmallheading"/>
            </w:pPr>
            <w:r w:rsidRPr="00824349">
              <w:t xml:space="preserve">Phase 3 (to June 2013) </w:t>
            </w:r>
          </w:p>
        </w:tc>
        <w:tc>
          <w:tcPr>
            <w:tcW w:w="1446" w:type="dxa"/>
            <w:shd w:val="clear" w:color="auto" w:fill="5185C0"/>
            <w:vAlign w:val="center"/>
          </w:tcPr>
          <w:p w:rsidR="00B71EB9" w:rsidRPr="00681AB7" w:rsidRDefault="00B71EB9" w:rsidP="003E2951">
            <w:pPr>
              <w:pStyle w:val="Tablesmallheading"/>
            </w:pPr>
            <w:r w:rsidRPr="00681AB7">
              <w:t>Phase 3 (to June 2014)</w:t>
            </w:r>
          </w:p>
        </w:tc>
        <w:tc>
          <w:tcPr>
            <w:tcW w:w="1446" w:type="dxa"/>
            <w:shd w:val="clear" w:color="auto" w:fill="5185C0"/>
            <w:vAlign w:val="center"/>
          </w:tcPr>
          <w:p w:rsidR="00B71EB9" w:rsidRPr="00622785" w:rsidRDefault="00B71EB9" w:rsidP="003E2951">
            <w:pPr>
              <w:pStyle w:val="Tablesmallheading"/>
            </w:pPr>
            <w:r w:rsidRPr="00622785">
              <w:t>TOTAL to June 2013</w:t>
            </w:r>
          </w:p>
        </w:tc>
        <w:tc>
          <w:tcPr>
            <w:tcW w:w="1446" w:type="dxa"/>
            <w:shd w:val="clear" w:color="auto" w:fill="5185C0"/>
            <w:vAlign w:val="center"/>
          </w:tcPr>
          <w:p w:rsidR="00B71EB9" w:rsidRPr="00622785" w:rsidRDefault="00B71EB9" w:rsidP="003E2951">
            <w:pPr>
              <w:pStyle w:val="Tablesmallheading"/>
            </w:pPr>
            <w:r w:rsidRPr="00622785">
              <w:t>TOTAL to June 2014</w:t>
            </w:r>
          </w:p>
        </w:tc>
      </w:tr>
      <w:tr w:rsidR="00F669FB" w:rsidRPr="00863E1E" w:rsidTr="002E4907">
        <w:tc>
          <w:tcPr>
            <w:tcW w:w="1247" w:type="dxa"/>
            <w:vAlign w:val="center"/>
          </w:tcPr>
          <w:p w:rsidR="00B71EB9" w:rsidRPr="002E6C4D" w:rsidRDefault="00B71EB9" w:rsidP="00743CE7">
            <w:pPr>
              <w:pStyle w:val="Tablesmalltext"/>
              <w:rPr>
                <w:b/>
              </w:rPr>
            </w:pPr>
            <w:r w:rsidRPr="002E6C4D">
              <w:rPr>
                <w:b/>
              </w:rPr>
              <w:t>Qld</w:t>
            </w:r>
          </w:p>
        </w:tc>
        <w:tc>
          <w:tcPr>
            <w:tcW w:w="1446" w:type="dxa"/>
          </w:tcPr>
          <w:p w:rsidR="00B71EB9" w:rsidRPr="00411158" w:rsidRDefault="00B71EB9" w:rsidP="00B71EB9">
            <w:pPr>
              <w:pStyle w:val="Tablesmalltext"/>
            </w:pPr>
            <w:r w:rsidRPr="00411158">
              <w:t>$ 10.38 m</w:t>
            </w:r>
          </w:p>
        </w:tc>
        <w:tc>
          <w:tcPr>
            <w:tcW w:w="1446" w:type="dxa"/>
          </w:tcPr>
          <w:p w:rsidR="00B71EB9" w:rsidRPr="00411158" w:rsidRDefault="00B71EB9" w:rsidP="00B71EB9">
            <w:pPr>
              <w:pStyle w:val="Tablesmalltext"/>
            </w:pPr>
            <w:r w:rsidRPr="00411158">
              <w:t>$ 10.49 m</w:t>
            </w:r>
          </w:p>
        </w:tc>
        <w:tc>
          <w:tcPr>
            <w:tcW w:w="1446" w:type="dxa"/>
          </w:tcPr>
          <w:p w:rsidR="00B71EB9" w:rsidRPr="00411158" w:rsidRDefault="00B71EB9" w:rsidP="00B71EB9">
            <w:pPr>
              <w:pStyle w:val="Tablesmalltext"/>
            </w:pPr>
            <w:r w:rsidRPr="00411158">
              <w:t>$ 4.56 m</w:t>
            </w:r>
          </w:p>
        </w:tc>
        <w:tc>
          <w:tcPr>
            <w:tcW w:w="1446" w:type="dxa"/>
          </w:tcPr>
          <w:p w:rsidR="00B71EB9" w:rsidRPr="00411158" w:rsidRDefault="00B71EB9" w:rsidP="00B71EB9">
            <w:pPr>
              <w:pStyle w:val="Tablesmalltext"/>
            </w:pPr>
            <w:r w:rsidRPr="00411158">
              <w:t>$ 7.64 m</w:t>
            </w:r>
          </w:p>
        </w:tc>
        <w:tc>
          <w:tcPr>
            <w:tcW w:w="1446" w:type="dxa"/>
          </w:tcPr>
          <w:p w:rsidR="00B71EB9" w:rsidRPr="00411158" w:rsidRDefault="00B71EB9" w:rsidP="00B71EB9">
            <w:pPr>
              <w:pStyle w:val="Tablesmalltext"/>
            </w:pPr>
            <w:r w:rsidRPr="00411158">
              <w:t>$ 25.42 m</w:t>
            </w:r>
          </w:p>
        </w:tc>
        <w:tc>
          <w:tcPr>
            <w:tcW w:w="1446" w:type="dxa"/>
          </w:tcPr>
          <w:p w:rsidR="00B71EB9" w:rsidRPr="00411158" w:rsidRDefault="00B71EB9" w:rsidP="00B71EB9">
            <w:pPr>
              <w:pStyle w:val="Tablesmalltext"/>
            </w:pPr>
            <w:r w:rsidRPr="00411158">
              <w:t>$ 28.50 m</w:t>
            </w:r>
          </w:p>
        </w:tc>
      </w:tr>
      <w:tr w:rsidR="00B71EB9" w:rsidRPr="00863E1E" w:rsidTr="002E6C4D">
        <w:tc>
          <w:tcPr>
            <w:tcW w:w="1247" w:type="dxa"/>
            <w:vAlign w:val="center"/>
          </w:tcPr>
          <w:p w:rsidR="00B71EB9" w:rsidRPr="002E6C4D" w:rsidRDefault="00B71EB9" w:rsidP="00743CE7">
            <w:pPr>
              <w:pStyle w:val="Tablesmalltext"/>
              <w:rPr>
                <w:b/>
              </w:rPr>
            </w:pPr>
            <w:r w:rsidRPr="002E6C4D">
              <w:rPr>
                <w:b/>
              </w:rPr>
              <w:t>NSW</w:t>
            </w:r>
          </w:p>
        </w:tc>
        <w:tc>
          <w:tcPr>
            <w:tcW w:w="1446" w:type="dxa"/>
          </w:tcPr>
          <w:p w:rsidR="00B71EB9" w:rsidRPr="00411158" w:rsidRDefault="00B71EB9" w:rsidP="00B71EB9">
            <w:pPr>
              <w:pStyle w:val="Tablesmalltext"/>
            </w:pPr>
            <w:r w:rsidRPr="00411158">
              <w:t>$ 5.56 m</w:t>
            </w:r>
          </w:p>
        </w:tc>
        <w:tc>
          <w:tcPr>
            <w:tcW w:w="1446" w:type="dxa"/>
          </w:tcPr>
          <w:p w:rsidR="00B71EB9" w:rsidRPr="00411158" w:rsidRDefault="00B71EB9" w:rsidP="00B71EB9">
            <w:pPr>
              <w:pStyle w:val="Tablesmalltext"/>
            </w:pPr>
            <w:r w:rsidRPr="00411158">
              <w:t>$ 5.35 m</w:t>
            </w:r>
          </w:p>
        </w:tc>
        <w:tc>
          <w:tcPr>
            <w:tcW w:w="1446" w:type="dxa"/>
          </w:tcPr>
          <w:p w:rsidR="00B71EB9" w:rsidRPr="00411158" w:rsidRDefault="00B71EB9" w:rsidP="00B71EB9">
            <w:pPr>
              <w:pStyle w:val="Tablesmalltext"/>
            </w:pPr>
            <w:r w:rsidRPr="00411158">
              <w:t>$ 2.94 m</w:t>
            </w:r>
          </w:p>
        </w:tc>
        <w:tc>
          <w:tcPr>
            <w:tcW w:w="1446" w:type="dxa"/>
          </w:tcPr>
          <w:p w:rsidR="00B71EB9" w:rsidRPr="00411158" w:rsidRDefault="00B71EB9" w:rsidP="00B71EB9">
            <w:pPr>
              <w:pStyle w:val="Tablesmalltext"/>
            </w:pPr>
            <w:r w:rsidRPr="00411158">
              <w:t>$ 3.91 m</w:t>
            </w:r>
          </w:p>
        </w:tc>
        <w:tc>
          <w:tcPr>
            <w:tcW w:w="1446" w:type="dxa"/>
          </w:tcPr>
          <w:p w:rsidR="00B71EB9" w:rsidRPr="00411158" w:rsidRDefault="00B71EB9" w:rsidP="00B71EB9">
            <w:pPr>
              <w:pStyle w:val="Tablesmalltext"/>
            </w:pPr>
            <w:r w:rsidRPr="00411158">
              <w:t>$ 13.86 m</w:t>
            </w:r>
          </w:p>
        </w:tc>
        <w:tc>
          <w:tcPr>
            <w:tcW w:w="1446" w:type="dxa"/>
          </w:tcPr>
          <w:p w:rsidR="00B71EB9" w:rsidRPr="00411158" w:rsidRDefault="00B71EB9" w:rsidP="00B71EB9">
            <w:pPr>
              <w:pStyle w:val="Tablesmalltext"/>
            </w:pPr>
            <w:r w:rsidRPr="00411158">
              <w:t>$ 14.82 m</w:t>
            </w:r>
          </w:p>
        </w:tc>
      </w:tr>
      <w:tr w:rsidR="00F669FB" w:rsidRPr="00863E1E" w:rsidTr="002E4907">
        <w:tc>
          <w:tcPr>
            <w:tcW w:w="1247" w:type="dxa"/>
            <w:vAlign w:val="center"/>
          </w:tcPr>
          <w:p w:rsidR="00B71EB9" w:rsidRPr="002E6C4D" w:rsidRDefault="00B71EB9" w:rsidP="00743CE7">
            <w:pPr>
              <w:pStyle w:val="Tablesmalltext"/>
              <w:rPr>
                <w:b/>
              </w:rPr>
            </w:pPr>
            <w:r w:rsidRPr="002E6C4D">
              <w:rPr>
                <w:b/>
              </w:rPr>
              <w:t>SA</w:t>
            </w:r>
          </w:p>
        </w:tc>
        <w:tc>
          <w:tcPr>
            <w:tcW w:w="1446" w:type="dxa"/>
          </w:tcPr>
          <w:p w:rsidR="00B71EB9" w:rsidRPr="00411158" w:rsidRDefault="00B71EB9" w:rsidP="00B71EB9">
            <w:pPr>
              <w:pStyle w:val="Tablesmalltext"/>
            </w:pPr>
            <w:r w:rsidRPr="00411158">
              <w:t>$ 6.05 m</w:t>
            </w:r>
          </w:p>
        </w:tc>
        <w:tc>
          <w:tcPr>
            <w:tcW w:w="1446" w:type="dxa"/>
          </w:tcPr>
          <w:p w:rsidR="00B71EB9" w:rsidRPr="00411158" w:rsidRDefault="00B71EB9" w:rsidP="00B71EB9">
            <w:pPr>
              <w:pStyle w:val="Tablesmalltext"/>
            </w:pPr>
            <w:r w:rsidRPr="00411158">
              <w:t>$ 0.26 m</w:t>
            </w:r>
          </w:p>
        </w:tc>
        <w:tc>
          <w:tcPr>
            <w:tcW w:w="1446" w:type="dxa"/>
          </w:tcPr>
          <w:p w:rsidR="00B71EB9" w:rsidRPr="00411158" w:rsidRDefault="007249A9" w:rsidP="00B71EB9">
            <w:pPr>
              <w:pStyle w:val="Tablesmalltext"/>
            </w:pPr>
            <w:r>
              <w:t>$ 0.9</w:t>
            </w:r>
            <w:r w:rsidR="00B71EB9" w:rsidRPr="00411158">
              <w:t>2 m</w:t>
            </w:r>
          </w:p>
        </w:tc>
        <w:tc>
          <w:tcPr>
            <w:tcW w:w="1446" w:type="dxa"/>
          </w:tcPr>
          <w:p w:rsidR="00B71EB9" w:rsidRPr="00411158" w:rsidRDefault="007249A9" w:rsidP="00B71EB9">
            <w:pPr>
              <w:pStyle w:val="Tablesmalltext"/>
            </w:pPr>
            <w:r>
              <w:t>$ 1.17</w:t>
            </w:r>
            <w:r w:rsidR="00B71EB9" w:rsidRPr="00411158">
              <w:t xml:space="preserve"> m</w:t>
            </w:r>
          </w:p>
        </w:tc>
        <w:tc>
          <w:tcPr>
            <w:tcW w:w="1446" w:type="dxa"/>
          </w:tcPr>
          <w:p w:rsidR="00B71EB9" w:rsidRPr="00411158" w:rsidRDefault="007249A9" w:rsidP="007249A9">
            <w:pPr>
              <w:pStyle w:val="Tablesmalltext"/>
            </w:pPr>
            <w:r>
              <w:t>$ 7.23</w:t>
            </w:r>
            <w:r w:rsidR="00B71EB9" w:rsidRPr="00411158">
              <w:t xml:space="preserve"> m</w:t>
            </w:r>
          </w:p>
        </w:tc>
        <w:tc>
          <w:tcPr>
            <w:tcW w:w="1446" w:type="dxa"/>
          </w:tcPr>
          <w:p w:rsidR="00B71EB9" w:rsidRPr="00411158" w:rsidRDefault="007249A9" w:rsidP="00B71EB9">
            <w:pPr>
              <w:pStyle w:val="Tablesmalltext"/>
            </w:pPr>
            <w:r>
              <w:t>$ 7.48</w:t>
            </w:r>
            <w:r w:rsidR="00B71EB9" w:rsidRPr="00411158">
              <w:t xml:space="preserve"> m</w:t>
            </w:r>
          </w:p>
        </w:tc>
      </w:tr>
      <w:tr w:rsidR="00F669FB" w:rsidRPr="00863E1E" w:rsidTr="002E4907">
        <w:tc>
          <w:tcPr>
            <w:tcW w:w="1247" w:type="dxa"/>
            <w:shd w:val="clear" w:color="auto" w:fill="D0CECB"/>
            <w:vAlign w:val="center"/>
          </w:tcPr>
          <w:p w:rsidR="00211A1A" w:rsidRPr="002E6C4D" w:rsidRDefault="00211A1A" w:rsidP="00743CE7">
            <w:pPr>
              <w:pStyle w:val="Tablesmalltext"/>
              <w:rPr>
                <w:b/>
              </w:rPr>
            </w:pPr>
            <w:r w:rsidRPr="002E6C4D">
              <w:rPr>
                <w:b/>
              </w:rPr>
              <w:t xml:space="preserve">TOTAL </w:t>
            </w:r>
          </w:p>
        </w:tc>
        <w:tc>
          <w:tcPr>
            <w:tcW w:w="1446" w:type="dxa"/>
            <w:shd w:val="clear" w:color="auto" w:fill="D0CECB"/>
            <w:vAlign w:val="center"/>
          </w:tcPr>
          <w:p w:rsidR="00211A1A" w:rsidRPr="00211A1A" w:rsidRDefault="00211A1A" w:rsidP="00211A1A">
            <w:pPr>
              <w:pStyle w:val="Tablesmalltext"/>
              <w:rPr>
                <w:rFonts w:eastAsiaTheme="minorHAnsi"/>
                <w:b/>
                <w:lang w:eastAsia="en-AU"/>
              </w:rPr>
            </w:pPr>
            <w:r w:rsidRPr="00211A1A">
              <w:rPr>
                <w:b/>
                <w:lang w:eastAsia="en-AU"/>
              </w:rPr>
              <w:t>$ 21.99 m</w:t>
            </w:r>
          </w:p>
        </w:tc>
        <w:tc>
          <w:tcPr>
            <w:tcW w:w="1446" w:type="dxa"/>
            <w:shd w:val="clear" w:color="auto" w:fill="D0CECB"/>
            <w:vAlign w:val="center"/>
          </w:tcPr>
          <w:p w:rsidR="00211A1A" w:rsidRPr="00211A1A" w:rsidRDefault="00211A1A" w:rsidP="00211A1A">
            <w:pPr>
              <w:pStyle w:val="Tablesmalltext"/>
              <w:rPr>
                <w:rFonts w:eastAsiaTheme="minorHAnsi"/>
                <w:b/>
                <w:lang w:eastAsia="en-AU"/>
              </w:rPr>
            </w:pPr>
            <w:r w:rsidRPr="00211A1A">
              <w:rPr>
                <w:b/>
                <w:lang w:eastAsia="en-AU"/>
              </w:rPr>
              <w:t>$ 16.10 m</w:t>
            </w:r>
          </w:p>
        </w:tc>
        <w:tc>
          <w:tcPr>
            <w:tcW w:w="1446" w:type="dxa"/>
            <w:shd w:val="clear" w:color="auto" w:fill="D0CECB"/>
            <w:vAlign w:val="center"/>
          </w:tcPr>
          <w:p w:rsidR="00211A1A" w:rsidRPr="00211A1A" w:rsidRDefault="007249A9" w:rsidP="007249A9">
            <w:pPr>
              <w:pStyle w:val="Tablesmalltext"/>
              <w:rPr>
                <w:rFonts w:eastAsiaTheme="minorHAnsi"/>
                <w:b/>
                <w:lang w:eastAsia="en-AU"/>
              </w:rPr>
            </w:pPr>
            <w:r>
              <w:rPr>
                <w:b/>
                <w:lang w:eastAsia="en-AU"/>
              </w:rPr>
              <w:t>$ 8.42</w:t>
            </w:r>
            <w:r w:rsidR="00211A1A" w:rsidRPr="00211A1A">
              <w:rPr>
                <w:b/>
                <w:lang w:eastAsia="en-AU"/>
              </w:rPr>
              <w:t xml:space="preserve"> m</w:t>
            </w:r>
          </w:p>
        </w:tc>
        <w:tc>
          <w:tcPr>
            <w:tcW w:w="1446" w:type="dxa"/>
            <w:shd w:val="clear" w:color="auto" w:fill="D0CECB"/>
            <w:vAlign w:val="center"/>
          </w:tcPr>
          <w:p w:rsidR="00211A1A" w:rsidRPr="00211A1A" w:rsidRDefault="007249A9" w:rsidP="00211A1A">
            <w:pPr>
              <w:pStyle w:val="Tablesmalltext"/>
              <w:rPr>
                <w:rFonts w:eastAsiaTheme="minorHAnsi"/>
                <w:b/>
                <w:lang w:eastAsia="en-AU"/>
              </w:rPr>
            </w:pPr>
            <w:r>
              <w:rPr>
                <w:b/>
                <w:lang w:eastAsia="en-AU"/>
              </w:rPr>
              <w:t>$ 12.72</w:t>
            </w:r>
            <w:r w:rsidR="00211A1A" w:rsidRPr="00211A1A">
              <w:rPr>
                <w:b/>
                <w:lang w:eastAsia="en-AU"/>
              </w:rPr>
              <w:t xml:space="preserve"> m</w:t>
            </w:r>
          </w:p>
        </w:tc>
        <w:tc>
          <w:tcPr>
            <w:tcW w:w="1446" w:type="dxa"/>
            <w:shd w:val="clear" w:color="auto" w:fill="D0CECB"/>
            <w:vAlign w:val="center"/>
          </w:tcPr>
          <w:p w:rsidR="00211A1A" w:rsidRPr="00211A1A" w:rsidRDefault="007249A9" w:rsidP="00211A1A">
            <w:pPr>
              <w:pStyle w:val="Tablesmalltext"/>
              <w:rPr>
                <w:rFonts w:eastAsiaTheme="minorHAnsi"/>
                <w:b/>
                <w:lang w:eastAsia="en-AU"/>
              </w:rPr>
            </w:pPr>
            <w:r>
              <w:rPr>
                <w:b/>
                <w:lang w:eastAsia="en-AU"/>
              </w:rPr>
              <w:t>$ 46.5</w:t>
            </w:r>
            <w:r w:rsidR="00211A1A" w:rsidRPr="00211A1A">
              <w:rPr>
                <w:b/>
                <w:lang w:eastAsia="en-AU"/>
              </w:rPr>
              <w:t>1 m</w:t>
            </w:r>
          </w:p>
        </w:tc>
        <w:tc>
          <w:tcPr>
            <w:tcW w:w="1446" w:type="dxa"/>
            <w:shd w:val="clear" w:color="auto" w:fill="D0CECB"/>
            <w:vAlign w:val="center"/>
          </w:tcPr>
          <w:p w:rsidR="00211A1A" w:rsidRPr="00211A1A" w:rsidRDefault="007249A9" w:rsidP="00211A1A">
            <w:pPr>
              <w:pStyle w:val="Tablesmalltext"/>
              <w:rPr>
                <w:rFonts w:eastAsiaTheme="minorHAnsi"/>
                <w:b/>
                <w:lang w:eastAsia="en-AU"/>
              </w:rPr>
            </w:pPr>
            <w:r>
              <w:rPr>
                <w:b/>
                <w:lang w:eastAsia="en-AU"/>
              </w:rPr>
              <w:t>$ 50.81</w:t>
            </w:r>
            <w:r w:rsidR="00211A1A" w:rsidRPr="00211A1A">
              <w:rPr>
                <w:b/>
                <w:lang w:eastAsia="en-AU"/>
              </w:rPr>
              <w:t xml:space="preserve"> m</w:t>
            </w:r>
          </w:p>
        </w:tc>
      </w:tr>
    </w:tbl>
    <w:p w:rsidR="00B71EB9" w:rsidRDefault="00B71EB9" w:rsidP="00B71EB9">
      <w:pPr>
        <w:pStyle w:val="Caption"/>
      </w:pPr>
      <w:bookmarkStart w:id="45" w:name="_Ref373161313"/>
      <w:bookmarkStart w:id="46" w:name="_Ref373161311"/>
      <w:r w:rsidRPr="00B71EB9">
        <w:t xml:space="preserve">Figure </w:t>
      </w:r>
      <w:r w:rsidR="006768F1">
        <w:fldChar w:fldCharType="begin"/>
      </w:r>
      <w:r w:rsidR="00DB2AA7">
        <w:instrText xml:space="preserve"> SEQ Figure \* ARABIC </w:instrText>
      </w:r>
      <w:r w:rsidR="006768F1">
        <w:fldChar w:fldCharType="separate"/>
      </w:r>
      <w:r w:rsidR="00516D07">
        <w:rPr>
          <w:noProof/>
        </w:rPr>
        <w:t>5</w:t>
      </w:r>
      <w:r w:rsidR="006768F1">
        <w:fldChar w:fldCharType="end"/>
      </w:r>
      <w:bookmarkEnd w:id="45"/>
      <w:r w:rsidRPr="00B71EB9">
        <w:t>: Total indirect value ($ 2013, real)</w:t>
      </w:r>
      <w:bookmarkEnd w:id="46"/>
    </w:p>
    <w:p w:rsidR="007249A9" w:rsidRPr="007249A9" w:rsidRDefault="007249A9" w:rsidP="007249A9">
      <w:pPr>
        <w:pStyle w:val="Para0"/>
        <w:spacing w:before="0"/>
      </w:pPr>
      <w:r>
        <w:rPr>
          <w:noProof/>
          <w:lang w:eastAsia="en-AU"/>
        </w:rPr>
        <w:drawing>
          <wp:inline distT="0" distB="0" distL="0" distR="0">
            <wp:extent cx="5486400" cy="2975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9062" cy="2977406"/>
                    </a:xfrm>
                    <a:prstGeom prst="rect">
                      <a:avLst/>
                    </a:prstGeom>
                    <a:noFill/>
                  </pic:spPr>
                </pic:pic>
              </a:graphicData>
            </a:graphic>
          </wp:inline>
        </w:drawing>
      </w:r>
    </w:p>
    <w:p w:rsidR="000B5AAB" w:rsidRPr="00863E1E" w:rsidRDefault="000B5AAB" w:rsidP="00AB3F9D">
      <w:pPr>
        <w:pStyle w:val="Heading2"/>
      </w:pPr>
      <w:bookmarkStart w:id="47" w:name="_Toc378163307"/>
      <w:r w:rsidRPr="00863E1E">
        <w:t>Option value</w:t>
      </w:r>
      <w:r w:rsidR="00CF731D">
        <w:t>, b</w:t>
      </w:r>
      <w:r w:rsidR="00EC2838">
        <w:t xml:space="preserve">equest </w:t>
      </w:r>
      <w:r w:rsidR="00CF731D">
        <w:t xml:space="preserve">/ </w:t>
      </w:r>
      <w:r w:rsidR="00EC2838">
        <w:t>a</w:t>
      </w:r>
      <w:r w:rsidR="00EC2838" w:rsidRPr="00863E1E">
        <w:t>ltruism</w:t>
      </w:r>
      <w:r w:rsidR="00CF731D">
        <w:t>, and stewardship</w:t>
      </w:r>
      <w:r w:rsidR="00EC2838" w:rsidRPr="00863E1E">
        <w:t xml:space="preserve"> value</w:t>
      </w:r>
      <w:r w:rsidR="00CF731D">
        <w:t>s</w:t>
      </w:r>
      <w:bookmarkEnd w:id="47"/>
    </w:p>
    <w:p w:rsidR="00743CE7" w:rsidRPr="00743CE7" w:rsidRDefault="00743CE7" w:rsidP="000B5AAB">
      <w:pPr>
        <w:pStyle w:val="Para0"/>
        <w:rPr>
          <w:b/>
          <w:i/>
        </w:rPr>
      </w:pPr>
      <w:r w:rsidRPr="00743CE7">
        <w:rPr>
          <w:b/>
          <w:i/>
        </w:rPr>
        <w:t>Method</w:t>
      </w:r>
    </w:p>
    <w:p w:rsidR="00EC2838" w:rsidRPr="00743CE7" w:rsidRDefault="00743CE7" w:rsidP="000B5AAB">
      <w:pPr>
        <w:pStyle w:val="Para0"/>
      </w:pPr>
      <w:r w:rsidRPr="00743CE7">
        <w:t xml:space="preserve">Option and </w:t>
      </w:r>
      <w:r w:rsidR="00CF731D">
        <w:t>b</w:t>
      </w:r>
      <w:r w:rsidRPr="00743CE7">
        <w:t>equest values r</w:t>
      </w:r>
      <w:r>
        <w:t>elate to</w:t>
      </w:r>
      <w:r w:rsidR="00EC2838" w:rsidRPr="00743CE7">
        <w:t>:</w:t>
      </w:r>
    </w:p>
    <w:p w:rsidR="00EC2838" w:rsidRPr="00CA0F21" w:rsidRDefault="00EC2838" w:rsidP="00CA0F21">
      <w:pPr>
        <w:pStyle w:val="Para0bullet"/>
      </w:pPr>
      <w:r w:rsidRPr="00CA0F21">
        <w:rPr>
          <w:b/>
        </w:rPr>
        <w:t xml:space="preserve">Option </w:t>
      </w:r>
      <w:r w:rsidR="00B644C1">
        <w:rPr>
          <w:b/>
        </w:rPr>
        <w:t>v</w:t>
      </w:r>
      <w:r w:rsidRPr="00CA0F21">
        <w:rPr>
          <w:b/>
        </w:rPr>
        <w:t xml:space="preserve">alue: </w:t>
      </w:r>
      <w:r w:rsidR="00B644C1">
        <w:rPr>
          <w:b/>
        </w:rPr>
        <w:t>f</w:t>
      </w:r>
      <w:r w:rsidRPr="00CA0F21">
        <w:rPr>
          <w:b/>
        </w:rPr>
        <w:t>uture direct and indirect use values.</w:t>
      </w:r>
      <w:r w:rsidR="00CA0F21" w:rsidRPr="00CA0F21">
        <w:t xml:space="preserve"> </w:t>
      </w:r>
      <w:r w:rsidR="000B5AAB" w:rsidRPr="00CA0F21">
        <w:t xml:space="preserve">Valuing the direct use benefit of returned water to the GAB does not capture the value to those who anticipate </w:t>
      </w:r>
      <w:r w:rsidR="00517A05" w:rsidRPr="00CA0F21">
        <w:t>using</w:t>
      </w:r>
      <w:r w:rsidR="000B5AAB" w:rsidRPr="00CA0F21">
        <w:t xml:space="preserve"> the GAB water or visit</w:t>
      </w:r>
      <w:r w:rsidR="00517A05" w:rsidRPr="00CA0F21">
        <w:t>ing</w:t>
      </w:r>
      <w:r w:rsidR="000B5AAB" w:rsidRPr="00CA0F21">
        <w:t xml:space="preserve"> the springs sometime in the future. There are economic arguments that non-visitors would be willing to pay to preserve the option of vis</w:t>
      </w:r>
      <w:r w:rsidR="00291EB5" w:rsidRPr="00CA0F21">
        <w:t>i</w:t>
      </w:r>
      <w:r w:rsidR="00517A05" w:rsidRPr="00CA0F21">
        <w:t>t</w:t>
      </w:r>
      <w:r w:rsidR="000B5AAB" w:rsidRPr="00CA0F21">
        <w:t>ing (Boardman et al 1996)</w:t>
      </w:r>
      <w:r w:rsidR="000B5AAB" w:rsidRPr="00270947">
        <w:rPr>
          <w:rStyle w:val="FootnoteReference"/>
          <w:sz w:val="20"/>
        </w:rPr>
        <w:footnoteReference w:id="23"/>
      </w:r>
      <w:r w:rsidR="000B5AAB" w:rsidRPr="00CA0F21">
        <w:t>. This ‘option value’ is a separate benefit category that is based on the opportunity</w:t>
      </w:r>
      <w:r w:rsidR="00270947">
        <w:t xml:space="preserve"> of future use of the resource.</w:t>
      </w:r>
    </w:p>
    <w:p w:rsidR="007935E1" w:rsidRDefault="00EC2838" w:rsidP="00CA0F21">
      <w:pPr>
        <w:pStyle w:val="Para0bullet"/>
      </w:pPr>
      <w:r w:rsidRPr="00CA0F21">
        <w:rPr>
          <w:b/>
        </w:rPr>
        <w:t>Bequest value: value of the use of the GAB by others.</w:t>
      </w:r>
      <w:r w:rsidRPr="00CA0F21">
        <w:t xml:space="preserve"> </w:t>
      </w:r>
      <w:r w:rsidR="00270947" w:rsidRPr="00270947">
        <w:rPr>
          <w:rFonts w:cs="Arial"/>
        </w:rPr>
        <w:t>Value of having the option for others to benefit from the use the GAB in the future.</w:t>
      </w:r>
    </w:p>
    <w:p w:rsidR="007935E1" w:rsidRPr="007935E1" w:rsidRDefault="007935E1" w:rsidP="007935E1">
      <w:pPr>
        <w:pStyle w:val="Para0bullet"/>
      </w:pPr>
      <w:r>
        <w:rPr>
          <w:b/>
        </w:rPr>
        <w:t xml:space="preserve">Stewardship value: value of preserving the GAB for others. </w:t>
      </w:r>
      <w:r w:rsidRPr="007935E1">
        <w:rPr>
          <w:rFonts w:cs="Arial"/>
        </w:rPr>
        <w:t xml:space="preserve">Willingness to pay for the existence of the GAB motivated by a sense of stewardship, where there is no actual or planned use for themselves or others. This relates to the intrinsic value </w:t>
      </w:r>
      <w:r w:rsidR="00270947">
        <w:rPr>
          <w:rFonts w:cs="Arial"/>
        </w:rPr>
        <w:t xml:space="preserve">people </w:t>
      </w:r>
      <w:r w:rsidRPr="007935E1">
        <w:rPr>
          <w:rFonts w:cs="Arial"/>
        </w:rPr>
        <w:t xml:space="preserve">hold for </w:t>
      </w:r>
      <w:r w:rsidR="00270947">
        <w:rPr>
          <w:rFonts w:cs="Arial"/>
        </w:rPr>
        <w:t xml:space="preserve">the </w:t>
      </w:r>
      <w:r w:rsidRPr="007935E1">
        <w:rPr>
          <w:rFonts w:cs="Arial"/>
        </w:rPr>
        <w:t>assets</w:t>
      </w:r>
      <w:r>
        <w:rPr>
          <w:rFonts w:cs="Arial"/>
        </w:rPr>
        <w:t>.</w:t>
      </w:r>
    </w:p>
    <w:p w:rsidR="00C87507" w:rsidRDefault="00C87507" w:rsidP="00C87507">
      <w:pPr>
        <w:pStyle w:val="Para0"/>
      </w:pPr>
      <w:r>
        <w:t xml:space="preserve">Studies </w:t>
      </w:r>
      <w:r w:rsidRPr="00863E1E">
        <w:t xml:space="preserve">have </w:t>
      </w:r>
      <w:r>
        <w:t xml:space="preserve">not </w:t>
      </w:r>
      <w:r w:rsidRPr="00863E1E">
        <w:t>been undertaken to assess th</w:t>
      </w:r>
      <w:r>
        <w:t xml:space="preserve">ese </w:t>
      </w:r>
      <w:r w:rsidRPr="00863E1E">
        <w:t>value</w:t>
      </w:r>
      <w:r>
        <w:t>s</w:t>
      </w:r>
      <w:r w:rsidRPr="00863E1E">
        <w:t xml:space="preserve"> within the GAB, </w:t>
      </w:r>
      <w:r>
        <w:t>therefore metrics for qualitative or quantitative assessment have not been considered. The only way to assess these values in more detail is through willingness to pay studies, and more specifically, through stated preference techniques.</w:t>
      </w:r>
    </w:p>
    <w:p w:rsidR="00C87507" w:rsidRDefault="00C87507" w:rsidP="00C87507">
      <w:pPr>
        <w:pStyle w:val="Para0"/>
      </w:pPr>
      <w:r>
        <w:t xml:space="preserve">Stated preference techniques use surveys to ask people how much they are willing to pay for a given benefit or </w:t>
      </w:r>
      <w:r w:rsidR="00B2365E">
        <w:t>service. Contingent valuation and</w:t>
      </w:r>
      <w:r>
        <w:t xml:space="preserve"> choice modelling are two survey types used for these purposes. </w:t>
      </w:r>
      <w:r w:rsidR="004D3D4D">
        <w:t xml:space="preserve">However </w:t>
      </w:r>
      <w:r>
        <w:t xml:space="preserve">questions are often framed as the willingness to pay for the </w:t>
      </w:r>
      <w:r w:rsidRPr="00CA721F">
        <w:t xml:space="preserve">protection </w:t>
      </w:r>
      <w:r>
        <w:t>or</w:t>
      </w:r>
      <w:r w:rsidRPr="00CA721F">
        <w:t xml:space="preserve"> enhancement of environmental values</w:t>
      </w:r>
      <w:r>
        <w:t xml:space="preserve"> meaning that it is difficult to separately measure the willingness to pay for use and non-use values. Using these studies to solely estimate option or bequest values can lead to double counting of benefits (refer to </w:t>
      </w:r>
      <w:r w:rsidR="006768F1">
        <w:fldChar w:fldCharType="begin"/>
      </w:r>
      <w:r>
        <w:instrText xml:space="preserve"> REF _Ref373318309 \h </w:instrText>
      </w:r>
      <w:r w:rsidR="006768F1">
        <w:fldChar w:fldCharType="separate"/>
      </w:r>
      <w:r w:rsidR="00516D07">
        <w:t xml:space="preserve">Table </w:t>
      </w:r>
      <w:r w:rsidR="00516D07">
        <w:rPr>
          <w:noProof/>
        </w:rPr>
        <w:t>17</w:t>
      </w:r>
      <w:r w:rsidR="006768F1">
        <w:fldChar w:fldCharType="end"/>
      </w:r>
      <w:r>
        <w:t xml:space="preserve"> for more detail on these methods).</w:t>
      </w:r>
    </w:p>
    <w:p w:rsidR="00EF5EB9" w:rsidRDefault="00EF5EB9" w:rsidP="00B44670">
      <w:pPr>
        <w:pStyle w:val="Para0"/>
        <w:rPr>
          <w:b/>
          <w:i/>
        </w:rPr>
      </w:pPr>
    </w:p>
    <w:p w:rsidR="00EF5EB9" w:rsidRDefault="00EF5EB9" w:rsidP="00B44670">
      <w:pPr>
        <w:pStyle w:val="Para0"/>
        <w:rPr>
          <w:b/>
          <w:i/>
        </w:rPr>
      </w:pPr>
    </w:p>
    <w:p w:rsidR="00C87507" w:rsidRPr="00B44670" w:rsidRDefault="00B44670" w:rsidP="00B44670">
      <w:pPr>
        <w:pStyle w:val="Para0"/>
        <w:rPr>
          <w:b/>
          <w:i/>
        </w:rPr>
      </w:pPr>
      <w:r w:rsidRPr="00B44670">
        <w:rPr>
          <w:b/>
          <w:i/>
        </w:rPr>
        <w:t>Results</w:t>
      </w:r>
    </w:p>
    <w:p w:rsidR="00B44670" w:rsidRDefault="00B44670" w:rsidP="007935E1">
      <w:pPr>
        <w:pStyle w:val="Para0"/>
      </w:pPr>
      <w:r>
        <w:t>While metrics cannot be developed to quantify these values</w:t>
      </w:r>
      <w:r w:rsidR="00E5554D">
        <w:t>, there is anecdotal evidence supporting the concepts underlying such value</w:t>
      </w:r>
      <w:r w:rsidR="004D3D4D">
        <w:t>.</w:t>
      </w:r>
    </w:p>
    <w:p w:rsidR="000B5AAB" w:rsidRDefault="00E5554D" w:rsidP="007935E1">
      <w:pPr>
        <w:pStyle w:val="Para0"/>
      </w:pPr>
      <w:r>
        <w:t xml:space="preserve">For example, </w:t>
      </w:r>
      <w:r w:rsidR="00BE0CC5">
        <w:t xml:space="preserve">the </w:t>
      </w:r>
      <w:r>
        <w:t>c</w:t>
      </w:r>
      <w:r w:rsidR="00EC2838" w:rsidRPr="00CA0F21">
        <w:t xml:space="preserve">onservation group, Bush Heritage </w:t>
      </w:r>
      <w:r w:rsidR="00BE0CC5">
        <w:t>Australia</w:t>
      </w:r>
      <w:r w:rsidR="00EC2838" w:rsidRPr="00CA0F21">
        <w:t xml:space="preserve">, purchased Edgbaston Reserve </w:t>
      </w:r>
      <w:r>
        <w:t xml:space="preserve">(this </w:t>
      </w:r>
      <w:r w:rsidR="00EE3458">
        <w:t xml:space="preserve">property includes a </w:t>
      </w:r>
      <w:r>
        <w:t xml:space="preserve">group of </w:t>
      </w:r>
      <w:r w:rsidR="00EE3458">
        <w:t xml:space="preserve">natural </w:t>
      </w:r>
      <w:r>
        <w:t xml:space="preserve">springs </w:t>
      </w:r>
      <w:r w:rsidR="00EE3458">
        <w:t>which</w:t>
      </w:r>
      <w:r>
        <w:t xml:space="preserve"> is in close proximity to </w:t>
      </w:r>
      <w:r w:rsidRPr="00CA0F21">
        <w:t xml:space="preserve">a number of bores that were recapped under the </w:t>
      </w:r>
      <w:r>
        <w:t xml:space="preserve">GABSI program) </w:t>
      </w:r>
      <w:r w:rsidR="00EC2838" w:rsidRPr="00CA0F21">
        <w:t>in Queensland in 2008 to conserve the natural springs and ecosystems that they support. They now conduct ongoing works on the reserve to control pests and weeds and restore the wetlands</w:t>
      </w:r>
      <w:r w:rsidR="00EE3458">
        <w:t xml:space="preserve"> to conserve a number of endemic species including two threatened fish species</w:t>
      </w:r>
      <w:r w:rsidR="00EC2838" w:rsidRPr="00CA0F21">
        <w:t xml:space="preserve">. </w:t>
      </w:r>
      <w:r w:rsidR="00ED5CB8">
        <w:t>Much of the funding for this group is provided by private donations</w:t>
      </w:r>
      <w:r w:rsidR="007B5D45">
        <w:t xml:space="preserve"> for long term stewardship purposes</w:t>
      </w:r>
      <w:r w:rsidR="00ED5CB8">
        <w:t>.</w:t>
      </w:r>
    </w:p>
    <w:p w:rsidR="007A6C69" w:rsidRDefault="00B44670" w:rsidP="007A6C69">
      <w:pPr>
        <w:pStyle w:val="Heading2"/>
      </w:pPr>
      <w:bookmarkStart w:id="48" w:name="_Toc378163308"/>
      <w:r>
        <w:t>Environmental benefits</w:t>
      </w:r>
      <w:bookmarkEnd w:id="48"/>
    </w:p>
    <w:p w:rsidR="00B44670" w:rsidRPr="00B44670" w:rsidRDefault="00B44670" w:rsidP="00B44670">
      <w:pPr>
        <w:pStyle w:val="Heading3"/>
      </w:pPr>
      <w:bookmarkStart w:id="49" w:name="_Ref373402926"/>
      <w:r>
        <w:t>Conserving biodiversity</w:t>
      </w:r>
      <w:bookmarkEnd w:id="49"/>
    </w:p>
    <w:p w:rsidR="00102107" w:rsidRDefault="00102107" w:rsidP="00102107">
      <w:pPr>
        <w:pStyle w:val="Para0"/>
        <w:rPr>
          <w:b/>
          <w:i/>
        </w:rPr>
      </w:pPr>
      <w:r w:rsidRPr="00863E1E">
        <w:rPr>
          <w:b/>
          <w:i/>
        </w:rPr>
        <w:t>Method</w:t>
      </w:r>
    </w:p>
    <w:p w:rsidR="00D37AE0" w:rsidRDefault="00D37AE0" w:rsidP="00D37AE0">
      <w:pPr>
        <w:pStyle w:val="Para0"/>
      </w:pPr>
      <w:r>
        <w:t>Valuation of environmental benefits attributable to the GABSI program must consider the change in environmental condition (</w:t>
      </w:r>
      <w:r w:rsidR="008A03C0">
        <w:t>i.e.</w:t>
      </w:r>
      <w:r>
        <w:t xml:space="preserve"> groundwater ecosystem service condition) that is due to increases spring flows from pressure recovery achieved. </w:t>
      </w:r>
    </w:p>
    <w:p w:rsidR="00102107" w:rsidRDefault="00D37AE0" w:rsidP="00D37AE0">
      <w:pPr>
        <w:pStyle w:val="Para0"/>
      </w:pPr>
      <w:r>
        <w:t xml:space="preserve">The range of possible methods to assign monetary values to ecosystem services is described in the following table. </w:t>
      </w:r>
    </w:p>
    <w:p w:rsidR="00102107" w:rsidRDefault="00102107" w:rsidP="00102107">
      <w:pPr>
        <w:pStyle w:val="Caption"/>
      </w:pPr>
      <w:bookmarkStart w:id="50" w:name="_Ref373318309"/>
      <w:r>
        <w:t xml:space="preserve">Table </w:t>
      </w:r>
      <w:r w:rsidR="006768F1">
        <w:fldChar w:fldCharType="begin"/>
      </w:r>
      <w:r w:rsidR="00F843FC">
        <w:instrText xml:space="preserve"> SEQ Table \* ARABIC </w:instrText>
      </w:r>
      <w:r w:rsidR="006768F1">
        <w:fldChar w:fldCharType="separate"/>
      </w:r>
      <w:r w:rsidR="00516D07">
        <w:rPr>
          <w:noProof/>
        </w:rPr>
        <w:t>17</w:t>
      </w:r>
      <w:r w:rsidR="006768F1">
        <w:fldChar w:fldCharType="end"/>
      </w:r>
      <w:bookmarkEnd w:id="50"/>
      <w:r>
        <w:t>: Methods to value environmental benefits</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846"/>
        <w:gridCol w:w="3824"/>
        <w:gridCol w:w="4253"/>
      </w:tblGrid>
      <w:tr w:rsidR="007E0842" w:rsidRPr="00484D90" w:rsidTr="004A4EC1">
        <w:trPr>
          <w:cantSplit/>
          <w:tblHeader/>
        </w:trPr>
        <w:tc>
          <w:tcPr>
            <w:tcW w:w="930" w:type="pct"/>
            <w:shd w:val="clear" w:color="auto" w:fill="5185C0"/>
          </w:tcPr>
          <w:p w:rsidR="00D37AE0" w:rsidRPr="00484D90" w:rsidRDefault="00D37AE0" w:rsidP="004D3D4D">
            <w:pPr>
              <w:pStyle w:val="Tablesmallheading"/>
            </w:pPr>
            <w:r w:rsidRPr="00484D90">
              <w:t>Method</w:t>
            </w:r>
          </w:p>
        </w:tc>
        <w:tc>
          <w:tcPr>
            <w:tcW w:w="1927" w:type="pct"/>
            <w:shd w:val="clear" w:color="auto" w:fill="5185C0"/>
          </w:tcPr>
          <w:p w:rsidR="00D37AE0" w:rsidRPr="00484D90" w:rsidRDefault="00D37AE0" w:rsidP="004D3D4D">
            <w:pPr>
              <w:pStyle w:val="Tablesmallheading"/>
            </w:pPr>
            <w:r w:rsidRPr="00484D90">
              <w:t>Description</w:t>
            </w:r>
          </w:p>
        </w:tc>
        <w:tc>
          <w:tcPr>
            <w:tcW w:w="2143" w:type="pct"/>
            <w:shd w:val="clear" w:color="auto" w:fill="5185C0"/>
          </w:tcPr>
          <w:p w:rsidR="00D37AE0" w:rsidRPr="00484D90" w:rsidRDefault="00D37AE0" w:rsidP="004D3D4D">
            <w:pPr>
              <w:pStyle w:val="Tablesmallheading"/>
            </w:pPr>
            <w:r w:rsidRPr="00484D90">
              <w:t>Applicability of method</w:t>
            </w:r>
          </w:p>
        </w:tc>
      </w:tr>
      <w:tr w:rsidR="00F669FB" w:rsidRPr="00484D90" w:rsidTr="004D3D4D">
        <w:tc>
          <w:tcPr>
            <w:tcW w:w="930" w:type="pct"/>
            <w:shd w:val="clear" w:color="auto" w:fill="auto"/>
          </w:tcPr>
          <w:p w:rsidR="00D37AE0" w:rsidRPr="00484D90" w:rsidRDefault="00D37AE0" w:rsidP="004D3D4D">
            <w:pPr>
              <w:pStyle w:val="Tablesmalltext"/>
              <w:rPr>
                <w:b/>
              </w:rPr>
            </w:pPr>
            <w:r w:rsidRPr="00484D90">
              <w:rPr>
                <w:b/>
              </w:rPr>
              <w:t>Direct market valuation approaches</w:t>
            </w:r>
          </w:p>
        </w:tc>
        <w:tc>
          <w:tcPr>
            <w:tcW w:w="1927" w:type="pct"/>
            <w:shd w:val="clear" w:color="auto" w:fill="auto"/>
          </w:tcPr>
          <w:p w:rsidR="00D37AE0" w:rsidRDefault="00D37AE0" w:rsidP="004D3D4D">
            <w:pPr>
              <w:pStyle w:val="Tablesmalltext"/>
            </w:pPr>
            <w:r>
              <w:t xml:space="preserve">This approach can be based on a prices revealed through a functioning market for ecosystem service, where such a market exists. </w:t>
            </w:r>
          </w:p>
          <w:p w:rsidR="00D37AE0" w:rsidRPr="00484D90" w:rsidRDefault="00D37AE0" w:rsidP="004D3D4D">
            <w:pPr>
              <w:pStyle w:val="Tablesmalltext"/>
            </w:pPr>
            <w:r>
              <w:t>Alternatively, market valuation can be based on the cost which would be</w:t>
            </w:r>
            <w:r w:rsidRPr="00484D90">
              <w:t xml:space="preserve"> incurred if the environmental benefit no longer existed and had to be recreated</w:t>
            </w:r>
            <w:r>
              <w:t xml:space="preserve"> or the </w:t>
            </w:r>
            <w:r w:rsidRPr="00484D90">
              <w:t>contribution of the environmental benefit to a traded commodity</w:t>
            </w:r>
            <w:r>
              <w:t>.</w:t>
            </w:r>
          </w:p>
        </w:tc>
        <w:tc>
          <w:tcPr>
            <w:tcW w:w="2143" w:type="pct"/>
            <w:shd w:val="clear" w:color="auto" w:fill="auto"/>
          </w:tcPr>
          <w:p w:rsidR="00D37AE0" w:rsidRPr="00484D90" w:rsidRDefault="00D37AE0" w:rsidP="008A03C0">
            <w:pPr>
              <w:pStyle w:val="Tablesmalltext"/>
            </w:pPr>
            <w:r w:rsidRPr="00484D90">
              <w:t>This method is limited in the case of GABSI as there is no clear direct market for the environmental benefits (i.e. protection of biodiversity, conservation of threatened flora and fauna</w:t>
            </w:r>
            <w:r w:rsidR="008A03C0">
              <w:t>,</w:t>
            </w:r>
            <w:r w:rsidRPr="00484D90">
              <w:t xml:space="preserve"> etc).</w:t>
            </w:r>
          </w:p>
        </w:tc>
      </w:tr>
      <w:tr w:rsidR="00F669FB" w:rsidRPr="00484D90" w:rsidTr="004D3D4D">
        <w:trPr>
          <w:cantSplit/>
        </w:trPr>
        <w:tc>
          <w:tcPr>
            <w:tcW w:w="930" w:type="pct"/>
            <w:shd w:val="clear" w:color="auto" w:fill="auto"/>
          </w:tcPr>
          <w:p w:rsidR="00D37AE0" w:rsidRPr="00484D90" w:rsidRDefault="00D37AE0" w:rsidP="004D3D4D">
            <w:pPr>
              <w:pStyle w:val="Tablesmalltext"/>
              <w:rPr>
                <w:b/>
              </w:rPr>
            </w:pPr>
            <w:r w:rsidRPr="00484D90">
              <w:rPr>
                <w:b/>
              </w:rPr>
              <w:t>Revealed preference approaches</w:t>
            </w:r>
          </w:p>
        </w:tc>
        <w:tc>
          <w:tcPr>
            <w:tcW w:w="1927" w:type="pct"/>
            <w:shd w:val="clear" w:color="auto" w:fill="auto"/>
          </w:tcPr>
          <w:p w:rsidR="00D37AE0" w:rsidRDefault="00D37AE0" w:rsidP="004D3D4D">
            <w:pPr>
              <w:pStyle w:val="Tablesmalltext"/>
            </w:pPr>
            <w:r w:rsidRPr="00241794">
              <w:rPr>
                <w:rFonts w:cs="Times New Roman"/>
              </w:rPr>
              <w:t xml:space="preserve">This approach draws indirectly on markets or on household behaviour, such as expenditure or travel behaviour, to infer individual preferences from </w:t>
            </w:r>
            <w:r>
              <w:t>behaviour (Commonwealth Government 2006).</w:t>
            </w:r>
            <w:r w:rsidR="005B1F14">
              <w:rPr>
                <w:rStyle w:val="FootnoteReference"/>
              </w:rPr>
              <w:footnoteReference w:id="24"/>
            </w:r>
          </w:p>
          <w:p w:rsidR="00D37AE0" w:rsidRPr="00484D90" w:rsidRDefault="00D37AE0" w:rsidP="004D3D4D">
            <w:pPr>
              <w:pStyle w:val="Tablesmalltext"/>
            </w:pPr>
            <w:r>
              <w:t>This approach could therefore include the t</w:t>
            </w:r>
            <w:r w:rsidRPr="00E833C0">
              <w:t>ravel cost method</w:t>
            </w:r>
            <w:r>
              <w:t xml:space="preserve"> which infers value from a change in travel expenditure or </w:t>
            </w:r>
            <w:r w:rsidRPr="00E833C0">
              <w:t>hedonic pricing</w:t>
            </w:r>
            <w:r>
              <w:t xml:space="preserve"> which attributes value of say an environmental asset </w:t>
            </w:r>
            <w:r w:rsidR="003C238A">
              <w:t>to house</w:t>
            </w:r>
            <w:r>
              <w:t xml:space="preserve"> prices.</w:t>
            </w:r>
          </w:p>
        </w:tc>
        <w:tc>
          <w:tcPr>
            <w:tcW w:w="2143" w:type="pct"/>
            <w:shd w:val="clear" w:color="auto" w:fill="auto"/>
          </w:tcPr>
          <w:p w:rsidR="00D37AE0" w:rsidRDefault="00D37AE0" w:rsidP="004D3D4D">
            <w:pPr>
              <w:pStyle w:val="Tablesmalltext"/>
            </w:pPr>
            <w:r w:rsidRPr="00484D90">
              <w:t>This method requires a large quantity and high quality of relevant data to appropriately assess the relationship between the environmental benefit and indirect market</w:t>
            </w:r>
            <w:r>
              <w:t>.</w:t>
            </w:r>
          </w:p>
          <w:p w:rsidR="008A03C0" w:rsidRDefault="008A03C0" w:rsidP="008A03C0">
            <w:pPr>
              <w:pStyle w:val="Tablesmalltext"/>
            </w:pPr>
            <w:r>
              <w:t xml:space="preserve">It is not enough that studies assess the value of all groundwater ecosystems in the GAB. Questionnaires must be designed to assess the additional ecosystem service value that is attributable to GABSI. </w:t>
            </w:r>
          </w:p>
          <w:p w:rsidR="00D37AE0" w:rsidRPr="00484D90" w:rsidRDefault="008A03C0" w:rsidP="008A03C0">
            <w:pPr>
              <w:pStyle w:val="Tablesmalltext"/>
            </w:pPr>
            <w:r>
              <w:t>This data is not available for GABSI.</w:t>
            </w:r>
          </w:p>
        </w:tc>
      </w:tr>
      <w:tr w:rsidR="00F669FB" w:rsidRPr="00484D90" w:rsidTr="004D3D4D">
        <w:trPr>
          <w:cantSplit/>
        </w:trPr>
        <w:tc>
          <w:tcPr>
            <w:tcW w:w="930" w:type="pct"/>
            <w:shd w:val="clear" w:color="auto" w:fill="auto"/>
          </w:tcPr>
          <w:p w:rsidR="00D37AE0" w:rsidRPr="00484D90" w:rsidRDefault="00D37AE0" w:rsidP="004D3D4D">
            <w:pPr>
              <w:pStyle w:val="Tablesmalltext"/>
              <w:rPr>
                <w:b/>
              </w:rPr>
            </w:pPr>
            <w:r w:rsidRPr="00484D90">
              <w:rPr>
                <w:b/>
              </w:rPr>
              <w:t>Stated preference approaches</w:t>
            </w:r>
          </w:p>
        </w:tc>
        <w:tc>
          <w:tcPr>
            <w:tcW w:w="1927" w:type="pct"/>
            <w:shd w:val="clear" w:color="auto" w:fill="auto"/>
          </w:tcPr>
          <w:p w:rsidR="00D37AE0" w:rsidRPr="00484D90" w:rsidRDefault="00D37AE0" w:rsidP="004D3D4D">
            <w:pPr>
              <w:pStyle w:val="Tablesmalltext"/>
            </w:pPr>
            <w:r>
              <w:t>This approach i</w:t>
            </w:r>
            <w:r w:rsidRPr="00484D90">
              <w:t xml:space="preserve">nvolves conducting surveys to </w:t>
            </w:r>
            <w:r>
              <w:t>ask respondents what they would be willing to pay for a public good – in this case a groundwater ecosystem system.</w:t>
            </w:r>
          </w:p>
        </w:tc>
        <w:tc>
          <w:tcPr>
            <w:tcW w:w="2143" w:type="pct"/>
            <w:shd w:val="clear" w:color="auto" w:fill="auto"/>
          </w:tcPr>
          <w:p w:rsidR="00D37AE0" w:rsidRPr="00484D90" w:rsidRDefault="00D37AE0" w:rsidP="004D3D4D">
            <w:pPr>
              <w:pStyle w:val="Tablesmalltext"/>
            </w:pPr>
            <w:r w:rsidRPr="00484D90">
              <w:t>There are stated preference surveys which have been undertaken that are relevant to GABSI, however there scope tends to focus on very specific areas of the GAB and it is therefore difficult to transfer these benefits to the whole of the GAB based on existing information. Furthermore, the hypothetical aspect of the market limits its robustness as an appropriate measure.</w:t>
            </w:r>
          </w:p>
        </w:tc>
      </w:tr>
    </w:tbl>
    <w:p w:rsidR="00D37AE0" w:rsidRDefault="00D37AE0" w:rsidP="00D37AE0">
      <w:pPr>
        <w:pStyle w:val="Para0"/>
      </w:pPr>
      <w:r>
        <w:t xml:space="preserve">There has been no systematic monitoring of spring flows and groundwater ecosystems to understand how the conditions have changed over time, or as a result of GABSI. However, there have been a number of studies aimed at valuing environmental assets more broadly. </w:t>
      </w:r>
    </w:p>
    <w:p w:rsidR="00D37AE0" w:rsidRDefault="00D37AE0" w:rsidP="00D37AE0">
      <w:pPr>
        <w:pStyle w:val="Para0"/>
      </w:pPr>
      <w:r>
        <w:t xml:space="preserve"> </w:t>
      </w:r>
      <w:r w:rsidR="00E54A9B">
        <w:t>R</w:t>
      </w:r>
      <w:r>
        <w:t>elevant studies</w:t>
      </w:r>
      <w:r w:rsidR="00E54A9B">
        <w:t xml:space="preserve"> identified</w:t>
      </w:r>
      <w:r>
        <w:t xml:space="preserve"> </w:t>
      </w:r>
      <w:r w:rsidR="00E54A9B">
        <w:t xml:space="preserve">by </w:t>
      </w:r>
      <w:r>
        <w:t xml:space="preserve">Rolfe </w:t>
      </w:r>
      <w:r w:rsidR="00E54A9B">
        <w:t>(</w:t>
      </w:r>
      <w:r>
        <w:t>2008)</w:t>
      </w:r>
      <w:r w:rsidR="00E54A9B">
        <w:t xml:space="preserve"> include</w:t>
      </w:r>
      <w:r>
        <w:t>:</w:t>
      </w:r>
    </w:p>
    <w:p w:rsidR="00D37AE0" w:rsidRDefault="00D37AE0" w:rsidP="00D37AE0">
      <w:pPr>
        <w:pStyle w:val="Para0bullet"/>
        <w:tabs>
          <w:tab w:val="clear" w:pos="851"/>
          <w:tab w:val="left" w:pos="426"/>
        </w:tabs>
      </w:pPr>
      <w:r>
        <w:t>Choice modelling survey of the Desert Uplands region (which overlaps part of the GAB in Queensland) conducted by Rolfe et al (2000) and Blamey et al (2000). Responses were gathered from a random sample of Brisbane households in 1997 with results suggesting that: (a) the annual value of avoiding the loss of each 1% of unique ecosystems was $4.79 per household (2007 dollars) per Brisbane household for 15 years, and (b) the annual value of avoiding the loss of an endangered species was $14.83 per household (2007 dollars).</w:t>
      </w:r>
    </w:p>
    <w:p w:rsidR="00D37AE0" w:rsidRDefault="00D37AE0" w:rsidP="00D37AE0">
      <w:pPr>
        <w:pStyle w:val="Para0bullet"/>
        <w:tabs>
          <w:tab w:val="clear" w:pos="851"/>
          <w:tab w:val="left" w:pos="426"/>
        </w:tabs>
      </w:pPr>
      <w:r>
        <w:t>Choice modelling survey for the Macquarie Marshes and Gywdir Wetlands in inland NSW by Morrison et al. (2002) found that Sydney households valued improved areas of wetlands at $0.04 and $0.05 per hectare, and improved frequency of waterbird breeding at $12.85 and $31.63, and protection per endangered species at $5.59.</w:t>
      </w:r>
    </w:p>
    <w:p w:rsidR="00D37AE0" w:rsidRDefault="00D37AE0" w:rsidP="00D37AE0">
      <w:pPr>
        <w:pStyle w:val="Para0bullet"/>
        <w:tabs>
          <w:tab w:val="clear" w:pos="851"/>
          <w:tab w:val="left" w:pos="426"/>
        </w:tabs>
      </w:pPr>
      <w:r>
        <w:t>Choice modelling survey of the Upper South East region of South Australia by Macdonald and Morrison (2005) found that South Australian households placed a protection value of $717/ha for scrublands, $1,019/ha for grassy woodlands, and $1,543/ha for wetlands.</w:t>
      </w:r>
    </w:p>
    <w:p w:rsidR="00D37AE0" w:rsidRDefault="00D37AE0" w:rsidP="00D37AE0">
      <w:pPr>
        <w:pStyle w:val="Para0"/>
      </w:pPr>
      <w:r>
        <w:t>It may be possible to transfer some of these values to estimate the environmental benefits of GABSI, in particular loss of unique ecosystems, loss of threatened species, and protection of wetlands for example. However, there is limited data available to conduct this assessment. While there is a known relationship between GAB pressure, spring flow, and endemic fauna and flora, it is difficult to establish a direct relationship between GABSI and improvement in wetland existence or health.</w:t>
      </w:r>
    </w:p>
    <w:p w:rsidR="00D37AE0" w:rsidRDefault="00D37AE0" w:rsidP="00D37AE0">
      <w:pPr>
        <w:pStyle w:val="Para0"/>
      </w:pPr>
      <w:r>
        <w:t>Some of the challenges in measuring environmental benefits of GABSI include the following:</w:t>
      </w:r>
    </w:p>
    <w:p w:rsidR="0021139F" w:rsidRPr="00863E1E" w:rsidRDefault="0021139F" w:rsidP="0021139F">
      <w:pPr>
        <w:pStyle w:val="Para0bullet"/>
        <w:tabs>
          <w:tab w:val="clear" w:pos="851"/>
          <w:tab w:val="left" w:pos="426"/>
        </w:tabs>
        <w:ind w:left="426" w:hanging="426"/>
      </w:pPr>
      <w:r w:rsidRPr="00863E1E">
        <w:t>Although there are examples of endemic species which have become extinct as a result of draw-down (Fensham 2010), there is no data that links the rate of extinction to draw-down, which is needed to estimate the avoided loss associated wit</w:t>
      </w:r>
      <w:r>
        <w:t>h works under each GABSI phase.</w:t>
      </w:r>
    </w:p>
    <w:p w:rsidR="0021139F" w:rsidRPr="00863E1E" w:rsidRDefault="0021139F" w:rsidP="0021139F">
      <w:pPr>
        <w:pStyle w:val="Para0bullet"/>
        <w:tabs>
          <w:tab w:val="clear" w:pos="851"/>
          <w:tab w:val="left" w:pos="426"/>
        </w:tabs>
        <w:ind w:left="426" w:hanging="426"/>
      </w:pPr>
      <w:r w:rsidRPr="00863E1E">
        <w:t xml:space="preserve">Lack of sufficient data to separate impacts directly attributable to the GABSI from other initiatives aimed at recovering native species. </w:t>
      </w:r>
    </w:p>
    <w:p w:rsidR="0021139F" w:rsidRPr="00863E1E" w:rsidRDefault="0021139F" w:rsidP="0021139F">
      <w:pPr>
        <w:pStyle w:val="Para0bullet"/>
        <w:tabs>
          <w:tab w:val="clear" w:pos="851"/>
          <w:tab w:val="left" w:pos="426"/>
        </w:tabs>
        <w:ind w:left="426" w:hanging="426"/>
        <w:rPr>
          <w:rFonts w:ascii="AdvPSTim" w:hAnsi="AdvPSTim" w:cs="AdvPSTim"/>
          <w:szCs w:val="20"/>
        </w:rPr>
      </w:pPr>
      <w:r w:rsidRPr="00863E1E">
        <w:t>Although a comparison of wetted surface extents of springs undertaken between 2008 and 20</w:t>
      </w:r>
      <w:r w:rsidR="00D24DBA">
        <w:t>11 (Queensland Government 2012)</w:t>
      </w:r>
      <w:r w:rsidRPr="00863E1E">
        <w:t xml:space="preserve"> indicated a potential change of over 200% in Edgbaston and Spring</w:t>
      </w:r>
      <w:r w:rsidR="003C238A">
        <w:t xml:space="preserve"> R</w:t>
      </w:r>
      <w:r w:rsidRPr="00863E1E">
        <w:t>ock springs complexes, determining the cause was not possible. Additional data is needed to determine the aquifer head pressure asso</w:t>
      </w:r>
      <w:r w:rsidR="00D24DBA">
        <w:t xml:space="preserve">ciated with each spring complex. Further data is then required to determine </w:t>
      </w:r>
      <w:r w:rsidRPr="00863E1E">
        <w:t>whether the increase in spring extents is</w:t>
      </w:r>
      <w:r w:rsidR="00D24DBA">
        <w:t xml:space="preserve"> a result of artesian pressure</w:t>
      </w:r>
      <w:r w:rsidRPr="00863E1E">
        <w:t xml:space="preserve"> or consistent wet years since 2008</w:t>
      </w:r>
      <w:r w:rsidR="00D24DBA">
        <w:t>.</w:t>
      </w:r>
    </w:p>
    <w:p w:rsidR="0021139F" w:rsidRPr="0021139F" w:rsidRDefault="00D24DBA" w:rsidP="0021139F">
      <w:pPr>
        <w:pStyle w:val="Para0bullet"/>
        <w:tabs>
          <w:tab w:val="clear" w:pos="851"/>
          <w:tab w:val="left" w:pos="426"/>
        </w:tabs>
        <w:ind w:left="426" w:hanging="426"/>
        <w:rPr>
          <w:rFonts w:ascii="AdvPSTim" w:hAnsi="AdvPSTim" w:cs="AdvPSTim"/>
          <w:szCs w:val="20"/>
        </w:rPr>
      </w:pPr>
      <w:r>
        <w:t>There are unintended consequences of the GABSI which also need to be considered. For example, while t</w:t>
      </w:r>
      <w:r w:rsidR="0021139F" w:rsidRPr="00863E1E">
        <w:t>he isolated nature of many GAB springs has enabled the evolution of endemic species</w:t>
      </w:r>
      <w:r>
        <w:t>, t</w:t>
      </w:r>
      <w:r w:rsidR="0021139F" w:rsidRPr="0021139F">
        <w:rPr>
          <w:rFonts w:ascii="Optima" w:hAnsi="Optima" w:cs="Optima"/>
          <w:szCs w:val="20"/>
        </w:rPr>
        <w:t>hey are likely to become more reliant on natural artesian spring wetlands as the number of bore drains are reduced due to bore capping and piping.</w:t>
      </w:r>
    </w:p>
    <w:p w:rsidR="00506A29" w:rsidRDefault="00506A29" w:rsidP="00102107">
      <w:pPr>
        <w:pStyle w:val="Para0"/>
        <w:rPr>
          <w:b/>
          <w:i/>
        </w:rPr>
      </w:pPr>
    </w:p>
    <w:p w:rsidR="0014102C" w:rsidRDefault="00297A47" w:rsidP="00102107">
      <w:pPr>
        <w:pStyle w:val="Para0"/>
        <w:rPr>
          <w:b/>
          <w:i/>
        </w:rPr>
      </w:pPr>
      <w:r>
        <w:rPr>
          <w:b/>
          <w:i/>
        </w:rPr>
        <w:t>Metrics</w:t>
      </w:r>
    </w:p>
    <w:p w:rsidR="00D37AE0" w:rsidRPr="00542358" w:rsidRDefault="00D37AE0" w:rsidP="00D37AE0">
      <w:pPr>
        <w:pStyle w:val="Para0"/>
      </w:pPr>
      <w:r>
        <w:t>Based on the most relevant studies identified above, some potential metrics that could be applied to assist in measuring the environmental benefits of GABSI are provided below.</w:t>
      </w:r>
    </w:p>
    <w:p w:rsidR="0038561C" w:rsidRPr="000E229F" w:rsidRDefault="000E229F" w:rsidP="0038561C">
      <w:pPr>
        <w:pStyle w:val="Para0"/>
        <w:pBdr>
          <w:top w:val="single" w:sz="4" w:space="1" w:color="009DD1"/>
          <w:left w:val="single" w:sz="4" w:space="4" w:color="009DD1"/>
          <w:bottom w:val="single" w:sz="4" w:space="1" w:color="009DD1"/>
          <w:right w:val="single" w:sz="4" w:space="4" w:color="009DD1"/>
        </w:pBdr>
        <w:rPr>
          <w:b/>
          <w:szCs w:val="16"/>
        </w:rPr>
      </w:pPr>
      <m:oMathPara>
        <m:oMathParaPr>
          <m:jc m:val="left"/>
        </m:oMathParaPr>
        <m:oMath>
          <m:r>
            <m:rPr>
              <m:sty m:val="bi"/>
            </m:rPr>
            <w:rPr>
              <w:rFonts w:ascii="Cambria Math" w:eastAsia="Cambria Math" w:hAnsi="Cambria Math" w:cs="Cambria Math"/>
              <w:color w:val="366295"/>
              <w:kern w:val="24"/>
              <w:szCs w:val="16"/>
            </w:rPr>
            <m:t>Biodiversity protection</m:t>
          </m:r>
          <m:r>
            <m:rPr>
              <m:sty m:val="b"/>
            </m:rPr>
            <w:rPr>
              <w:rFonts w:ascii="Cambria Math" w:eastAsia="Cambria Math" w:hAnsi="Cambria Math" w:cs="Cambria Math"/>
              <w:color w:val="366295"/>
              <w:kern w:val="24"/>
              <w:szCs w:val="16"/>
            </w:rPr>
            <m:t>=</m:t>
          </m:r>
          <m:r>
            <m:rPr>
              <m:sty m:val="bi"/>
            </m:rPr>
            <w:rPr>
              <w:rFonts w:ascii="Cambria Math" w:eastAsia="Cambria Math" w:hAnsi="Cambria Math" w:cs="Cambria Math"/>
              <w:color w:val="366295"/>
              <w:kern w:val="24"/>
              <w:szCs w:val="16"/>
            </w:rPr>
            <m:t>PV</m:t>
          </m:r>
          <m:r>
            <m:rPr>
              <m:sty m:val="b"/>
            </m:rPr>
            <w:rPr>
              <w:rFonts w:ascii="Cambria Math" w:eastAsia="Cambria Math" w:hAnsi="Cambria Math" w:cs="Cambria Math"/>
              <w:color w:val="366295"/>
              <w:kern w:val="24"/>
              <w:szCs w:val="16"/>
            </w:rPr>
            <m:t>(</m:t>
          </m:r>
          <m:nary>
            <m:naryPr>
              <m:chr m:val="∑"/>
              <m:grow m:val="on"/>
              <m:ctrlPr>
                <w:rPr>
                  <w:rFonts w:ascii="Cambria Math" w:eastAsia="Times New Roman" w:hAnsi="Cambria Math" w:cs="Times New Roman"/>
                  <w:b/>
                  <w:i/>
                  <w:iCs/>
                  <w:color w:val="366295"/>
                  <w:kern w:val="24"/>
                  <w:szCs w:val="16"/>
                </w:rPr>
              </m:ctrlPr>
            </m:naryPr>
            <m:sub>
              <m:r>
                <m:rPr>
                  <m:sty m:val="bi"/>
                </m:rPr>
                <w:rPr>
                  <w:rFonts w:ascii="Cambria Math" w:eastAsia="Cambria Math" w:hAnsi="Cambria Math" w:cs="Cambria Math"/>
                  <w:color w:val="366295"/>
                  <w:kern w:val="24"/>
                  <w:szCs w:val="16"/>
                </w:rPr>
                <m:t>y</m:t>
              </m:r>
              <m:r>
                <m:rPr>
                  <m:sty m:val="b"/>
                </m:rPr>
                <w:rPr>
                  <w:rFonts w:ascii="Cambria Math" w:eastAsia="Cambria Math" w:hAnsi="Cambria Math" w:cs="Cambria Math"/>
                  <w:color w:val="366295"/>
                  <w:kern w:val="24"/>
                  <w:szCs w:val="16"/>
                </w:rPr>
                <m:t>=1999</m:t>
              </m:r>
            </m:sub>
            <m:sup>
              <m:r>
                <m:rPr>
                  <m:sty m:val="bi"/>
                </m:rPr>
                <w:rPr>
                  <w:rFonts w:ascii="Cambria Math" w:eastAsia="Cambria Math" w:hAnsi="Cambria Math" w:cs="Cambria Math"/>
                  <w:color w:val="366295"/>
                  <w:kern w:val="24"/>
                  <w:szCs w:val="16"/>
                </w:rPr>
                <m:t>y</m:t>
              </m:r>
              <m:r>
                <m:rPr>
                  <m:sty m:val="b"/>
                </m:rPr>
                <w:rPr>
                  <w:rFonts w:ascii="Cambria Math" w:eastAsia="Cambria Math" w:hAnsi="Cambria Math" w:cs="Cambria Math"/>
                  <w:color w:val="366295"/>
                  <w:kern w:val="24"/>
                  <w:szCs w:val="16"/>
                </w:rPr>
                <m:t>=2043</m:t>
              </m:r>
            </m:sup>
            <m:e>
              <m:r>
                <m:rPr>
                  <m:sty m:val="b"/>
                </m:rPr>
                <w:rPr>
                  <w:rFonts w:ascii="Cambria Math" w:hAnsi="Cambria Math"/>
                  <w:color w:val="366295"/>
                  <w:kern w:val="24"/>
                  <w:szCs w:val="16"/>
                </w:rPr>
                <m:t xml:space="preserve">avoided loss of unique ecosystem </m:t>
              </m:r>
              <m:d>
                <m:dPr>
                  <m:ctrlPr>
                    <w:rPr>
                      <w:rFonts w:ascii="Cambria Math" w:eastAsia="Times New Roman" w:hAnsi="Cambria Math" w:cs="Times New Roman"/>
                      <w:b/>
                      <w:color w:val="366295"/>
                      <w:kern w:val="24"/>
                      <w:szCs w:val="16"/>
                    </w:rPr>
                  </m:ctrlPr>
                </m:dPr>
                <m:e>
                  <m:r>
                    <m:rPr>
                      <m:sty m:val="b"/>
                    </m:rPr>
                    <w:rPr>
                      <w:rFonts w:ascii="Cambria Math" w:hAnsi="Cambria Math"/>
                      <w:color w:val="366295"/>
                      <w:kern w:val="24"/>
                      <w:szCs w:val="16"/>
                    </w:rPr>
                    <m:t>%</m:t>
                  </m:r>
                </m:e>
              </m:d>
              <m:r>
                <m:rPr>
                  <m:sty m:val="b"/>
                </m:rPr>
                <w:rPr>
                  <w:rFonts w:ascii="Cambria Math" w:hAnsi="Cambria Math"/>
                  <w:color w:val="366295"/>
                  <w:kern w:val="24"/>
                  <w:szCs w:val="16"/>
                </w:rPr>
                <m:t xml:space="preserve">×WTP for avoided loss </m:t>
              </m:r>
              <m:d>
                <m:dPr>
                  <m:ctrlPr>
                    <w:rPr>
                      <w:rFonts w:ascii="Cambria Math" w:eastAsia="Times New Roman" w:hAnsi="Cambria Math" w:cs="Times New Roman"/>
                      <w:b/>
                      <w:color w:val="366295"/>
                      <w:kern w:val="24"/>
                      <w:szCs w:val="16"/>
                    </w:rPr>
                  </m:ctrlPr>
                </m:dPr>
                <m:e>
                  <m:r>
                    <m:rPr>
                      <m:sty m:val="b"/>
                    </m:rPr>
                    <w:rPr>
                      <w:rFonts w:ascii="Cambria Math" w:hAnsi="Cambria Math"/>
                      <w:color w:val="366295"/>
                      <w:kern w:val="24"/>
                      <w:szCs w:val="16"/>
                    </w:rPr>
                    <m:t>$ per household</m:t>
                  </m:r>
                </m:e>
              </m:d>
              <m:r>
                <m:rPr>
                  <m:sty m:val="bi"/>
                </m:rPr>
                <w:rPr>
                  <w:rFonts w:ascii="Cambria Math" w:hAnsi="Cambria Math"/>
                  <w:color w:val="366295"/>
                  <w:kern w:val="24"/>
                  <w:szCs w:val="16"/>
                </w:rPr>
                <m:t xml:space="preserve"> ×households </m:t>
              </m:r>
            </m:e>
          </m:nary>
        </m:oMath>
      </m:oMathPara>
    </w:p>
    <w:p w:rsidR="00D37AE0" w:rsidRDefault="00D37AE0" w:rsidP="00D37AE0">
      <w:pPr>
        <w:pStyle w:val="Para0number"/>
        <w:ind w:left="0" w:firstLine="0"/>
      </w:pPr>
      <w:r>
        <w:t>A summary of the metrics available and unviable for estimating biodiversity benefits f</w:t>
      </w:r>
      <w:r w:rsidR="000E229F">
        <w:t>rom GABSI are summarised below.</w:t>
      </w:r>
    </w:p>
    <w:p w:rsidR="0063125E" w:rsidRPr="000E229F" w:rsidRDefault="000E229F" w:rsidP="0063125E">
      <w:pPr>
        <w:pStyle w:val="Para0"/>
        <w:pBdr>
          <w:top w:val="single" w:sz="4" w:space="1" w:color="009DD1"/>
          <w:left w:val="single" w:sz="4" w:space="4" w:color="009DD1"/>
          <w:bottom w:val="single" w:sz="4" w:space="1" w:color="009DD1"/>
          <w:right w:val="single" w:sz="4" w:space="4" w:color="009DD1"/>
        </w:pBdr>
        <w:rPr>
          <w:b/>
          <w:szCs w:val="16"/>
        </w:rPr>
      </w:pPr>
      <m:oMathPara>
        <m:oMathParaPr>
          <m:jc m:val="left"/>
        </m:oMathParaPr>
        <m:oMath>
          <m:r>
            <m:rPr>
              <m:sty m:val="bi"/>
            </m:rPr>
            <w:rPr>
              <w:rFonts w:ascii="Cambria Math" w:eastAsia="Cambria Math" w:hAnsi="Cambria Math" w:cs="Cambria Math"/>
              <w:color w:val="366295"/>
              <w:kern w:val="24"/>
              <w:szCs w:val="16"/>
            </w:rPr>
            <m:t>Biodiversity protection</m:t>
          </m:r>
          <m:r>
            <m:rPr>
              <m:sty m:val="b"/>
            </m:rPr>
            <w:rPr>
              <w:rFonts w:ascii="Cambria Math" w:eastAsia="Cambria Math" w:hAnsi="Cambria Math" w:cs="Cambria Math"/>
              <w:color w:val="366295"/>
              <w:kern w:val="24"/>
              <w:szCs w:val="16"/>
            </w:rPr>
            <m:t>=</m:t>
          </m:r>
          <m:r>
            <m:rPr>
              <m:sty m:val="bi"/>
            </m:rPr>
            <w:rPr>
              <w:rFonts w:ascii="Cambria Math" w:eastAsia="Cambria Math" w:hAnsi="Cambria Math" w:cs="Cambria Math"/>
              <w:color w:val="366295"/>
              <w:kern w:val="24"/>
              <w:szCs w:val="16"/>
            </w:rPr>
            <m:t>PV</m:t>
          </m:r>
          <m:r>
            <m:rPr>
              <m:sty m:val="b"/>
            </m:rPr>
            <w:rPr>
              <w:rFonts w:ascii="Cambria Math" w:eastAsia="Cambria Math" w:hAnsi="Cambria Math" w:cs="Cambria Math"/>
              <w:color w:val="366295"/>
              <w:kern w:val="24"/>
              <w:szCs w:val="16"/>
            </w:rPr>
            <m:t>(</m:t>
          </m:r>
          <m:nary>
            <m:naryPr>
              <m:chr m:val="∑"/>
              <m:grow m:val="on"/>
              <m:ctrlPr>
                <w:rPr>
                  <w:rFonts w:ascii="Cambria Math" w:eastAsia="Times New Roman" w:hAnsi="Cambria Math" w:cs="Times New Roman"/>
                  <w:b/>
                  <w:i/>
                  <w:iCs/>
                  <w:color w:val="366295"/>
                  <w:kern w:val="24"/>
                  <w:szCs w:val="16"/>
                </w:rPr>
              </m:ctrlPr>
            </m:naryPr>
            <m:sub>
              <m:r>
                <m:rPr>
                  <m:sty m:val="bi"/>
                </m:rPr>
                <w:rPr>
                  <w:rFonts w:ascii="Cambria Math" w:eastAsia="Cambria Math" w:hAnsi="Cambria Math" w:cs="Cambria Math"/>
                  <w:color w:val="366295"/>
                  <w:kern w:val="24"/>
                  <w:szCs w:val="16"/>
                </w:rPr>
                <m:t>y</m:t>
              </m:r>
              <m:r>
                <m:rPr>
                  <m:sty m:val="b"/>
                </m:rPr>
                <w:rPr>
                  <w:rFonts w:ascii="Cambria Math" w:eastAsia="Cambria Math" w:hAnsi="Cambria Math" w:cs="Cambria Math"/>
                  <w:color w:val="366295"/>
                  <w:kern w:val="24"/>
                  <w:szCs w:val="16"/>
                </w:rPr>
                <m:t>=1999</m:t>
              </m:r>
            </m:sub>
            <m:sup>
              <m:r>
                <m:rPr>
                  <m:sty m:val="bi"/>
                </m:rPr>
                <w:rPr>
                  <w:rFonts w:ascii="Cambria Math" w:eastAsia="Cambria Math" w:hAnsi="Cambria Math" w:cs="Cambria Math"/>
                  <w:color w:val="366295"/>
                  <w:kern w:val="24"/>
                  <w:szCs w:val="16"/>
                </w:rPr>
                <m:t>y</m:t>
              </m:r>
              <m:r>
                <m:rPr>
                  <m:sty m:val="b"/>
                </m:rPr>
                <w:rPr>
                  <w:rFonts w:ascii="Cambria Math" w:eastAsia="Cambria Math" w:hAnsi="Cambria Math" w:cs="Cambria Math"/>
                  <w:color w:val="366295"/>
                  <w:kern w:val="24"/>
                  <w:szCs w:val="16"/>
                </w:rPr>
                <m:t>=2043</m:t>
              </m:r>
            </m:sup>
            <m:e>
              <m:r>
                <m:rPr>
                  <m:sty m:val="b"/>
                </m:rPr>
                <w:rPr>
                  <w:rFonts w:ascii="Cambria Math" w:hAnsi="Cambria Math"/>
                  <w:color w:val="366295"/>
                  <w:kern w:val="24"/>
                  <w:szCs w:val="16"/>
                </w:rPr>
                <m:t xml:space="preserve">averted loss of 1 endangered species (#)×WTP for avoided loss </m:t>
              </m:r>
              <m:d>
                <m:dPr>
                  <m:ctrlPr>
                    <w:rPr>
                      <w:rFonts w:ascii="Cambria Math" w:eastAsia="Times New Roman" w:hAnsi="Cambria Math" w:cs="Times New Roman"/>
                      <w:b/>
                      <w:color w:val="366295"/>
                      <w:kern w:val="24"/>
                      <w:szCs w:val="16"/>
                    </w:rPr>
                  </m:ctrlPr>
                </m:dPr>
                <m:e>
                  <m:r>
                    <m:rPr>
                      <m:sty m:val="b"/>
                    </m:rPr>
                    <w:rPr>
                      <w:rFonts w:ascii="Cambria Math" w:hAnsi="Cambria Math"/>
                      <w:color w:val="366295"/>
                      <w:kern w:val="24"/>
                      <w:szCs w:val="16"/>
                    </w:rPr>
                    <m:t>$ per household</m:t>
                  </m:r>
                </m:e>
              </m:d>
              <m:r>
                <m:rPr>
                  <m:sty m:val="bi"/>
                </m:rPr>
                <w:rPr>
                  <w:rFonts w:ascii="Cambria Math" w:hAnsi="Cambria Math"/>
                  <w:color w:val="366295"/>
                  <w:kern w:val="24"/>
                  <w:szCs w:val="16"/>
                </w:rPr>
                <m:t xml:space="preserve">×households </m:t>
              </m:r>
            </m:e>
          </m:nary>
        </m:oMath>
      </m:oMathPara>
    </w:p>
    <w:p w:rsidR="00D37AE0" w:rsidRPr="00EE04B6" w:rsidRDefault="00D37AE0" w:rsidP="00D37AE0">
      <w:pPr>
        <w:pStyle w:val="Caption"/>
      </w:pPr>
      <w:r w:rsidRPr="00EE04B6">
        <w:t xml:space="preserve">Table </w:t>
      </w:r>
      <w:r w:rsidR="006768F1">
        <w:fldChar w:fldCharType="begin"/>
      </w:r>
      <w:r w:rsidR="00F843FC">
        <w:instrText xml:space="preserve"> SEQ Table \* ARABIC </w:instrText>
      </w:r>
      <w:r w:rsidR="006768F1">
        <w:fldChar w:fldCharType="separate"/>
      </w:r>
      <w:r w:rsidR="00516D07">
        <w:rPr>
          <w:noProof/>
        </w:rPr>
        <w:t>18</w:t>
      </w:r>
      <w:r w:rsidR="006768F1">
        <w:fldChar w:fldCharType="end"/>
      </w:r>
      <w:r w:rsidRPr="00EE04B6">
        <w:t>: Summary of metrics for consumptive benefit from pressure recovery</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849"/>
        <w:gridCol w:w="990"/>
        <w:gridCol w:w="990"/>
        <w:gridCol w:w="988"/>
        <w:gridCol w:w="982"/>
        <w:gridCol w:w="4124"/>
      </w:tblGrid>
      <w:tr w:rsidR="00F669FB" w:rsidRPr="00484D90" w:rsidTr="004D3D4D">
        <w:trPr>
          <w:cantSplit/>
          <w:tblHeader/>
        </w:trPr>
        <w:tc>
          <w:tcPr>
            <w:tcW w:w="931" w:type="pct"/>
            <w:shd w:val="clear" w:color="auto" w:fill="5185C0"/>
          </w:tcPr>
          <w:p w:rsidR="00D37AE0" w:rsidRPr="00484D90" w:rsidRDefault="00D37AE0" w:rsidP="004D3D4D">
            <w:pPr>
              <w:pStyle w:val="Tablesmallheading"/>
            </w:pPr>
            <w:r w:rsidRPr="00484D90">
              <w:t xml:space="preserve"> Metric </w:t>
            </w:r>
          </w:p>
        </w:tc>
        <w:tc>
          <w:tcPr>
            <w:tcW w:w="499" w:type="pct"/>
            <w:shd w:val="clear" w:color="auto" w:fill="5185C0"/>
          </w:tcPr>
          <w:p w:rsidR="00D37AE0" w:rsidRPr="00484D90" w:rsidRDefault="00D37AE0" w:rsidP="004D3D4D">
            <w:pPr>
              <w:pStyle w:val="Tablesmallheading"/>
            </w:pPr>
            <w:r w:rsidRPr="00484D90">
              <w:t>GABSI Phase 1</w:t>
            </w:r>
          </w:p>
        </w:tc>
        <w:tc>
          <w:tcPr>
            <w:tcW w:w="499" w:type="pct"/>
            <w:shd w:val="clear" w:color="auto" w:fill="5185C0"/>
          </w:tcPr>
          <w:p w:rsidR="00D37AE0" w:rsidRPr="00484D90" w:rsidRDefault="00D37AE0" w:rsidP="004D3D4D">
            <w:pPr>
              <w:pStyle w:val="Tablesmallheading"/>
            </w:pPr>
            <w:r w:rsidRPr="00484D90">
              <w:t>GABSI Phase 2</w:t>
            </w:r>
          </w:p>
        </w:tc>
        <w:tc>
          <w:tcPr>
            <w:tcW w:w="498" w:type="pct"/>
            <w:shd w:val="clear" w:color="auto" w:fill="5185C0"/>
          </w:tcPr>
          <w:p w:rsidR="00D37AE0" w:rsidRPr="00484D90" w:rsidRDefault="00D37AE0" w:rsidP="004D3D4D">
            <w:pPr>
              <w:pStyle w:val="Tablesmallheading"/>
            </w:pPr>
            <w:r w:rsidRPr="00484D90">
              <w:t>GABSI Phase 3 (to June 2013)</w:t>
            </w:r>
          </w:p>
        </w:tc>
        <w:tc>
          <w:tcPr>
            <w:tcW w:w="495" w:type="pct"/>
            <w:shd w:val="clear" w:color="auto" w:fill="5185C0"/>
          </w:tcPr>
          <w:p w:rsidR="00D37AE0" w:rsidRPr="00484D90" w:rsidRDefault="00D37AE0" w:rsidP="004D3D4D">
            <w:pPr>
              <w:pStyle w:val="Tablesmallheading"/>
            </w:pPr>
            <w:r w:rsidRPr="00484D90">
              <w:t>GABSI Phase 3 (to June 2014)</w:t>
            </w:r>
          </w:p>
        </w:tc>
        <w:tc>
          <w:tcPr>
            <w:tcW w:w="2079" w:type="pct"/>
            <w:shd w:val="clear" w:color="auto" w:fill="5185C0"/>
          </w:tcPr>
          <w:p w:rsidR="00D37AE0" w:rsidRPr="00484D90" w:rsidRDefault="00D37AE0" w:rsidP="004D3D4D">
            <w:pPr>
              <w:pStyle w:val="Tablesmallheading"/>
            </w:pPr>
            <w:r w:rsidRPr="00484D90">
              <w:t xml:space="preserve">Comment </w:t>
            </w:r>
          </w:p>
        </w:tc>
      </w:tr>
      <w:tr w:rsidR="00F669FB" w:rsidRPr="00484D90" w:rsidTr="004D3D4D">
        <w:trPr>
          <w:cantSplit/>
        </w:trPr>
        <w:tc>
          <w:tcPr>
            <w:tcW w:w="931" w:type="pct"/>
            <w:shd w:val="clear" w:color="auto" w:fill="auto"/>
            <w:vAlign w:val="center"/>
          </w:tcPr>
          <w:p w:rsidR="00D37AE0" w:rsidRPr="00484D90" w:rsidRDefault="00D37AE0" w:rsidP="004D3D4D">
            <w:pPr>
              <w:pStyle w:val="Tablesmalltext"/>
              <w:rPr>
                <w:b/>
              </w:rPr>
            </w:pPr>
            <w:r>
              <w:rPr>
                <w:b/>
              </w:rPr>
              <w:t>Avoided loss of unique ecosystem</w:t>
            </w:r>
            <w:r w:rsidRPr="00484D90">
              <w:rPr>
                <w:b/>
              </w:rPr>
              <w:t xml:space="preserve"> </w:t>
            </w:r>
            <w:r>
              <w:rPr>
                <w:b/>
              </w:rPr>
              <w:t>(%)</w:t>
            </w:r>
          </w:p>
        </w:tc>
        <w:tc>
          <w:tcPr>
            <w:tcW w:w="1990" w:type="pct"/>
            <w:gridSpan w:val="4"/>
            <w:vMerge w:val="restart"/>
            <w:shd w:val="clear" w:color="auto" w:fill="auto"/>
            <w:vAlign w:val="center"/>
          </w:tcPr>
          <w:p w:rsidR="00D37AE0" w:rsidRPr="00484D90" w:rsidRDefault="00D37AE0" w:rsidP="004D3D4D">
            <w:pPr>
              <w:pStyle w:val="Tablesmalltext"/>
            </w:pPr>
            <w:r>
              <w:t xml:space="preserve">Not available </w:t>
            </w:r>
            <w:r w:rsidRPr="00484D90">
              <w:t xml:space="preserve"> </w:t>
            </w:r>
          </w:p>
          <w:p w:rsidR="00D37AE0" w:rsidRPr="00484D90" w:rsidRDefault="00D37AE0" w:rsidP="004D3D4D">
            <w:pPr>
              <w:pStyle w:val="Tablesmalltext"/>
            </w:pPr>
          </w:p>
        </w:tc>
        <w:tc>
          <w:tcPr>
            <w:tcW w:w="2079" w:type="pct"/>
            <w:vMerge w:val="restart"/>
            <w:shd w:val="clear" w:color="auto" w:fill="auto"/>
          </w:tcPr>
          <w:p w:rsidR="00D37AE0" w:rsidRPr="00484D90" w:rsidRDefault="00D37AE0" w:rsidP="004D3D4D">
            <w:pPr>
              <w:pStyle w:val="Tablesmalltext"/>
            </w:pPr>
            <w:r w:rsidRPr="00484D90">
              <w:t>As noted above</w:t>
            </w:r>
            <w:r>
              <w:t xml:space="preserve"> there has been no systematics monitoring of spring flows and groundwater ecosystems to understand how the conditions have changed over time, or as a result of GABSI.</w:t>
            </w:r>
          </w:p>
        </w:tc>
      </w:tr>
      <w:tr w:rsidR="00F669FB" w:rsidRPr="00484D90" w:rsidTr="004D3D4D">
        <w:trPr>
          <w:cantSplit/>
        </w:trPr>
        <w:tc>
          <w:tcPr>
            <w:tcW w:w="931" w:type="pct"/>
            <w:shd w:val="clear" w:color="auto" w:fill="auto"/>
            <w:vAlign w:val="center"/>
          </w:tcPr>
          <w:p w:rsidR="00D37AE0" w:rsidRDefault="00D37AE0" w:rsidP="004D3D4D">
            <w:pPr>
              <w:pStyle w:val="Tablesmalltext"/>
              <w:rPr>
                <w:b/>
              </w:rPr>
            </w:pPr>
            <w:r>
              <w:rPr>
                <w:b/>
              </w:rPr>
              <w:t>Avoided loss of endangered species (#)</w:t>
            </w:r>
          </w:p>
        </w:tc>
        <w:tc>
          <w:tcPr>
            <w:tcW w:w="1990" w:type="pct"/>
            <w:gridSpan w:val="4"/>
            <w:vMerge/>
            <w:shd w:val="clear" w:color="auto" w:fill="auto"/>
            <w:vAlign w:val="center"/>
          </w:tcPr>
          <w:p w:rsidR="00D37AE0" w:rsidRDefault="00D37AE0" w:rsidP="004D3D4D">
            <w:pPr>
              <w:pStyle w:val="Tablesmalltext"/>
            </w:pPr>
          </w:p>
        </w:tc>
        <w:tc>
          <w:tcPr>
            <w:tcW w:w="2079" w:type="pct"/>
            <w:vMerge/>
            <w:shd w:val="clear" w:color="auto" w:fill="auto"/>
          </w:tcPr>
          <w:p w:rsidR="00D37AE0" w:rsidRPr="00484D90" w:rsidRDefault="00D37AE0" w:rsidP="004D3D4D">
            <w:pPr>
              <w:pStyle w:val="Tablesmalltext"/>
            </w:pPr>
          </w:p>
        </w:tc>
      </w:tr>
      <w:tr w:rsidR="00F669FB" w:rsidRPr="00484D90" w:rsidTr="004D3D4D">
        <w:trPr>
          <w:cantSplit/>
        </w:trPr>
        <w:tc>
          <w:tcPr>
            <w:tcW w:w="931" w:type="pct"/>
            <w:shd w:val="clear" w:color="auto" w:fill="auto"/>
            <w:vAlign w:val="center"/>
          </w:tcPr>
          <w:p w:rsidR="00D37AE0" w:rsidRPr="00484D90" w:rsidRDefault="00D37AE0" w:rsidP="004D3D4D">
            <w:pPr>
              <w:pStyle w:val="Tablesmalltext"/>
              <w:rPr>
                <w:b/>
              </w:rPr>
            </w:pPr>
            <w:r>
              <w:rPr>
                <w:b/>
              </w:rPr>
              <w:t xml:space="preserve">Willingness to Pay (WTP) for avoided loss (or protection) of unique ecosystems per household </w:t>
            </w:r>
          </w:p>
        </w:tc>
        <w:tc>
          <w:tcPr>
            <w:tcW w:w="499" w:type="pct"/>
            <w:shd w:val="clear" w:color="auto" w:fill="auto"/>
            <w:vAlign w:val="center"/>
          </w:tcPr>
          <w:p w:rsidR="00D37AE0" w:rsidRPr="00484D90" w:rsidRDefault="00D37AE0" w:rsidP="004D3D4D">
            <w:pPr>
              <w:pStyle w:val="Tablesmalltext"/>
            </w:pPr>
            <w:r>
              <w:t>$5.65</w:t>
            </w:r>
          </w:p>
        </w:tc>
        <w:tc>
          <w:tcPr>
            <w:tcW w:w="499" w:type="pct"/>
            <w:shd w:val="clear" w:color="auto" w:fill="auto"/>
            <w:vAlign w:val="center"/>
          </w:tcPr>
          <w:p w:rsidR="00D37AE0" w:rsidRPr="00484D90" w:rsidRDefault="00D37AE0" w:rsidP="004D3D4D">
            <w:pPr>
              <w:pStyle w:val="Tablesmalltext"/>
            </w:pPr>
            <w:r w:rsidRPr="003A2CB9">
              <w:t>$5.65</w:t>
            </w:r>
          </w:p>
        </w:tc>
        <w:tc>
          <w:tcPr>
            <w:tcW w:w="498" w:type="pct"/>
            <w:shd w:val="clear" w:color="auto" w:fill="auto"/>
            <w:vAlign w:val="center"/>
          </w:tcPr>
          <w:p w:rsidR="00D37AE0" w:rsidRPr="00484D90" w:rsidRDefault="00D37AE0" w:rsidP="004D3D4D">
            <w:pPr>
              <w:pStyle w:val="Tablesmalltext"/>
            </w:pPr>
            <w:r w:rsidRPr="003A2CB9">
              <w:t>$5.65</w:t>
            </w:r>
          </w:p>
        </w:tc>
        <w:tc>
          <w:tcPr>
            <w:tcW w:w="495" w:type="pct"/>
            <w:shd w:val="clear" w:color="auto" w:fill="auto"/>
            <w:vAlign w:val="center"/>
          </w:tcPr>
          <w:p w:rsidR="00D37AE0" w:rsidRPr="00484D90" w:rsidRDefault="00D37AE0" w:rsidP="004D3D4D">
            <w:pPr>
              <w:pStyle w:val="Tablesmalltext"/>
            </w:pPr>
            <w:r w:rsidRPr="003A2CB9">
              <w:t>$5.65</w:t>
            </w:r>
          </w:p>
        </w:tc>
        <w:tc>
          <w:tcPr>
            <w:tcW w:w="2079" w:type="pct"/>
            <w:shd w:val="clear" w:color="auto" w:fill="auto"/>
          </w:tcPr>
          <w:p w:rsidR="00D37AE0" w:rsidRPr="00484D90" w:rsidRDefault="00D37AE0" w:rsidP="004D3D4D">
            <w:pPr>
              <w:pStyle w:val="Tablesmalltext"/>
            </w:pPr>
            <w:r>
              <w:t>This annual value is based on Rolfe et al (2000) and Blamey et al (2000) and is for a period of 15 years. The value has been escalated to 2013 dollars</w:t>
            </w:r>
            <w:r w:rsidR="005D2473">
              <w:t>.</w:t>
            </w:r>
          </w:p>
        </w:tc>
      </w:tr>
      <w:tr w:rsidR="00F669FB" w:rsidRPr="00484D90" w:rsidTr="004D3D4D">
        <w:trPr>
          <w:cantSplit/>
        </w:trPr>
        <w:tc>
          <w:tcPr>
            <w:tcW w:w="931" w:type="pct"/>
            <w:shd w:val="clear" w:color="auto" w:fill="auto"/>
            <w:vAlign w:val="center"/>
          </w:tcPr>
          <w:p w:rsidR="00D37AE0" w:rsidRPr="00484D90" w:rsidRDefault="00D37AE0" w:rsidP="004D3D4D">
            <w:pPr>
              <w:pStyle w:val="Tablesmalltext"/>
              <w:rPr>
                <w:b/>
              </w:rPr>
            </w:pPr>
            <w:r>
              <w:rPr>
                <w:b/>
              </w:rPr>
              <w:t>Willingness to Pay (WTP) for avoided loss (or protection) of endangered species</w:t>
            </w:r>
          </w:p>
        </w:tc>
        <w:tc>
          <w:tcPr>
            <w:tcW w:w="499" w:type="pct"/>
            <w:shd w:val="clear" w:color="auto" w:fill="auto"/>
            <w:vAlign w:val="center"/>
          </w:tcPr>
          <w:p w:rsidR="00D37AE0" w:rsidRPr="00484D90" w:rsidRDefault="00D37AE0" w:rsidP="004D3D4D">
            <w:pPr>
              <w:pStyle w:val="Tablesmalltext"/>
            </w:pPr>
            <w:r>
              <w:t>$17.48</w:t>
            </w:r>
          </w:p>
        </w:tc>
        <w:tc>
          <w:tcPr>
            <w:tcW w:w="499" w:type="pct"/>
            <w:shd w:val="clear" w:color="auto" w:fill="auto"/>
            <w:vAlign w:val="center"/>
          </w:tcPr>
          <w:p w:rsidR="00D37AE0" w:rsidRPr="00484D90" w:rsidRDefault="00D37AE0" w:rsidP="004D3D4D">
            <w:pPr>
              <w:pStyle w:val="Tablesmalltext"/>
            </w:pPr>
            <w:r>
              <w:t>$17.48</w:t>
            </w:r>
          </w:p>
        </w:tc>
        <w:tc>
          <w:tcPr>
            <w:tcW w:w="498" w:type="pct"/>
            <w:shd w:val="clear" w:color="auto" w:fill="auto"/>
            <w:vAlign w:val="center"/>
          </w:tcPr>
          <w:p w:rsidR="00D37AE0" w:rsidRPr="00484D90" w:rsidRDefault="00D37AE0" w:rsidP="004D3D4D">
            <w:pPr>
              <w:pStyle w:val="Tablesmalltext"/>
            </w:pPr>
            <w:r>
              <w:t>$17.48</w:t>
            </w:r>
          </w:p>
        </w:tc>
        <w:tc>
          <w:tcPr>
            <w:tcW w:w="495" w:type="pct"/>
            <w:shd w:val="clear" w:color="auto" w:fill="auto"/>
            <w:vAlign w:val="center"/>
          </w:tcPr>
          <w:p w:rsidR="00D37AE0" w:rsidRPr="00484D90" w:rsidRDefault="00D37AE0" w:rsidP="004D3D4D">
            <w:pPr>
              <w:pStyle w:val="Tablesmalltext"/>
            </w:pPr>
            <w:r>
              <w:t>$17.48</w:t>
            </w:r>
          </w:p>
        </w:tc>
        <w:tc>
          <w:tcPr>
            <w:tcW w:w="2079" w:type="pct"/>
            <w:shd w:val="clear" w:color="auto" w:fill="auto"/>
          </w:tcPr>
          <w:p w:rsidR="00D37AE0" w:rsidRPr="00484D90" w:rsidRDefault="00D37AE0" w:rsidP="004D3D4D">
            <w:pPr>
              <w:pStyle w:val="Tablesmalltext"/>
            </w:pPr>
            <w:r>
              <w:t>This annual value is based on Rolfe et al (2000) and Blamey et al (2000) and is for a period of 15 years. The value has been escalated to 2013 dollars.</w:t>
            </w:r>
          </w:p>
        </w:tc>
      </w:tr>
      <w:tr w:rsidR="00F669FB" w:rsidRPr="00484D90" w:rsidTr="004D3D4D">
        <w:trPr>
          <w:cantSplit/>
        </w:trPr>
        <w:tc>
          <w:tcPr>
            <w:tcW w:w="931" w:type="pct"/>
            <w:shd w:val="clear" w:color="auto" w:fill="auto"/>
            <w:vAlign w:val="center"/>
          </w:tcPr>
          <w:p w:rsidR="00D37AE0" w:rsidRPr="00484D90" w:rsidRDefault="00D37AE0" w:rsidP="004D3D4D">
            <w:pPr>
              <w:pStyle w:val="Tablesmalltext"/>
              <w:rPr>
                <w:b/>
              </w:rPr>
            </w:pPr>
            <w:r>
              <w:rPr>
                <w:b/>
              </w:rPr>
              <w:t>Number of households</w:t>
            </w:r>
          </w:p>
        </w:tc>
        <w:tc>
          <w:tcPr>
            <w:tcW w:w="1990" w:type="pct"/>
            <w:gridSpan w:val="4"/>
            <w:shd w:val="clear" w:color="auto" w:fill="auto"/>
            <w:vAlign w:val="center"/>
          </w:tcPr>
          <w:p w:rsidR="00D37AE0" w:rsidRPr="00484D90" w:rsidRDefault="00D37AE0" w:rsidP="004D3D4D">
            <w:pPr>
              <w:pStyle w:val="Tablesmalltext"/>
              <w:spacing w:before="0" w:after="0"/>
            </w:pPr>
            <w:r>
              <w:t>Approx. 5.5 million</w:t>
            </w:r>
          </w:p>
        </w:tc>
        <w:tc>
          <w:tcPr>
            <w:tcW w:w="2079" w:type="pct"/>
            <w:shd w:val="clear" w:color="auto" w:fill="auto"/>
          </w:tcPr>
          <w:p w:rsidR="00D37AE0" w:rsidRDefault="00D37AE0" w:rsidP="004D3D4D">
            <w:pPr>
              <w:pStyle w:val="Tablesmalltext"/>
            </w:pPr>
            <w:r>
              <w:t>Where possible, the number of households should vary year on year with the population. For the sake of si</w:t>
            </w:r>
            <w:r w:rsidR="00CE5878">
              <w:t>mplicity, 2013 household number</w:t>
            </w:r>
            <w:r>
              <w:t>s</w:t>
            </w:r>
            <w:r w:rsidR="00CE5878">
              <w:t xml:space="preserve"> </w:t>
            </w:r>
            <w:r>
              <w:t>have been applied.</w:t>
            </w:r>
          </w:p>
          <w:p w:rsidR="00D37AE0" w:rsidRDefault="00D37AE0" w:rsidP="004D3D4D">
            <w:pPr>
              <w:pStyle w:val="Tablesmalltext"/>
            </w:pPr>
            <w:r>
              <w:t xml:space="preserve">It is assumed that all households in the GAB jurisdiction - including Queensland, NSW and South Australia will value the groundwater ecosystems. This may be higher if non-GAB jurisdictions are willing to pay for ecosystem preservation in the GAB or lower, if not all households are willing to pay – </w:t>
            </w:r>
            <w:r w:rsidR="00CE5878">
              <w:t>e.g.</w:t>
            </w:r>
            <w:r>
              <w:t xml:space="preserve"> Rolfe (2008) reduced the households by 50% to reflect the response rate to the survey.</w:t>
            </w:r>
          </w:p>
          <w:p w:rsidR="00D37AE0" w:rsidRPr="00484D90" w:rsidRDefault="00D37AE0" w:rsidP="004D3D4D">
            <w:pPr>
              <w:pStyle w:val="Tablesmalltext"/>
            </w:pPr>
            <w:r>
              <w:t>Sensitivity tests should always be run on the number of households (to allow for less and more households).</w:t>
            </w:r>
          </w:p>
        </w:tc>
      </w:tr>
    </w:tbl>
    <w:p w:rsidR="00694DA4" w:rsidRDefault="00694DA4" w:rsidP="00102107">
      <w:pPr>
        <w:pStyle w:val="Para0"/>
        <w:rPr>
          <w:b/>
          <w:i/>
        </w:rPr>
      </w:pPr>
      <w:r>
        <w:rPr>
          <w:b/>
          <w:i/>
        </w:rPr>
        <w:t>Results</w:t>
      </w:r>
    </w:p>
    <w:p w:rsidR="00D37AE0" w:rsidRDefault="00D37AE0" w:rsidP="00D37AE0">
      <w:pPr>
        <w:pStyle w:val="Para0"/>
      </w:pPr>
      <w:r>
        <w:t>The metrics needed to quantify the avoided loss of ecosystems (unique or endangered) as a result of GABSI is unavailable and therefore the biodiversity benefits from the GABSI program could not be captured in the TEV assessment.</w:t>
      </w:r>
    </w:p>
    <w:p w:rsidR="00D37AE0" w:rsidRDefault="00D37AE0" w:rsidP="00D37AE0">
      <w:pPr>
        <w:pStyle w:val="Para0"/>
      </w:pPr>
      <w:r>
        <w:t xml:space="preserve">As data was unavailable to appropriately apply the above metrics (e.g. clear evidence demonstrating that GABSI averted the loss of an endangered species), available evidence to demonstrate the qualitative value of the groundwater ecosystem services is considered instead. </w:t>
      </w:r>
    </w:p>
    <w:p w:rsidR="00D37AE0" w:rsidRDefault="00D37AE0" w:rsidP="00D37AE0">
      <w:pPr>
        <w:pStyle w:val="Para0"/>
      </w:pPr>
      <w:r>
        <w:t xml:space="preserve">There are significant legislative obligations on both the Commonwealth and jurisdictions to protect the environmental value provided by the GAB. These Acts suggest government (and therefore public) willingness to protect these assets and therefore implies an </w:t>
      </w:r>
      <w:r w:rsidR="0021386F">
        <w:t>intrinsic public value.</w:t>
      </w:r>
      <w:r>
        <w:t xml:space="preserve"> Relevant legislation includes:</w:t>
      </w:r>
    </w:p>
    <w:p w:rsidR="00C87507" w:rsidRPr="00D3524F" w:rsidRDefault="00C87507" w:rsidP="00D3524F">
      <w:pPr>
        <w:pStyle w:val="Para0bullet"/>
      </w:pPr>
      <w:r w:rsidRPr="00D3524F">
        <w:rPr>
          <w:b/>
          <w:bCs/>
        </w:rPr>
        <w:t>Commonwealth</w:t>
      </w:r>
      <w:r w:rsidRPr="00D3524F">
        <w:t xml:space="preserve"> – EPBC Act 1999</w:t>
      </w:r>
    </w:p>
    <w:p w:rsidR="00C87507" w:rsidRPr="00D3524F" w:rsidRDefault="00C87507" w:rsidP="00D3524F">
      <w:pPr>
        <w:pStyle w:val="Para0bullet"/>
      </w:pPr>
      <w:r w:rsidRPr="00D3524F">
        <w:rPr>
          <w:b/>
          <w:bCs/>
        </w:rPr>
        <w:t>NSW</w:t>
      </w:r>
      <w:r w:rsidRPr="00D3524F">
        <w:t xml:space="preserve"> – Threatened Species Conservation Act 1995, National Parks and Wildlife Act 1974, Environmental Planning and Assessment Act 1979</w:t>
      </w:r>
    </w:p>
    <w:p w:rsidR="00C87507" w:rsidRPr="00D3524F" w:rsidRDefault="00C87507" w:rsidP="00D3524F">
      <w:pPr>
        <w:pStyle w:val="Para0bullet"/>
      </w:pPr>
      <w:r w:rsidRPr="00D3524F">
        <w:rPr>
          <w:b/>
          <w:bCs/>
        </w:rPr>
        <w:t>QLD</w:t>
      </w:r>
      <w:r w:rsidRPr="00D3524F">
        <w:t xml:space="preserve"> – Vegetation Management Act 1999, Nature Conservation Act 1992</w:t>
      </w:r>
      <w:r w:rsidR="004A4EC1">
        <w:t>, Environment Protection Act 1994</w:t>
      </w:r>
    </w:p>
    <w:p w:rsidR="00C87507" w:rsidRPr="00D3524F" w:rsidRDefault="00C87507" w:rsidP="00D3524F">
      <w:pPr>
        <w:pStyle w:val="Para0bullet"/>
      </w:pPr>
      <w:r w:rsidRPr="00D3524F">
        <w:rPr>
          <w:b/>
          <w:bCs/>
        </w:rPr>
        <w:t>SA</w:t>
      </w:r>
      <w:r w:rsidRPr="00D3524F">
        <w:t xml:space="preserve"> – Natural Resources Management Act 2004, Native Vegetation Act 1991</w:t>
      </w:r>
    </w:p>
    <w:p w:rsidR="00C87507" w:rsidRPr="00D3524F" w:rsidRDefault="00C87507" w:rsidP="00D3524F">
      <w:pPr>
        <w:pStyle w:val="Para0bullet"/>
      </w:pPr>
      <w:r w:rsidRPr="00D3524F">
        <w:rPr>
          <w:b/>
          <w:bCs/>
        </w:rPr>
        <w:t xml:space="preserve">International </w:t>
      </w:r>
      <w:r w:rsidRPr="00D3524F">
        <w:t>– IUCN Red List, Ramsar Convention</w:t>
      </w:r>
    </w:p>
    <w:p w:rsidR="00102107" w:rsidRPr="00863E1E" w:rsidRDefault="00CB632F" w:rsidP="00102107">
      <w:pPr>
        <w:pStyle w:val="Para0"/>
      </w:pPr>
      <w:r w:rsidRPr="00863E1E">
        <w:t>The GAB once sustained approximately 500 complexes of permanent springs (Fairfax et al 2007)</w:t>
      </w:r>
      <w:r w:rsidRPr="00863E1E">
        <w:rPr>
          <w:rStyle w:val="FootnoteReference"/>
          <w:rFonts w:cs="AdvPSTim"/>
          <w:szCs w:val="20"/>
        </w:rPr>
        <w:footnoteReference w:id="25"/>
      </w:r>
      <w:r w:rsidRPr="00863E1E">
        <w:t xml:space="preserve">, which can vary in size from miniscule to over 100ha. The largest discharge spring is located at Dalhousie Springs in South Australia. </w:t>
      </w:r>
      <w:r w:rsidR="00102107" w:rsidRPr="00863E1E">
        <w:t xml:space="preserve">Active spring wetlands, occurring from the southern end of Cape York Peninsula to Lake Eyre in South Australia, are sustained by a constraint supply of water from the </w:t>
      </w:r>
      <w:r>
        <w:t xml:space="preserve">GAB </w:t>
      </w:r>
      <w:r w:rsidR="00102107" w:rsidRPr="00863E1E">
        <w:t>and therefore are not exposed to seasonal drying like most other wetlands. This difference to seasonal wetlands means that spring wetlands support distinct ecosystem</w:t>
      </w:r>
      <w:r w:rsidR="0033732A">
        <w:t xml:space="preserve"> services (Fensham et al 2010).</w:t>
      </w:r>
    </w:p>
    <w:p w:rsidR="00516D07" w:rsidRDefault="00102107">
      <w:pPr>
        <w:spacing w:after="0" w:line="240" w:lineRule="auto"/>
        <w:rPr>
          <w:rFonts w:ascii="Arial Narrow" w:hAnsi="Arial Narrow"/>
          <w:b/>
        </w:rPr>
      </w:pPr>
      <w:r w:rsidRPr="00863E1E">
        <w:t>A recovery plan for the community of native species dependent on natural discharge of groundwater from the GAB (Fensham et a</w:t>
      </w:r>
      <w:r w:rsidR="00BB136E">
        <w:t>l 2010) identified aquifer draw</w:t>
      </w:r>
      <w:r w:rsidRPr="00863E1E">
        <w:t xml:space="preserve">down as a key threat to the native species of the GAB, suggesting that 40% of discharge spring complexes have become inactive during the period of settlement, and another 14% </w:t>
      </w:r>
      <w:r w:rsidR="00BB136E">
        <w:t>were</w:t>
      </w:r>
      <w:r w:rsidRPr="00863E1E">
        <w:t xml:space="preserve"> categorised as active and inactive. Whilst these findings were based on limited data</w:t>
      </w:r>
      <w:r w:rsidRPr="00863E1E">
        <w:rPr>
          <w:rStyle w:val="FootnoteReference"/>
          <w:rFonts w:cs="AdvPSTim"/>
          <w:szCs w:val="20"/>
        </w:rPr>
        <w:footnoteReference w:id="26"/>
      </w:r>
      <w:r w:rsidRPr="00863E1E">
        <w:t>, the analy</w:t>
      </w:r>
      <w:r w:rsidR="00BB136E">
        <w:t>sis concluded that aquifer draw</w:t>
      </w:r>
      <w:r w:rsidRPr="00863E1E">
        <w:t>down is linked to spring extinction and decline</w:t>
      </w:r>
      <w:r w:rsidR="00BB136E">
        <w:t>,</w:t>
      </w:r>
      <w:r w:rsidRPr="00863E1E">
        <w:t xml:space="preserve"> and to loss of endemic species.</w:t>
      </w:r>
      <w:r w:rsidR="00012B36" w:rsidRPr="00012B36">
        <w:t xml:space="preserve"> </w:t>
      </w:r>
      <w:r w:rsidR="006768F1">
        <w:fldChar w:fldCharType="begin"/>
      </w:r>
      <w:r w:rsidR="00012B36">
        <w:instrText xml:space="preserve"> REF _Ref373307758 \h </w:instrText>
      </w:r>
      <w:r w:rsidR="006768F1">
        <w:fldChar w:fldCharType="separate"/>
      </w:r>
      <w:r w:rsidR="00516D07">
        <w:t xml:space="preserve">Figure </w:t>
      </w:r>
      <w:r w:rsidR="00516D07">
        <w:rPr>
          <w:noProof/>
        </w:rPr>
        <w:t>6</w:t>
      </w:r>
      <w:r w:rsidR="006768F1">
        <w:fldChar w:fldCharType="end"/>
      </w:r>
      <w:r w:rsidR="00012B36">
        <w:t xml:space="preserve"> provides an overview of the location of major springs groups in the GAB and their conservation status in relation to the EPBC Act 1999.</w:t>
      </w:r>
      <w:r w:rsidR="001067F1">
        <w:t xml:space="preserve"> </w:t>
      </w:r>
      <w:r w:rsidR="006768F1">
        <w:fldChar w:fldCharType="begin"/>
      </w:r>
      <w:r w:rsidR="001067F1">
        <w:instrText xml:space="preserve"> REF _Ref373485391 \h </w:instrText>
      </w:r>
      <w:r w:rsidR="006768F1">
        <w:fldChar w:fldCharType="separate"/>
      </w:r>
      <w:r w:rsidR="00516D07">
        <w:br w:type="page"/>
      </w:r>
    </w:p>
    <w:p w:rsidR="00BB136E" w:rsidRDefault="00516D07" w:rsidP="00102107">
      <w:pPr>
        <w:pStyle w:val="Para0"/>
      </w:pPr>
      <w:r>
        <w:t xml:space="preserve">Table </w:t>
      </w:r>
      <w:r>
        <w:rPr>
          <w:noProof/>
        </w:rPr>
        <w:t>19</w:t>
      </w:r>
      <w:r w:rsidR="006768F1">
        <w:fldChar w:fldCharType="end"/>
      </w:r>
      <w:r w:rsidR="00BB136E">
        <w:t xml:space="preserve"> provides a list of key communities of native species found in the GAB and their conservation status according to Commonwealth and State legislation.</w:t>
      </w:r>
    </w:p>
    <w:p w:rsidR="00012B36" w:rsidRDefault="00012B36" w:rsidP="00012B36">
      <w:pPr>
        <w:pStyle w:val="Caption"/>
      </w:pPr>
      <w:bookmarkStart w:id="51" w:name="_Ref373307758"/>
      <w:r>
        <w:t xml:space="preserve">Figure </w:t>
      </w:r>
      <w:r w:rsidR="006768F1">
        <w:fldChar w:fldCharType="begin"/>
      </w:r>
      <w:r>
        <w:instrText xml:space="preserve"> SEQ Figure \* ARABIC </w:instrText>
      </w:r>
      <w:r w:rsidR="006768F1">
        <w:fldChar w:fldCharType="separate"/>
      </w:r>
      <w:r w:rsidR="00516D07">
        <w:rPr>
          <w:noProof/>
        </w:rPr>
        <w:t>6</w:t>
      </w:r>
      <w:r w:rsidR="006768F1">
        <w:fldChar w:fldCharType="end"/>
      </w:r>
      <w:bookmarkEnd w:id="51"/>
      <w:r>
        <w:t>: GAB spring complexes and their status under the EPBC Act 1999 (CSIRO, 2012, p.6)</w:t>
      </w:r>
    </w:p>
    <w:p w:rsidR="00012B36" w:rsidRPr="00863E1E" w:rsidRDefault="00012B36" w:rsidP="00012B36">
      <w:pPr>
        <w:autoSpaceDE w:val="0"/>
        <w:autoSpaceDN w:val="0"/>
        <w:adjustRightInd w:val="0"/>
        <w:spacing w:after="0" w:line="240" w:lineRule="auto"/>
      </w:pPr>
      <w:r>
        <w:rPr>
          <w:noProof/>
          <w:lang w:eastAsia="en-AU"/>
        </w:rPr>
        <w:drawing>
          <wp:inline distT="0" distB="0" distL="0" distR="0">
            <wp:extent cx="4053505" cy="4772774"/>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SI species.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3505" cy="4772774"/>
                    </a:xfrm>
                    <a:prstGeom prst="rect">
                      <a:avLst/>
                    </a:prstGeom>
                  </pic:spPr>
                </pic:pic>
              </a:graphicData>
            </a:graphic>
          </wp:inline>
        </w:drawing>
      </w:r>
    </w:p>
    <w:p w:rsidR="003001DF" w:rsidRDefault="003001DF">
      <w:pPr>
        <w:spacing w:after="0" w:line="240" w:lineRule="auto"/>
        <w:rPr>
          <w:rFonts w:ascii="Arial Narrow" w:hAnsi="Arial Narrow"/>
          <w:b/>
        </w:rPr>
      </w:pPr>
      <w:bookmarkStart w:id="52" w:name="_Ref373485391"/>
      <w:r>
        <w:br w:type="page"/>
      </w:r>
    </w:p>
    <w:p w:rsidR="00BB136E" w:rsidRDefault="00BB136E" w:rsidP="00BB136E">
      <w:pPr>
        <w:pStyle w:val="Caption"/>
      </w:pPr>
      <w:r>
        <w:t xml:space="preserve">Table </w:t>
      </w:r>
      <w:r w:rsidR="006768F1">
        <w:fldChar w:fldCharType="begin"/>
      </w:r>
      <w:r w:rsidR="00F843FC">
        <w:instrText xml:space="preserve"> SEQ Table \* ARABIC </w:instrText>
      </w:r>
      <w:r w:rsidR="006768F1">
        <w:fldChar w:fldCharType="separate"/>
      </w:r>
      <w:r w:rsidR="00516D07">
        <w:rPr>
          <w:noProof/>
        </w:rPr>
        <w:t>19</w:t>
      </w:r>
      <w:r w:rsidR="006768F1">
        <w:fldChar w:fldCharType="end"/>
      </w:r>
      <w:bookmarkEnd w:id="52"/>
      <w:r>
        <w:t>: Conservation status of the community of native species dependent on natural discharge of groundwater from the GAB under Australia and State Government legislation</w:t>
      </w:r>
      <w:r>
        <w:rPr>
          <w:rStyle w:val="FootnoteReference"/>
        </w:rPr>
        <w:footnoteReference w:id="27"/>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3402"/>
        <w:gridCol w:w="2268"/>
        <w:gridCol w:w="4253"/>
      </w:tblGrid>
      <w:tr w:rsidR="00F669FB" w:rsidRPr="00863E1E" w:rsidTr="002E4907">
        <w:trPr>
          <w:cantSplit/>
          <w:tblHeader/>
        </w:trPr>
        <w:tc>
          <w:tcPr>
            <w:tcW w:w="1714" w:type="pct"/>
            <w:shd w:val="clear" w:color="auto" w:fill="5185C0"/>
          </w:tcPr>
          <w:p w:rsidR="00BB136E" w:rsidRPr="00863E1E" w:rsidRDefault="00BB136E" w:rsidP="00C87507">
            <w:pPr>
              <w:pStyle w:val="Tablesmallheading"/>
            </w:pPr>
            <w:r>
              <w:t>Name</w:t>
            </w:r>
          </w:p>
        </w:tc>
        <w:tc>
          <w:tcPr>
            <w:tcW w:w="1143" w:type="pct"/>
            <w:shd w:val="clear" w:color="auto" w:fill="5185C0"/>
            <w:vAlign w:val="center"/>
          </w:tcPr>
          <w:p w:rsidR="00BB136E" w:rsidRPr="00863E1E" w:rsidRDefault="00BB136E" w:rsidP="00C87507">
            <w:pPr>
              <w:pStyle w:val="Tablesmallheading"/>
              <w:jc w:val="center"/>
            </w:pPr>
            <w:r>
              <w:t>Conservation status</w:t>
            </w:r>
          </w:p>
        </w:tc>
        <w:tc>
          <w:tcPr>
            <w:tcW w:w="2143" w:type="pct"/>
            <w:shd w:val="clear" w:color="auto" w:fill="5185C0"/>
          </w:tcPr>
          <w:p w:rsidR="00BB136E" w:rsidRPr="00863E1E" w:rsidRDefault="00BB136E" w:rsidP="00C87507">
            <w:pPr>
              <w:pStyle w:val="Tablesmallheading"/>
            </w:pPr>
            <w:r>
              <w:t>Known locations</w:t>
            </w:r>
          </w:p>
        </w:tc>
      </w:tr>
      <w:tr w:rsidR="00F669FB" w:rsidRPr="00863E1E" w:rsidTr="002E4907">
        <w:trPr>
          <w:cantSplit/>
        </w:trPr>
        <w:tc>
          <w:tcPr>
            <w:tcW w:w="5000" w:type="pct"/>
            <w:gridSpan w:val="3"/>
            <w:shd w:val="clear" w:color="auto" w:fill="E9E9EA"/>
          </w:tcPr>
          <w:p w:rsidR="00BB136E" w:rsidRPr="00863E1E" w:rsidRDefault="00BB136E" w:rsidP="00C87507">
            <w:pPr>
              <w:pStyle w:val="Tablesmalltext"/>
            </w:pPr>
            <w:r w:rsidRPr="00622ADC">
              <w:rPr>
                <w:b/>
                <w:i/>
              </w:rPr>
              <w:t>Animals</w:t>
            </w:r>
          </w:p>
        </w:tc>
      </w:tr>
      <w:tr w:rsidR="00BB136E" w:rsidRPr="00863E1E" w:rsidTr="004A4EC1">
        <w:trPr>
          <w:cantSplit/>
        </w:trPr>
        <w:tc>
          <w:tcPr>
            <w:tcW w:w="1714" w:type="pct"/>
          </w:tcPr>
          <w:p w:rsidR="00BB136E" w:rsidRPr="00622ADC" w:rsidRDefault="00BB136E" w:rsidP="00C87507">
            <w:pPr>
              <w:pStyle w:val="Tablesmalltext"/>
              <w:rPr>
                <w:i/>
              </w:rPr>
            </w:pPr>
            <w:r w:rsidRPr="00622ADC">
              <w:rPr>
                <w:i/>
              </w:rPr>
              <w:t xml:space="preserve">Adclarkia dawsonensis </w:t>
            </w:r>
          </w:p>
          <w:p w:rsidR="00BB136E" w:rsidRPr="00863E1E" w:rsidRDefault="00BB136E" w:rsidP="00C87507">
            <w:pPr>
              <w:pStyle w:val="Tablesmalltext"/>
            </w:pPr>
            <w:r>
              <w:t>Boggomoss Snail, Dawson Valley Snail</w:t>
            </w:r>
          </w:p>
        </w:tc>
        <w:tc>
          <w:tcPr>
            <w:tcW w:w="1143" w:type="pct"/>
            <w:vAlign w:val="center"/>
          </w:tcPr>
          <w:p w:rsidR="00BB136E" w:rsidRPr="00863E1E" w:rsidRDefault="00BB136E" w:rsidP="00C87507">
            <w:pPr>
              <w:pStyle w:val="Tablesmalltext"/>
              <w:jc w:val="center"/>
            </w:pPr>
            <w:r>
              <w:t>Critically endangered nationally</w:t>
            </w:r>
          </w:p>
        </w:tc>
        <w:tc>
          <w:tcPr>
            <w:tcW w:w="2143" w:type="pct"/>
          </w:tcPr>
          <w:p w:rsidR="00BB136E" w:rsidRPr="00863E1E" w:rsidRDefault="00BB136E" w:rsidP="00C87507">
            <w:pPr>
              <w:pStyle w:val="Tablesmalltext"/>
            </w:pPr>
            <w:r>
              <w:t>Boggomoss</w:t>
            </w:r>
          </w:p>
        </w:tc>
      </w:tr>
      <w:tr w:rsidR="00BB136E" w:rsidRPr="00863E1E" w:rsidTr="004A4EC1">
        <w:trPr>
          <w:cantSplit/>
        </w:trPr>
        <w:tc>
          <w:tcPr>
            <w:tcW w:w="1714" w:type="pct"/>
          </w:tcPr>
          <w:p w:rsidR="00BB136E" w:rsidRPr="00863E1E" w:rsidRDefault="00BB136E" w:rsidP="00C87507">
            <w:pPr>
              <w:pStyle w:val="Tablesmalltext"/>
            </w:pPr>
            <w:r>
              <w:rPr>
                <w:i/>
                <w:iCs/>
              </w:rPr>
              <w:t>Elizabeth Springs</w:t>
            </w:r>
          </w:p>
        </w:tc>
        <w:tc>
          <w:tcPr>
            <w:tcW w:w="1143" w:type="pct"/>
            <w:vAlign w:val="center"/>
          </w:tcPr>
          <w:p w:rsidR="00BB136E" w:rsidRPr="00863E1E" w:rsidRDefault="00BB136E" w:rsidP="00C87507">
            <w:pPr>
              <w:pStyle w:val="Tablesmalltext"/>
              <w:jc w:val="center"/>
            </w:pPr>
            <w:r>
              <w:t>Endangered nationally and in QLD</w:t>
            </w:r>
          </w:p>
        </w:tc>
        <w:tc>
          <w:tcPr>
            <w:tcW w:w="2143" w:type="pct"/>
          </w:tcPr>
          <w:p w:rsidR="00BB136E" w:rsidRPr="00863E1E" w:rsidRDefault="00BB136E" w:rsidP="00C87507">
            <w:pPr>
              <w:pStyle w:val="Tablesmalltext"/>
            </w:pPr>
            <w:r>
              <w:t>Elizabeth Springs</w:t>
            </w:r>
          </w:p>
        </w:tc>
      </w:tr>
      <w:tr w:rsidR="00BB136E" w:rsidRPr="00863E1E" w:rsidTr="004A4EC1">
        <w:trPr>
          <w:cantSplit/>
        </w:trPr>
        <w:tc>
          <w:tcPr>
            <w:tcW w:w="1714" w:type="pct"/>
          </w:tcPr>
          <w:p w:rsidR="00BB136E" w:rsidRDefault="00BB136E" w:rsidP="00C87507">
            <w:pPr>
              <w:pStyle w:val="Tablesmalltext"/>
              <w:rPr>
                <w:vertAlign w:val="superscript"/>
              </w:rPr>
            </w:pPr>
            <w:r>
              <w:rPr>
                <w:i/>
                <w:iCs/>
              </w:rPr>
              <w:t>Chlamydogobius squamigenus</w:t>
            </w:r>
          </w:p>
          <w:p w:rsidR="00BB136E" w:rsidRPr="00863E1E" w:rsidRDefault="00BB136E" w:rsidP="00C87507">
            <w:pPr>
              <w:pStyle w:val="Tablesmalltext"/>
            </w:pPr>
            <w:r>
              <w:t>Edgbaston Goby</w:t>
            </w:r>
          </w:p>
        </w:tc>
        <w:tc>
          <w:tcPr>
            <w:tcW w:w="1143" w:type="pct"/>
            <w:vAlign w:val="center"/>
          </w:tcPr>
          <w:p w:rsidR="00BB136E" w:rsidRPr="00863E1E" w:rsidRDefault="00BB136E" w:rsidP="00C87507">
            <w:pPr>
              <w:pStyle w:val="Tablesmalltext"/>
              <w:jc w:val="center"/>
            </w:pPr>
            <w:r>
              <w:t>Vulnerable nationally, endangered in QLD</w:t>
            </w:r>
          </w:p>
        </w:tc>
        <w:tc>
          <w:tcPr>
            <w:tcW w:w="2143" w:type="pct"/>
          </w:tcPr>
          <w:p w:rsidR="00BB136E" w:rsidRPr="00863E1E" w:rsidRDefault="00BB136E" w:rsidP="00C87507">
            <w:pPr>
              <w:pStyle w:val="Tablesmalltext"/>
            </w:pPr>
            <w:r>
              <w:t>Edgbaston / Myross</w:t>
            </w:r>
          </w:p>
        </w:tc>
      </w:tr>
      <w:tr w:rsidR="00BB136E" w:rsidRPr="00863E1E" w:rsidTr="004A4EC1">
        <w:trPr>
          <w:cantSplit/>
        </w:trPr>
        <w:tc>
          <w:tcPr>
            <w:tcW w:w="1714" w:type="pct"/>
          </w:tcPr>
          <w:p w:rsidR="00BB136E" w:rsidRDefault="00BB136E" w:rsidP="00C87507">
            <w:pPr>
              <w:pStyle w:val="Tablesmalltext"/>
              <w:rPr>
                <w:vertAlign w:val="superscript"/>
              </w:rPr>
            </w:pPr>
            <w:r>
              <w:rPr>
                <w:i/>
                <w:iCs/>
              </w:rPr>
              <w:t>Scaturiginichthys vermeilipinnis</w:t>
            </w:r>
          </w:p>
          <w:p w:rsidR="00BB136E" w:rsidRPr="00863E1E" w:rsidRDefault="00BB136E" w:rsidP="00C87507">
            <w:pPr>
              <w:pStyle w:val="Tablesmalltext"/>
            </w:pPr>
            <w:r>
              <w:t>Red-finned Blue-eye</w:t>
            </w:r>
          </w:p>
        </w:tc>
        <w:tc>
          <w:tcPr>
            <w:tcW w:w="1143" w:type="pct"/>
            <w:vAlign w:val="center"/>
          </w:tcPr>
          <w:p w:rsidR="00BB136E" w:rsidRPr="00863E1E" w:rsidRDefault="00BB136E" w:rsidP="00C87507">
            <w:pPr>
              <w:pStyle w:val="Tablesmalltext"/>
              <w:jc w:val="center"/>
            </w:pPr>
            <w:r>
              <w:t>Endangered nationally and in QLD</w:t>
            </w:r>
          </w:p>
        </w:tc>
        <w:tc>
          <w:tcPr>
            <w:tcW w:w="2143" w:type="pct"/>
          </w:tcPr>
          <w:p w:rsidR="00BB136E" w:rsidRPr="00863E1E" w:rsidRDefault="00BB136E" w:rsidP="00C87507">
            <w:pPr>
              <w:pStyle w:val="Tablesmalltext"/>
            </w:pPr>
            <w:r>
              <w:t>Edgbaston / Myross</w:t>
            </w:r>
          </w:p>
        </w:tc>
      </w:tr>
      <w:tr w:rsidR="00F669FB" w:rsidRPr="00863E1E" w:rsidTr="002E4907">
        <w:trPr>
          <w:cantSplit/>
        </w:trPr>
        <w:tc>
          <w:tcPr>
            <w:tcW w:w="5000" w:type="pct"/>
            <w:gridSpan w:val="3"/>
            <w:shd w:val="clear" w:color="auto" w:fill="E9E9EA"/>
          </w:tcPr>
          <w:p w:rsidR="00BB136E" w:rsidRPr="00863E1E" w:rsidRDefault="00BB136E" w:rsidP="00C87507">
            <w:pPr>
              <w:pStyle w:val="Tablesmalltext"/>
            </w:pPr>
            <w:r w:rsidRPr="00622ADC">
              <w:rPr>
                <w:b/>
              </w:rPr>
              <w:t>Plants</w:t>
            </w:r>
          </w:p>
        </w:tc>
      </w:tr>
      <w:tr w:rsidR="00BB136E" w:rsidRPr="00863E1E" w:rsidTr="004A4EC1">
        <w:trPr>
          <w:cantSplit/>
        </w:trPr>
        <w:tc>
          <w:tcPr>
            <w:tcW w:w="1714" w:type="pct"/>
          </w:tcPr>
          <w:p w:rsidR="00BB136E" w:rsidRDefault="00BB136E" w:rsidP="00C87507">
            <w:pPr>
              <w:pStyle w:val="Tablesmalltext"/>
              <w:rPr>
                <w:i/>
                <w:iCs/>
              </w:rPr>
            </w:pPr>
            <w:r>
              <w:rPr>
                <w:i/>
                <w:iCs/>
              </w:rPr>
              <w:t>Arthraxon hispidus</w:t>
            </w:r>
          </w:p>
          <w:p w:rsidR="00BB136E" w:rsidRPr="00863E1E" w:rsidRDefault="00BB136E" w:rsidP="00C87507">
            <w:pPr>
              <w:pStyle w:val="Tablesmalltext"/>
            </w:pPr>
            <w:r>
              <w:t>Hairy-joint Grass</w:t>
            </w:r>
          </w:p>
        </w:tc>
        <w:tc>
          <w:tcPr>
            <w:tcW w:w="1143" w:type="pct"/>
            <w:vAlign w:val="center"/>
          </w:tcPr>
          <w:p w:rsidR="00BB136E" w:rsidRPr="00863E1E" w:rsidRDefault="00BB136E" w:rsidP="00C87507">
            <w:pPr>
              <w:pStyle w:val="Tablesmalltext"/>
              <w:jc w:val="center"/>
            </w:pPr>
            <w:r>
              <w:t>Vulnerable nationally and in NSW</w:t>
            </w:r>
          </w:p>
        </w:tc>
        <w:tc>
          <w:tcPr>
            <w:tcW w:w="2143" w:type="pct"/>
          </w:tcPr>
          <w:p w:rsidR="00BB136E" w:rsidRPr="00863E1E" w:rsidRDefault="00BB136E" w:rsidP="00C87507">
            <w:pPr>
              <w:pStyle w:val="Tablesmalltext"/>
            </w:pPr>
            <w:r>
              <w:t>Dawson River (spring 5)</w:t>
            </w:r>
          </w:p>
        </w:tc>
      </w:tr>
      <w:tr w:rsidR="00BB136E" w:rsidRPr="00863E1E" w:rsidTr="004A4EC1">
        <w:trPr>
          <w:cantSplit/>
        </w:trPr>
        <w:tc>
          <w:tcPr>
            <w:tcW w:w="1714" w:type="pct"/>
          </w:tcPr>
          <w:p w:rsidR="00BB136E" w:rsidRPr="00622ADC" w:rsidRDefault="00BB136E" w:rsidP="00C87507">
            <w:pPr>
              <w:pStyle w:val="Tablesmalltext"/>
              <w:rPr>
                <w:i/>
                <w:iCs/>
              </w:rPr>
            </w:pPr>
            <w:r>
              <w:rPr>
                <w:i/>
                <w:iCs/>
              </w:rPr>
              <w:t>Dentella minutissima</w:t>
            </w:r>
          </w:p>
        </w:tc>
        <w:tc>
          <w:tcPr>
            <w:tcW w:w="1143" w:type="pct"/>
            <w:vAlign w:val="center"/>
          </w:tcPr>
          <w:p w:rsidR="00BB136E" w:rsidRPr="00863E1E" w:rsidRDefault="00BB136E" w:rsidP="00C87507">
            <w:pPr>
              <w:pStyle w:val="Tablesmalltext"/>
              <w:jc w:val="center"/>
            </w:pPr>
            <w:r>
              <w:t>Endangered in NSW</w:t>
            </w:r>
          </w:p>
        </w:tc>
        <w:tc>
          <w:tcPr>
            <w:tcW w:w="2143" w:type="pct"/>
          </w:tcPr>
          <w:p w:rsidR="00BB136E" w:rsidRPr="00863E1E" w:rsidRDefault="00BB136E" w:rsidP="00C87507">
            <w:pPr>
              <w:pStyle w:val="Tablesmalltext"/>
            </w:pPr>
            <w:r>
              <w:t>Discharge springs in NSW</w:t>
            </w:r>
          </w:p>
        </w:tc>
      </w:tr>
      <w:tr w:rsidR="00BB136E" w:rsidRPr="00863E1E" w:rsidTr="004A4EC1">
        <w:trPr>
          <w:cantSplit/>
        </w:trPr>
        <w:tc>
          <w:tcPr>
            <w:tcW w:w="1714" w:type="pct"/>
          </w:tcPr>
          <w:p w:rsidR="00BB136E" w:rsidRDefault="00BB136E" w:rsidP="00C87507">
            <w:pPr>
              <w:pStyle w:val="Tablesmalltext"/>
              <w:rPr>
                <w:vertAlign w:val="superscript"/>
              </w:rPr>
            </w:pPr>
            <w:r>
              <w:rPr>
                <w:i/>
                <w:iCs/>
              </w:rPr>
              <w:t>Eriocaulon carsonii</w:t>
            </w:r>
          </w:p>
          <w:p w:rsidR="00BB136E" w:rsidRDefault="00BB136E" w:rsidP="00C87507">
            <w:pPr>
              <w:pStyle w:val="Tablesmalltext"/>
              <w:rPr>
                <w:i/>
                <w:iCs/>
              </w:rPr>
            </w:pPr>
            <w:r>
              <w:t>Salt Pipewort</w:t>
            </w:r>
          </w:p>
        </w:tc>
        <w:tc>
          <w:tcPr>
            <w:tcW w:w="1143" w:type="pct"/>
            <w:vAlign w:val="center"/>
          </w:tcPr>
          <w:p w:rsidR="00BB136E" w:rsidRPr="00863E1E" w:rsidRDefault="00BB136E" w:rsidP="00C87507">
            <w:pPr>
              <w:pStyle w:val="Tablesmalltext"/>
              <w:jc w:val="center"/>
            </w:pPr>
            <w:r>
              <w:t>Endangered nationally and in QLD, NSW, and SA</w:t>
            </w:r>
          </w:p>
        </w:tc>
        <w:tc>
          <w:tcPr>
            <w:tcW w:w="2143" w:type="pct"/>
          </w:tcPr>
          <w:p w:rsidR="00BB136E" w:rsidRPr="00863E1E" w:rsidRDefault="00BB136E" w:rsidP="00C87507">
            <w:pPr>
              <w:pStyle w:val="Tablesmalltext"/>
            </w:pPr>
            <w:r>
              <w:t>Caring, Cockatoo Creek, Edgbaston / Myross, Lucky Last, Elizabeth Springs, Gosse, Hermit Hill, Gammyleg, Moses, North West, Old Finniss, Peery Lake, Petermorra, Public House, Reedy, Scotts Creek, Sulphuric, Twelve, West Finniss, Yowah Creek</w:t>
            </w:r>
          </w:p>
        </w:tc>
      </w:tr>
      <w:tr w:rsidR="00BB136E" w:rsidRPr="00863E1E" w:rsidTr="004A4EC1">
        <w:trPr>
          <w:cantSplit/>
        </w:trPr>
        <w:tc>
          <w:tcPr>
            <w:tcW w:w="1714" w:type="pct"/>
          </w:tcPr>
          <w:p w:rsidR="00BB136E" w:rsidRDefault="00BB136E" w:rsidP="00C87507">
            <w:pPr>
              <w:pStyle w:val="Tablesmalltext"/>
              <w:rPr>
                <w:i/>
                <w:iCs/>
              </w:rPr>
            </w:pPr>
            <w:r>
              <w:rPr>
                <w:i/>
                <w:iCs/>
              </w:rPr>
              <w:t>Eryngium fontanum</w:t>
            </w:r>
          </w:p>
        </w:tc>
        <w:tc>
          <w:tcPr>
            <w:tcW w:w="1143" w:type="pct"/>
            <w:vAlign w:val="center"/>
          </w:tcPr>
          <w:p w:rsidR="00BB136E" w:rsidRPr="00863E1E" w:rsidRDefault="00BB136E" w:rsidP="00C87507">
            <w:pPr>
              <w:pStyle w:val="Tablesmalltext"/>
              <w:jc w:val="center"/>
            </w:pPr>
            <w:r>
              <w:t>Endangered nationally and in QLD</w:t>
            </w:r>
          </w:p>
        </w:tc>
        <w:tc>
          <w:tcPr>
            <w:tcW w:w="2143" w:type="pct"/>
          </w:tcPr>
          <w:p w:rsidR="00BB136E" w:rsidRPr="00863E1E" w:rsidRDefault="00BB136E" w:rsidP="00C87507">
            <w:pPr>
              <w:pStyle w:val="Tablesmalltext"/>
            </w:pPr>
            <w:r>
              <w:t>Edgbaston / Myross, Moses</w:t>
            </w:r>
          </w:p>
        </w:tc>
      </w:tr>
      <w:tr w:rsidR="00BB136E" w:rsidRPr="00863E1E" w:rsidTr="004A4EC1">
        <w:trPr>
          <w:cantSplit/>
        </w:trPr>
        <w:tc>
          <w:tcPr>
            <w:tcW w:w="1714" w:type="pct"/>
          </w:tcPr>
          <w:p w:rsidR="00BB136E" w:rsidRDefault="00BB136E" w:rsidP="00C87507">
            <w:pPr>
              <w:pStyle w:val="Tablesmalltext"/>
              <w:rPr>
                <w:i/>
                <w:iCs/>
              </w:rPr>
            </w:pPr>
            <w:r>
              <w:rPr>
                <w:i/>
                <w:iCs/>
              </w:rPr>
              <w:t>Myriophyllum artesium</w:t>
            </w:r>
          </w:p>
        </w:tc>
        <w:tc>
          <w:tcPr>
            <w:tcW w:w="1143" w:type="pct"/>
            <w:vAlign w:val="center"/>
          </w:tcPr>
          <w:p w:rsidR="00BB136E" w:rsidRPr="00863E1E" w:rsidRDefault="00BB136E" w:rsidP="00C87507">
            <w:pPr>
              <w:pStyle w:val="Tablesmalltext"/>
              <w:jc w:val="center"/>
            </w:pPr>
            <w:r>
              <w:t>Endangered in QLD</w:t>
            </w:r>
          </w:p>
        </w:tc>
        <w:tc>
          <w:tcPr>
            <w:tcW w:w="2143" w:type="pct"/>
          </w:tcPr>
          <w:p w:rsidR="00BB136E" w:rsidRPr="00863E1E" w:rsidRDefault="00BB136E" w:rsidP="00C87507">
            <w:pPr>
              <w:pStyle w:val="Tablesmalltext"/>
            </w:pPr>
            <w:r>
              <w:t>Caring, Carpet, Cockatoo Creek, Coreena, Edgbaston / Myross, Elizabeth Springs, Granite, Merimo, Moses, Paroo River, Smokey, Tungum, Wooregym, Yowah Creek</w:t>
            </w:r>
          </w:p>
        </w:tc>
      </w:tr>
      <w:tr w:rsidR="00BB136E" w:rsidRPr="00863E1E" w:rsidTr="004A4EC1">
        <w:trPr>
          <w:cantSplit/>
        </w:trPr>
        <w:tc>
          <w:tcPr>
            <w:tcW w:w="1714" w:type="pct"/>
          </w:tcPr>
          <w:p w:rsidR="00BB136E" w:rsidRDefault="00BB136E" w:rsidP="00C87507">
            <w:pPr>
              <w:pStyle w:val="Tablesmalltext"/>
              <w:rPr>
                <w:i/>
                <w:iCs/>
              </w:rPr>
            </w:pPr>
            <w:r>
              <w:rPr>
                <w:i/>
                <w:iCs/>
              </w:rPr>
              <w:t>Myriophyllum implicatum</w:t>
            </w:r>
          </w:p>
        </w:tc>
        <w:tc>
          <w:tcPr>
            <w:tcW w:w="1143" w:type="pct"/>
            <w:vAlign w:val="center"/>
          </w:tcPr>
          <w:p w:rsidR="00BB136E" w:rsidRPr="00863E1E" w:rsidRDefault="00BB136E" w:rsidP="00C87507">
            <w:pPr>
              <w:pStyle w:val="Tablesmalltext"/>
              <w:jc w:val="center"/>
            </w:pPr>
            <w:r>
              <w:t>Rare in QLD and presumed extinct in NSW</w:t>
            </w:r>
          </w:p>
        </w:tc>
        <w:tc>
          <w:tcPr>
            <w:tcW w:w="2143" w:type="pct"/>
          </w:tcPr>
          <w:p w:rsidR="00BB136E" w:rsidRPr="00863E1E" w:rsidRDefault="00BB136E" w:rsidP="00C87507">
            <w:pPr>
              <w:pStyle w:val="Tablesmalltext"/>
            </w:pPr>
            <w:r>
              <w:t>Kennedy’s / McKenzies</w:t>
            </w:r>
          </w:p>
        </w:tc>
      </w:tr>
      <w:tr w:rsidR="00BB136E" w:rsidRPr="00863E1E" w:rsidTr="004A4EC1">
        <w:trPr>
          <w:cantSplit/>
        </w:trPr>
        <w:tc>
          <w:tcPr>
            <w:tcW w:w="1714" w:type="pct"/>
          </w:tcPr>
          <w:p w:rsidR="00BB136E" w:rsidRDefault="00BB136E" w:rsidP="00C87507">
            <w:pPr>
              <w:pStyle w:val="Tablesmalltext"/>
              <w:rPr>
                <w:i/>
                <w:iCs/>
              </w:rPr>
            </w:pPr>
            <w:r>
              <w:rPr>
                <w:i/>
                <w:iCs/>
              </w:rPr>
              <w:t>Sesbania erubescens</w:t>
            </w:r>
          </w:p>
        </w:tc>
        <w:tc>
          <w:tcPr>
            <w:tcW w:w="1143" w:type="pct"/>
            <w:vAlign w:val="center"/>
          </w:tcPr>
          <w:p w:rsidR="00BB136E" w:rsidRPr="00863E1E" w:rsidRDefault="00BB136E" w:rsidP="00C87507">
            <w:pPr>
              <w:pStyle w:val="Tablesmalltext"/>
              <w:jc w:val="center"/>
            </w:pPr>
            <w:r>
              <w:t>Rare in QLD</w:t>
            </w:r>
          </w:p>
        </w:tc>
        <w:tc>
          <w:tcPr>
            <w:tcW w:w="2143" w:type="pct"/>
          </w:tcPr>
          <w:p w:rsidR="00BB136E" w:rsidRPr="00863E1E" w:rsidRDefault="00BB136E" w:rsidP="00C87507">
            <w:pPr>
              <w:pStyle w:val="Tablesmalltext"/>
            </w:pPr>
            <w:r>
              <w:t>Black</w:t>
            </w:r>
          </w:p>
        </w:tc>
      </w:tr>
      <w:tr w:rsidR="00BB136E" w:rsidRPr="00863E1E" w:rsidTr="004A4EC1">
        <w:trPr>
          <w:cantSplit/>
        </w:trPr>
        <w:tc>
          <w:tcPr>
            <w:tcW w:w="1714" w:type="pct"/>
          </w:tcPr>
          <w:p w:rsidR="00BB136E" w:rsidRDefault="00BB136E" w:rsidP="00C87507">
            <w:pPr>
              <w:pStyle w:val="Tablesmalltext"/>
              <w:rPr>
                <w:i/>
                <w:iCs/>
              </w:rPr>
            </w:pPr>
            <w:r>
              <w:rPr>
                <w:i/>
                <w:iCs/>
              </w:rPr>
              <w:t>Sporobolus pamelae</w:t>
            </w:r>
          </w:p>
        </w:tc>
        <w:tc>
          <w:tcPr>
            <w:tcW w:w="1143" w:type="pct"/>
            <w:vAlign w:val="center"/>
          </w:tcPr>
          <w:p w:rsidR="00BB136E" w:rsidRPr="00863E1E" w:rsidRDefault="00BB136E" w:rsidP="00C87507">
            <w:pPr>
              <w:pStyle w:val="Tablesmalltext"/>
              <w:jc w:val="center"/>
            </w:pPr>
            <w:r>
              <w:t>Endangered in QLD</w:t>
            </w:r>
          </w:p>
        </w:tc>
        <w:tc>
          <w:tcPr>
            <w:tcW w:w="2143" w:type="pct"/>
          </w:tcPr>
          <w:p w:rsidR="00BB136E" w:rsidRPr="00863E1E" w:rsidRDefault="00BB136E" w:rsidP="00C87507">
            <w:pPr>
              <w:pStyle w:val="Tablesmalltext"/>
            </w:pPr>
            <w:r>
              <w:t>Coreena, Dead Sea Scrolls, Edgbaston / Myross, Kennedy’s / McKenzies, Moses, Yowah Creek</w:t>
            </w:r>
          </w:p>
        </w:tc>
      </w:tr>
      <w:tr w:rsidR="00BB136E" w:rsidRPr="00863E1E" w:rsidTr="004A4EC1">
        <w:trPr>
          <w:cantSplit/>
        </w:trPr>
        <w:tc>
          <w:tcPr>
            <w:tcW w:w="1714" w:type="pct"/>
          </w:tcPr>
          <w:p w:rsidR="00BB136E" w:rsidRDefault="00BB136E" w:rsidP="00C87507">
            <w:pPr>
              <w:pStyle w:val="Tablesmalltext"/>
              <w:rPr>
                <w:i/>
                <w:iCs/>
              </w:rPr>
            </w:pPr>
            <w:r>
              <w:rPr>
                <w:i/>
                <w:iCs/>
              </w:rPr>
              <w:t>Thelypteris confluens</w:t>
            </w:r>
          </w:p>
        </w:tc>
        <w:tc>
          <w:tcPr>
            <w:tcW w:w="1143" w:type="pct"/>
            <w:vAlign w:val="center"/>
          </w:tcPr>
          <w:p w:rsidR="00BB136E" w:rsidRPr="00863E1E" w:rsidRDefault="00BB136E" w:rsidP="00C87507">
            <w:pPr>
              <w:pStyle w:val="Tablesmalltext"/>
              <w:jc w:val="center"/>
            </w:pPr>
            <w:r>
              <w:t>Vulnerable in QLD</w:t>
            </w:r>
          </w:p>
        </w:tc>
        <w:tc>
          <w:tcPr>
            <w:tcW w:w="2143" w:type="pct"/>
          </w:tcPr>
          <w:p w:rsidR="00BB136E" w:rsidRPr="00863E1E" w:rsidRDefault="00BB136E" w:rsidP="00C87507">
            <w:pPr>
              <w:pStyle w:val="Tablesmalltext"/>
            </w:pPr>
            <w:r>
              <w:t>Dawson River (spring 5)</w:t>
            </w:r>
          </w:p>
        </w:tc>
      </w:tr>
    </w:tbl>
    <w:p w:rsidR="00981A20" w:rsidRDefault="00981A20" w:rsidP="00981A20">
      <w:pPr>
        <w:pStyle w:val="Heading3"/>
      </w:pPr>
      <w:r>
        <w:t>Greenhouse gas abatement benefits</w:t>
      </w:r>
    </w:p>
    <w:p w:rsidR="00981A20" w:rsidRPr="00981A20" w:rsidRDefault="00E5596A" w:rsidP="00981A20">
      <w:pPr>
        <w:pStyle w:val="Para0"/>
        <w:rPr>
          <w:b/>
          <w:i/>
        </w:rPr>
      </w:pPr>
      <w:r>
        <w:rPr>
          <w:b/>
          <w:i/>
        </w:rPr>
        <w:t>Method</w:t>
      </w:r>
    </w:p>
    <w:p w:rsidR="002C3F5C" w:rsidRDefault="003D5815" w:rsidP="00981A20">
      <w:pPr>
        <w:pStyle w:val="Para0"/>
      </w:pPr>
      <w:r>
        <w:t>Water flowing f</w:t>
      </w:r>
      <w:r w:rsidR="00981A20">
        <w:t>r</w:t>
      </w:r>
      <w:r>
        <w:t xml:space="preserve">om artesian </w:t>
      </w:r>
      <w:r w:rsidR="00276288">
        <w:t>bores</w:t>
      </w:r>
      <w:r>
        <w:t xml:space="preserve"> has</w:t>
      </w:r>
      <w:r w:rsidR="00981A20">
        <w:t xml:space="preserve"> been demonstrated to contain dissolved </w:t>
      </w:r>
      <w:r>
        <w:t>gas concentrates (methane and carbon dioxide)</w:t>
      </w:r>
      <w:r w:rsidR="00981A20">
        <w:t xml:space="preserve">. </w:t>
      </w:r>
      <w:r w:rsidR="002C3F5C">
        <w:t xml:space="preserve">It can therefore be assumed that any water saved under the GABSI program </w:t>
      </w:r>
      <w:r w:rsidR="00B36ABC">
        <w:t xml:space="preserve">(ML/year) </w:t>
      </w:r>
      <w:r w:rsidR="002C3F5C">
        <w:t>and returned to the GAB will</w:t>
      </w:r>
      <w:r w:rsidR="00353C3B">
        <w:t xml:space="preserve"> result in greenhouse gas abatement</w:t>
      </w:r>
      <w:r w:rsidR="002C3F5C">
        <w:t>.</w:t>
      </w:r>
    </w:p>
    <w:p w:rsidR="000557FA" w:rsidRDefault="00482DFC" w:rsidP="00981A20">
      <w:pPr>
        <w:pStyle w:val="Para0"/>
      </w:pPr>
      <w:r>
        <w:t xml:space="preserve">The economic value of greenhouse gas abatement </w:t>
      </w:r>
      <w:r w:rsidR="00353C3B">
        <w:t xml:space="preserve">achieved under GABSI should reflect </w:t>
      </w:r>
      <w:r>
        <w:t xml:space="preserve">the avoided socio-economic costs associate with climate change. </w:t>
      </w:r>
    </w:p>
    <w:p w:rsidR="000557FA" w:rsidRDefault="000557FA" w:rsidP="00981A20">
      <w:pPr>
        <w:pStyle w:val="Para0"/>
      </w:pPr>
      <w:r>
        <w:t>Key assumptions required to estimate these value include:</w:t>
      </w:r>
    </w:p>
    <w:p w:rsidR="000557FA" w:rsidRDefault="000557FA" w:rsidP="000557FA">
      <w:pPr>
        <w:pStyle w:val="Para0bullet"/>
      </w:pPr>
      <w:r w:rsidRPr="000557FA">
        <w:rPr>
          <w:b/>
        </w:rPr>
        <w:t>Carbon dioxide equivalent (CO2e) per ML of water discharged</w:t>
      </w:r>
      <w:r>
        <w:t>. A previous study (Pallasser et al, 2000</w:t>
      </w:r>
      <w:r w:rsidR="00D016A6">
        <w:t xml:space="preserve"> </w:t>
      </w:r>
      <w:r>
        <w:t xml:space="preserve"> which explored emissions from 129 bores in the NSW GAB estimated that approximately 0.54 tonnes of CO</w:t>
      </w:r>
      <w:r w:rsidRPr="000557FA">
        <w:rPr>
          <w:vertAlign w:val="subscript"/>
        </w:rPr>
        <w:t>2</w:t>
      </w:r>
      <w:r>
        <w:t xml:space="preserve"> emissions are emitted per ML discharged. Given that this is the most comprehensive study </w:t>
      </w:r>
      <w:r w:rsidR="00E54A9B">
        <w:t>available</w:t>
      </w:r>
      <w:r>
        <w:t xml:space="preserve"> on greenhouse gas emissions from GAB water, this value can be extrapolated to other jurisdictions</w:t>
      </w:r>
    </w:p>
    <w:p w:rsidR="0021386F" w:rsidRDefault="0021386F" w:rsidP="0021386F">
      <w:pPr>
        <w:pStyle w:val="Para0bullet"/>
      </w:pPr>
      <w:r w:rsidRPr="000557FA">
        <w:rPr>
          <w:b/>
        </w:rPr>
        <w:t>Average carbon price</w:t>
      </w:r>
      <w:r>
        <w:t xml:space="preserve">. The price for carbon can be used as a proxy for this cost where a carbon market exists. However, given the lack of certainty regarding an appropriate carbon price in the Australian context, an indicative value of $23/CO2e has been applied in the study. This is equivalent to the 2012/13 carbon tax price and is considered to be a conservative estimate, given that the social cost of carbon is expected to increase over time. </w:t>
      </w:r>
    </w:p>
    <w:p w:rsidR="002C3F5C" w:rsidRPr="00863E1E" w:rsidRDefault="002C3F5C" w:rsidP="002C3F5C">
      <w:pPr>
        <w:pStyle w:val="subhead"/>
      </w:pPr>
      <w:r w:rsidRPr="00863E1E">
        <w:t>Metrics</w:t>
      </w:r>
    </w:p>
    <w:p w:rsidR="00B36ABC" w:rsidRDefault="002C3F5C" w:rsidP="00B36ABC">
      <w:pPr>
        <w:pStyle w:val="Para0"/>
      </w:pPr>
      <w:r w:rsidRPr="00863E1E">
        <w:t>The methodology and associated metrics applied to value the consumptive use of reallocated water are presented in the following equation:</w:t>
      </w:r>
      <w:bookmarkStart w:id="53" w:name="_Ref373169265"/>
    </w:p>
    <w:p w:rsidR="00B36ABC" w:rsidRPr="003328DD" w:rsidRDefault="00B36ABC" w:rsidP="00B36ABC">
      <w:pPr>
        <w:pStyle w:val="Para0"/>
        <w:pBdr>
          <w:top w:val="single" w:sz="4" w:space="0" w:color="5185C0" w:themeColor="accent6"/>
          <w:left w:val="single" w:sz="4" w:space="2" w:color="5185C0" w:themeColor="accent6"/>
          <w:bottom w:val="single" w:sz="4" w:space="1" w:color="5185C0" w:themeColor="accent6"/>
          <w:right w:val="single" w:sz="4" w:space="4" w:color="5185C0" w:themeColor="accent6"/>
        </w:pBdr>
        <w:rPr>
          <w:b/>
          <w:color w:val="366295" w:themeColor="accent6" w:themeShade="BF"/>
        </w:rPr>
      </w:pPr>
      <m:oMathPara>
        <m:oMath>
          <m:r>
            <m:rPr>
              <m:sty m:val="bi"/>
            </m:rPr>
            <w:rPr>
              <w:rFonts w:ascii="Cambria Math" w:hAnsi="Cambria Math"/>
              <w:color w:val="366295" w:themeColor="accent6" w:themeShade="BF"/>
              <w:kern w:val="24"/>
            </w:rPr>
            <m:t>Greenhouse gas aba</m:t>
          </m:r>
          <m:r>
            <m:rPr>
              <m:sty m:val="bi"/>
            </m:rPr>
            <w:rPr>
              <w:rFonts w:ascii="Cambria Math" w:hAnsi="Cambria Math"/>
              <w:color w:val="366295" w:themeColor="accent6" w:themeShade="BF"/>
              <w:kern w:val="24"/>
            </w:rPr>
            <m:t>tement benefit</m:t>
          </m:r>
          <m:r>
            <m:rPr>
              <m:sty m:val="bi"/>
            </m:rPr>
            <w:rPr>
              <w:rFonts w:ascii="Cambria Math" w:eastAsia="Cambria Math" w:hAnsi="Cambria Math" w:cs="Cambria Math"/>
              <w:color w:val="366295" w:themeColor="accent6" w:themeShade="BF"/>
              <w:kern w:val="24"/>
            </w:rPr>
            <m:t>=PV(</m:t>
          </m:r>
          <m:nary>
            <m:naryPr>
              <m:chr m:val="∑"/>
              <m:grow m:val="on"/>
              <m:ctrlPr>
                <w:rPr>
                  <w:rFonts w:ascii="Cambria Math" w:hAnsi="Cambria Math"/>
                  <w:b/>
                  <w:i/>
                  <w:iCs/>
                  <w:color w:val="366295" w:themeColor="accent6" w:themeShade="BF"/>
                  <w:kern w:val="24"/>
                </w:rPr>
              </m:ctrlPr>
            </m:naryPr>
            <m:sub>
              <m:r>
                <m:rPr>
                  <m:sty m:val="bi"/>
                </m:rPr>
                <w:rPr>
                  <w:rFonts w:ascii="Cambria Math" w:eastAsia="Cambria Math" w:hAnsi="Cambria Math" w:cs="Cambria Math"/>
                  <w:color w:val="366295" w:themeColor="accent6" w:themeShade="BF"/>
                  <w:kern w:val="24"/>
                </w:rPr>
                <m:t>y=1999</m:t>
              </m:r>
            </m:sub>
            <m:sup>
              <m:r>
                <m:rPr>
                  <m:sty m:val="bi"/>
                </m:rPr>
                <w:rPr>
                  <w:rFonts w:ascii="Cambria Math" w:eastAsia="Cambria Math" w:hAnsi="Cambria Math" w:cs="Cambria Math"/>
                  <w:color w:val="366295" w:themeColor="accent6" w:themeShade="BF"/>
                  <w:kern w:val="24"/>
                </w:rPr>
                <m:t>y=2043</m:t>
              </m:r>
            </m:sup>
            <m:e>
              <m:r>
                <m:rPr>
                  <m:sty m:val="bi"/>
                </m:rPr>
                <w:rPr>
                  <w:rFonts w:ascii="Cambria Math" w:hAnsi="Cambria Math"/>
                  <w:color w:val="366295" w:themeColor="accent6" w:themeShade="BF"/>
                  <w:kern w:val="24"/>
                </w:rPr>
                <m:t>(</m:t>
              </m:r>
              <m:r>
                <m:rPr>
                  <m:sty m:val="bi"/>
                </m:rPr>
                <w:rPr>
                  <w:rFonts w:ascii="Cambria Math" w:eastAsia="Cambria Math" w:hAnsi="Cambria Math" w:cs="Cambria Math"/>
                  <w:color w:val="366295" w:themeColor="accent6" w:themeShade="BF"/>
                  <w:kern w:val="24"/>
                </w:rPr>
                <m:t>ML/year returned to GAB (</m:t>
              </m:r>
              <m:f>
                <m:fPr>
                  <m:ctrlPr>
                    <w:rPr>
                      <w:rFonts w:ascii="Cambria Math" w:eastAsia="Cambria Math" w:hAnsi="Cambria Math" w:cs="Cambria Math"/>
                      <w:b/>
                      <w:i/>
                      <w:color w:val="366295" w:themeColor="accent6" w:themeShade="BF"/>
                      <w:kern w:val="24"/>
                    </w:rPr>
                  </m:ctrlPr>
                </m:fPr>
                <m:num>
                  <m:r>
                    <m:rPr>
                      <m:sty m:val="bi"/>
                    </m:rPr>
                    <w:rPr>
                      <w:rFonts w:ascii="Cambria Math" w:eastAsia="Cambria Math" w:hAnsi="Cambria Math" w:cs="Cambria Math"/>
                      <w:color w:val="366295" w:themeColor="accent6" w:themeShade="BF"/>
                      <w:kern w:val="24"/>
                    </w:rPr>
                    <m:t>ML</m:t>
                  </m:r>
                </m:num>
                <m:den>
                  <m:r>
                    <m:rPr>
                      <m:sty m:val="bi"/>
                    </m:rPr>
                    <w:rPr>
                      <w:rFonts w:ascii="Cambria Math" w:eastAsia="Cambria Math" w:hAnsi="Cambria Math" w:cs="Cambria Math"/>
                      <w:color w:val="366295" w:themeColor="accent6" w:themeShade="BF"/>
                      <w:kern w:val="24"/>
                    </w:rPr>
                    <m:t>year</m:t>
                  </m:r>
                </m:den>
              </m:f>
              <m:r>
                <m:rPr>
                  <m:sty m:val="bi"/>
                </m:rPr>
                <w:rPr>
                  <w:rFonts w:ascii="Cambria Math" w:eastAsia="Cambria Math" w:hAnsi="Cambria Math" w:cs="Cambria Math"/>
                  <w:color w:val="366295" w:themeColor="accent6" w:themeShade="BF"/>
                  <w:kern w:val="24"/>
                </w:rPr>
                <m:t>)×CO</m:t>
              </m:r>
              <m:r>
                <m:rPr>
                  <m:sty m:val="bi"/>
                </m:rPr>
                <w:rPr>
                  <w:rFonts w:ascii="Cambria Math" w:eastAsia="Cambria Math" w:hAnsi="Cambria Math" w:cs="Cambria Math"/>
                  <w:color w:val="366295" w:themeColor="accent6" w:themeShade="BF"/>
                  <w:kern w:val="24"/>
                </w:rPr>
                <m:t>2(e)/ML ×$/CO</m:t>
              </m:r>
              <m:r>
                <m:rPr>
                  <m:sty m:val="bi"/>
                </m:rPr>
                <w:rPr>
                  <w:rFonts w:ascii="Cambria Math" w:eastAsia="Cambria Math" w:hAnsi="Cambria Math" w:cs="Cambria Math"/>
                  <w:color w:val="366295" w:themeColor="accent6" w:themeShade="BF"/>
                  <w:kern w:val="24"/>
                </w:rPr>
                <m:t>2(e)</m:t>
              </m:r>
            </m:e>
          </m:nary>
        </m:oMath>
      </m:oMathPara>
    </w:p>
    <w:p w:rsidR="00B36ABC" w:rsidRPr="00E64451" w:rsidRDefault="00B36ABC" w:rsidP="00B36ABC">
      <w:pPr>
        <w:pStyle w:val="Para0"/>
        <w:rPr>
          <w:i/>
        </w:rPr>
      </w:pPr>
      <w:r w:rsidRPr="00E64451">
        <w:rPr>
          <w:i/>
        </w:rPr>
        <w:t xml:space="preserve">Where </w:t>
      </w:r>
    </w:p>
    <w:p w:rsidR="00B36ABC" w:rsidRPr="00E64451" w:rsidRDefault="00B36ABC" w:rsidP="00B36ABC">
      <w:pPr>
        <w:pStyle w:val="Para0"/>
      </w:pPr>
      <m:oMathPara>
        <m:oMathParaPr>
          <m:jc m:val="left"/>
        </m:oMathParaPr>
        <m:oMath>
          <m:r>
            <m:rPr>
              <m:sty m:val="bi"/>
            </m:rPr>
            <w:rPr>
              <w:rFonts w:ascii="Cambria Math" w:hAnsi="Cambria Math"/>
              <w:color w:val="366295" w:themeColor="accent6" w:themeShade="BF"/>
              <w:kern w:val="24"/>
            </w:rPr>
            <m:t>ML/year returned to the GAB</m:t>
          </m:r>
          <m:r>
            <m:rPr>
              <m:sty m:val="bi"/>
            </m:rPr>
            <w:rPr>
              <w:rFonts w:ascii="Cambria Math" w:eastAsia="Cambria Math" w:hAnsi="Cambria Math" w:cs="Cambria Math"/>
              <w:color w:val="366295" w:themeColor="accent6" w:themeShade="BF"/>
              <w:kern w:val="24"/>
            </w:rPr>
            <m:t>=ML saved×% of water returned to the basin</m:t>
          </m:r>
        </m:oMath>
      </m:oMathPara>
    </w:p>
    <w:p w:rsidR="0021386F" w:rsidRPr="00D74E65" w:rsidRDefault="0021386F" w:rsidP="00B36ABC">
      <w:pPr>
        <w:pStyle w:val="Para0"/>
        <w:rPr>
          <w:rFonts w:ascii="Arial Narrow" w:hAnsi="Arial Narrow"/>
          <w:b/>
        </w:rPr>
      </w:pPr>
      <w:r w:rsidRPr="00D74E65">
        <w:rPr>
          <w:rFonts w:ascii="Arial Narrow" w:hAnsi="Arial Narrow"/>
          <w:b/>
        </w:rPr>
        <w:t xml:space="preserve">Table </w:t>
      </w:r>
      <w:r w:rsidR="006768F1">
        <w:rPr>
          <w:rFonts w:ascii="Arial Narrow" w:hAnsi="Arial Narrow"/>
          <w:b/>
        </w:rPr>
        <w:fldChar w:fldCharType="begin"/>
      </w:r>
      <w:r w:rsidR="00F843FC">
        <w:rPr>
          <w:rFonts w:ascii="Arial Narrow" w:hAnsi="Arial Narrow"/>
          <w:b/>
        </w:rPr>
        <w:instrText xml:space="preserve"> SEQ Table \* ARABIC </w:instrText>
      </w:r>
      <w:r w:rsidR="006768F1">
        <w:rPr>
          <w:rFonts w:ascii="Arial Narrow" w:hAnsi="Arial Narrow"/>
          <w:b/>
        </w:rPr>
        <w:fldChar w:fldCharType="separate"/>
      </w:r>
      <w:r w:rsidR="00516D07">
        <w:rPr>
          <w:rFonts w:ascii="Arial Narrow" w:hAnsi="Arial Narrow"/>
          <w:b/>
          <w:noProof/>
        </w:rPr>
        <w:t>20</w:t>
      </w:r>
      <w:r w:rsidR="006768F1">
        <w:rPr>
          <w:rFonts w:ascii="Arial Narrow" w:hAnsi="Arial Narrow"/>
          <w:b/>
        </w:rPr>
        <w:fldChar w:fldCharType="end"/>
      </w:r>
      <w:r w:rsidRPr="00D74E65">
        <w:rPr>
          <w:rFonts w:ascii="Arial Narrow" w:hAnsi="Arial Narrow"/>
          <w:b/>
        </w:rPr>
        <w:t xml:space="preserve">: </w:t>
      </w:r>
      <w:r>
        <w:rPr>
          <w:rFonts w:ascii="Arial Narrow" w:hAnsi="Arial Narrow"/>
          <w:b/>
        </w:rPr>
        <w:t>Metrics for greenhouse gas abatement value</w:t>
      </w:r>
    </w:p>
    <w:tbl>
      <w:tblPr>
        <w:tblW w:w="5087"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1559"/>
        <w:gridCol w:w="1137"/>
        <w:gridCol w:w="1137"/>
        <w:gridCol w:w="1137"/>
        <w:gridCol w:w="1139"/>
        <w:gridCol w:w="4152"/>
      </w:tblGrid>
      <w:tr w:rsidR="00F669FB" w:rsidRPr="00863E1E" w:rsidTr="002E4907">
        <w:trPr>
          <w:cantSplit/>
          <w:tblHeader/>
        </w:trPr>
        <w:tc>
          <w:tcPr>
            <w:tcW w:w="760" w:type="pct"/>
            <w:shd w:val="clear" w:color="auto" w:fill="5185C0"/>
          </w:tcPr>
          <w:p w:rsidR="0021386F" w:rsidRPr="00863E1E" w:rsidRDefault="0021386F" w:rsidP="00503E0C">
            <w:pPr>
              <w:pStyle w:val="Tablesmallheading"/>
            </w:pPr>
            <w:r w:rsidRPr="00863E1E">
              <w:t xml:space="preserve">Metric </w:t>
            </w:r>
            <w:r w:rsidR="00AA620A">
              <w:t>d</w:t>
            </w:r>
            <w:r w:rsidRPr="00863E1E">
              <w:t xml:space="preserve">escription </w:t>
            </w:r>
          </w:p>
        </w:tc>
        <w:tc>
          <w:tcPr>
            <w:tcW w:w="554" w:type="pct"/>
            <w:shd w:val="clear" w:color="auto" w:fill="5185C0"/>
          </w:tcPr>
          <w:p w:rsidR="0021386F" w:rsidRPr="00863E1E" w:rsidRDefault="0021386F" w:rsidP="00503E0C">
            <w:pPr>
              <w:pStyle w:val="Tablesmallheading"/>
            </w:pPr>
            <w:r w:rsidRPr="00863E1E">
              <w:t>GABSI Phase 1</w:t>
            </w:r>
          </w:p>
        </w:tc>
        <w:tc>
          <w:tcPr>
            <w:tcW w:w="554" w:type="pct"/>
            <w:shd w:val="clear" w:color="auto" w:fill="5185C0"/>
          </w:tcPr>
          <w:p w:rsidR="0021386F" w:rsidRPr="00863E1E" w:rsidRDefault="0021386F" w:rsidP="00503E0C">
            <w:pPr>
              <w:pStyle w:val="Tablesmallheading"/>
            </w:pPr>
            <w:r w:rsidRPr="00863E1E">
              <w:t>GABSI Phase 2</w:t>
            </w:r>
          </w:p>
        </w:tc>
        <w:tc>
          <w:tcPr>
            <w:tcW w:w="554" w:type="pct"/>
            <w:shd w:val="clear" w:color="auto" w:fill="5185C0"/>
          </w:tcPr>
          <w:p w:rsidR="0021386F" w:rsidRPr="00863E1E" w:rsidRDefault="0021386F" w:rsidP="00503E0C">
            <w:pPr>
              <w:pStyle w:val="Tablesmallheading"/>
            </w:pPr>
            <w:r w:rsidRPr="00863E1E">
              <w:t>GABSI Phase 3 (to June 2013)</w:t>
            </w:r>
          </w:p>
        </w:tc>
        <w:tc>
          <w:tcPr>
            <w:tcW w:w="555" w:type="pct"/>
            <w:shd w:val="clear" w:color="auto" w:fill="5185C0"/>
          </w:tcPr>
          <w:p w:rsidR="0021386F" w:rsidRPr="00863E1E" w:rsidRDefault="0021386F" w:rsidP="00503E0C">
            <w:pPr>
              <w:pStyle w:val="Tablesmallheading"/>
            </w:pPr>
            <w:r w:rsidRPr="00863E1E">
              <w:t>GABSI Phase 3 (to June 2014)</w:t>
            </w:r>
          </w:p>
        </w:tc>
        <w:tc>
          <w:tcPr>
            <w:tcW w:w="2023" w:type="pct"/>
            <w:shd w:val="clear" w:color="auto" w:fill="5185C0"/>
          </w:tcPr>
          <w:p w:rsidR="0021386F" w:rsidRPr="00863E1E" w:rsidRDefault="0021386F" w:rsidP="00503E0C">
            <w:pPr>
              <w:pStyle w:val="Tablesmallheading"/>
            </w:pPr>
            <w:r w:rsidRPr="00863E1E">
              <w:t xml:space="preserve">Comment </w:t>
            </w:r>
          </w:p>
        </w:tc>
      </w:tr>
      <w:tr w:rsidR="0021386F" w:rsidRPr="00863E1E" w:rsidTr="004A4EC1">
        <w:tc>
          <w:tcPr>
            <w:tcW w:w="760" w:type="pct"/>
          </w:tcPr>
          <w:p w:rsidR="0021386F" w:rsidRPr="00863E1E" w:rsidRDefault="0021386F" w:rsidP="00503E0C">
            <w:pPr>
              <w:pStyle w:val="Tablesmalltext"/>
            </w:pPr>
            <w:r>
              <w:t>ML Saved / yr</w:t>
            </w:r>
          </w:p>
        </w:tc>
        <w:tc>
          <w:tcPr>
            <w:tcW w:w="554" w:type="pct"/>
          </w:tcPr>
          <w:p w:rsidR="0021386F" w:rsidRPr="00FD05A9" w:rsidRDefault="00AA620A" w:rsidP="00503E0C">
            <w:pPr>
              <w:pStyle w:val="Tablesmalltext"/>
              <w:jc w:val="center"/>
            </w:pPr>
            <w:r>
              <w:t>18,353</w:t>
            </w:r>
          </w:p>
        </w:tc>
        <w:tc>
          <w:tcPr>
            <w:tcW w:w="554" w:type="pct"/>
          </w:tcPr>
          <w:p w:rsidR="0021386F" w:rsidRPr="00FD05A9" w:rsidRDefault="00AA620A" w:rsidP="00503E0C">
            <w:pPr>
              <w:pStyle w:val="Tablesmalltext"/>
              <w:jc w:val="center"/>
            </w:pPr>
            <w:r>
              <w:t>14,997</w:t>
            </w:r>
          </w:p>
        </w:tc>
        <w:tc>
          <w:tcPr>
            <w:tcW w:w="554" w:type="pct"/>
          </w:tcPr>
          <w:p w:rsidR="0021386F" w:rsidRPr="00FD05A9" w:rsidRDefault="00AA620A" w:rsidP="00503E0C">
            <w:pPr>
              <w:pStyle w:val="Tablesmalltext"/>
              <w:jc w:val="center"/>
            </w:pPr>
            <w:r>
              <w:t>9,444</w:t>
            </w:r>
          </w:p>
        </w:tc>
        <w:tc>
          <w:tcPr>
            <w:tcW w:w="555" w:type="pct"/>
          </w:tcPr>
          <w:p w:rsidR="0021386F" w:rsidRPr="00FD05A9" w:rsidRDefault="00AA620A" w:rsidP="00503E0C">
            <w:pPr>
              <w:pStyle w:val="Tablesmalltext"/>
              <w:jc w:val="center"/>
            </w:pPr>
            <w:r>
              <w:t>11,490</w:t>
            </w:r>
          </w:p>
        </w:tc>
        <w:tc>
          <w:tcPr>
            <w:tcW w:w="2023" w:type="pct"/>
          </w:tcPr>
          <w:p w:rsidR="0021386F" w:rsidRPr="00863E1E" w:rsidRDefault="0021386F" w:rsidP="00503E0C">
            <w:pPr>
              <w:pStyle w:val="Tablesmalltext"/>
            </w:pPr>
            <w:r>
              <w:t xml:space="preserve">Refer to </w:t>
            </w:r>
            <w:fldSimple w:instr=" REF _Ref373396991 \h  \* MERGEFORMAT ">
              <w:r w:rsidR="00516D07" w:rsidRPr="00863E1E">
                <w:t xml:space="preserve">Table </w:t>
              </w:r>
              <w:r w:rsidR="00516D07">
                <w:t>5</w:t>
              </w:r>
            </w:fldSimple>
            <w:r>
              <w:t>.</w:t>
            </w:r>
          </w:p>
        </w:tc>
      </w:tr>
      <w:tr w:rsidR="0021386F" w:rsidRPr="00863E1E" w:rsidTr="004A4EC1">
        <w:tc>
          <w:tcPr>
            <w:tcW w:w="760" w:type="pct"/>
          </w:tcPr>
          <w:p w:rsidR="0021386F" w:rsidRPr="00863E1E" w:rsidRDefault="0021386F" w:rsidP="00503E0C">
            <w:pPr>
              <w:pStyle w:val="Tablesmalltext"/>
            </w:pPr>
            <w:r>
              <w:t xml:space="preserve">% ML returned to the Basin </w:t>
            </w:r>
          </w:p>
        </w:tc>
        <w:tc>
          <w:tcPr>
            <w:tcW w:w="554" w:type="pct"/>
          </w:tcPr>
          <w:p w:rsidR="0021386F" w:rsidRPr="00D74E65" w:rsidRDefault="0021386F" w:rsidP="00503E0C">
            <w:pPr>
              <w:spacing w:before="40"/>
              <w:jc w:val="center"/>
              <w:rPr>
                <w:rFonts w:cs="Arial"/>
                <w:sz w:val="18"/>
                <w:szCs w:val="18"/>
              </w:rPr>
            </w:pPr>
            <w:r w:rsidRPr="00D74E65">
              <w:rPr>
                <w:rFonts w:cs="Arial"/>
                <w:sz w:val="18"/>
                <w:szCs w:val="18"/>
              </w:rPr>
              <w:t>66%</w:t>
            </w:r>
          </w:p>
        </w:tc>
        <w:tc>
          <w:tcPr>
            <w:tcW w:w="554" w:type="pct"/>
          </w:tcPr>
          <w:p w:rsidR="0021386F" w:rsidRPr="00D74E65" w:rsidRDefault="0021386F" w:rsidP="00503E0C">
            <w:pPr>
              <w:spacing w:before="40"/>
              <w:jc w:val="center"/>
              <w:rPr>
                <w:rFonts w:cs="Arial"/>
                <w:sz w:val="18"/>
                <w:szCs w:val="18"/>
              </w:rPr>
            </w:pPr>
            <w:r w:rsidRPr="00D74E65">
              <w:rPr>
                <w:rFonts w:cs="Arial"/>
                <w:sz w:val="18"/>
                <w:szCs w:val="18"/>
              </w:rPr>
              <w:t>70%</w:t>
            </w:r>
          </w:p>
        </w:tc>
        <w:tc>
          <w:tcPr>
            <w:tcW w:w="554" w:type="pct"/>
          </w:tcPr>
          <w:p w:rsidR="0021386F" w:rsidRPr="00D74E65" w:rsidRDefault="0021386F" w:rsidP="00503E0C">
            <w:pPr>
              <w:spacing w:before="40"/>
              <w:jc w:val="center"/>
              <w:rPr>
                <w:rFonts w:cs="Arial"/>
                <w:sz w:val="18"/>
                <w:szCs w:val="18"/>
              </w:rPr>
            </w:pPr>
            <w:r w:rsidRPr="00D74E65">
              <w:rPr>
                <w:rFonts w:cs="Arial"/>
                <w:sz w:val="18"/>
                <w:szCs w:val="18"/>
              </w:rPr>
              <w:t>69%</w:t>
            </w:r>
          </w:p>
        </w:tc>
        <w:tc>
          <w:tcPr>
            <w:tcW w:w="555" w:type="pct"/>
          </w:tcPr>
          <w:p w:rsidR="0021386F" w:rsidRPr="00D74E65" w:rsidRDefault="0021386F" w:rsidP="00503E0C">
            <w:pPr>
              <w:spacing w:before="40"/>
              <w:jc w:val="center"/>
              <w:rPr>
                <w:rFonts w:cs="Arial"/>
                <w:sz w:val="18"/>
                <w:szCs w:val="18"/>
              </w:rPr>
            </w:pPr>
            <w:r w:rsidRPr="00D74E65">
              <w:rPr>
                <w:rFonts w:cs="Arial"/>
                <w:sz w:val="18"/>
                <w:szCs w:val="18"/>
              </w:rPr>
              <w:t>69%</w:t>
            </w:r>
          </w:p>
        </w:tc>
        <w:tc>
          <w:tcPr>
            <w:tcW w:w="2023" w:type="pct"/>
          </w:tcPr>
          <w:p w:rsidR="0021386F" w:rsidRPr="00863E1E" w:rsidRDefault="0021386F" w:rsidP="00503E0C">
            <w:pPr>
              <w:pStyle w:val="Tablesmalltext"/>
            </w:pPr>
            <w:r>
              <w:t>Annual w</w:t>
            </w:r>
            <w:r w:rsidRPr="00863E1E">
              <w:t>eighted average based on ML saved within each jurisdiction and a</w:t>
            </w:r>
            <w:r>
              <w:t xml:space="preserve"> requirement that at least </w:t>
            </w:r>
            <w:r w:rsidRPr="00863E1E">
              <w:t xml:space="preserve">50% </w:t>
            </w:r>
            <w:r>
              <w:t xml:space="preserve">of water saved be returned to the GAB in SA, and at least 70% be returned to the GAB </w:t>
            </w:r>
            <w:r w:rsidRPr="00863E1E">
              <w:t>in Queensland and NSW.</w:t>
            </w:r>
          </w:p>
        </w:tc>
      </w:tr>
      <w:tr w:rsidR="0021386F" w:rsidRPr="00863E1E" w:rsidTr="004A4EC1">
        <w:tc>
          <w:tcPr>
            <w:tcW w:w="760" w:type="pct"/>
          </w:tcPr>
          <w:p w:rsidR="0021386F" w:rsidRPr="00863E1E" w:rsidRDefault="0021386F" w:rsidP="00503E0C">
            <w:pPr>
              <w:pStyle w:val="Tablesmalltext"/>
            </w:pPr>
            <w:r>
              <w:t>CO2(e) (tonne) /ML</w:t>
            </w:r>
          </w:p>
        </w:tc>
        <w:tc>
          <w:tcPr>
            <w:tcW w:w="554" w:type="pct"/>
          </w:tcPr>
          <w:p w:rsidR="0021386F" w:rsidRPr="00403244" w:rsidRDefault="0021386F" w:rsidP="00503E0C">
            <w:pPr>
              <w:jc w:val="center"/>
              <w:rPr>
                <w:rFonts w:cs="Arial"/>
                <w:sz w:val="18"/>
                <w:szCs w:val="18"/>
              </w:rPr>
            </w:pPr>
            <w:r>
              <w:rPr>
                <w:rFonts w:cs="Arial"/>
                <w:sz w:val="18"/>
                <w:szCs w:val="18"/>
              </w:rPr>
              <w:t>0.54</w:t>
            </w:r>
          </w:p>
        </w:tc>
        <w:tc>
          <w:tcPr>
            <w:tcW w:w="554" w:type="pct"/>
          </w:tcPr>
          <w:p w:rsidR="0021386F" w:rsidRPr="00403244" w:rsidRDefault="0021386F" w:rsidP="00503E0C">
            <w:pPr>
              <w:jc w:val="center"/>
              <w:rPr>
                <w:rFonts w:cs="Arial"/>
                <w:sz w:val="18"/>
                <w:szCs w:val="18"/>
              </w:rPr>
            </w:pPr>
            <w:r>
              <w:rPr>
                <w:rFonts w:cs="Arial"/>
                <w:sz w:val="18"/>
                <w:szCs w:val="18"/>
              </w:rPr>
              <w:t>0.54</w:t>
            </w:r>
          </w:p>
        </w:tc>
        <w:tc>
          <w:tcPr>
            <w:tcW w:w="554" w:type="pct"/>
          </w:tcPr>
          <w:p w:rsidR="0021386F" w:rsidRPr="00403244" w:rsidRDefault="0021386F" w:rsidP="00503E0C">
            <w:pPr>
              <w:jc w:val="center"/>
              <w:rPr>
                <w:rFonts w:cs="Arial"/>
                <w:sz w:val="18"/>
                <w:szCs w:val="18"/>
              </w:rPr>
            </w:pPr>
            <w:r>
              <w:rPr>
                <w:rFonts w:cs="Arial"/>
                <w:sz w:val="18"/>
                <w:szCs w:val="18"/>
              </w:rPr>
              <w:t>0.54</w:t>
            </w:r>
          </w:p>
        </w:tc>
        <w:tc>
          <w:tcPr>
            <w:tcW w:w="555" w:type="pct"/>
          </w:tcPr>
          <w:p w:rsidR="0021386F" w:rsidRPr="00403244" w:rsidRDefault="0021386F" w:rsidP="00503E0C">
            <w:pPr>
              <w:jc w:val="center"/>
              <w:rPr>
                <w:rFonts w:cs="Arial"/>
                <w:sz w:val="18"/>
                <w:szCs w:val="18"/>
              </w:rPr>
            </w:pPr>
            <w:r>
              <w:rPr>
                <w:rFonts w:cs="Arial"/>
                <w:sz w:val="18"/>
                <w:szCs w:val="18"/>
              </w:rPr>
              <w:t>0.54</w:t>
            </w:r>
          </w:p>
        </w:tc>
        <w:tc>
          <w:tcPr>
            <w:tcW w:w="2023" w:type="pct"/>
          </w:tcPr>
          <w:p w:rsidR="0021386F" w:rsidRPr="00863E1E" w:rsidRDefault="0021386F" w:rsidP="00503E0C">
            <w:pPr>
              <w:pStyle w:val="Tablesmalltext"/>
            </w:pPr>
            <w:r>
              <w:t>As discussed above, this is the only value available based on a NSW study. This value is assumed to be consistent across the GAB for the purpose of this assessment.</w:t>
            </w:r>
          </w:p>
        </w:tc>
      </w:tr>
      <w:tr w:rsidR="0021386F" w:rsidRPr="00863E1E" w:rsidTr="004A4EC1">
        <w:tc>
          <w:tcPr>
            <w:tcW w:w="760" w:type="pct"/>
          </w:tcPr>
          <w:p w:rsidR="0021386F" w:rsidRDefault="0021386F" w:rsidP="00503E0C">
            <w:pPr>
              <w:pStyle w:val="Tablesmalltext"/>
            </w:pPr>
            <w:r>
              <w:t>$/CO2(e)</w:t>
            </w:r>
          </w:p>
        </w:tc>
        <w:tc>
          <w:tcPr>
            <w:tcW w:w="554" w:type="pct"/>
          </w:tcPr>
          <w:p w:rsidR="0021386F" w:rsidRPr="00403244" w:rsidRDefault="0021386F" w:rsidP="00503E0C">
            <w:pPr>
              <w:jc w:val="center"/>
              <w:rPr>
                <w:rFonts w:cs="Arial"/>
                <w:sz w:val="18"/>
                <w:szCs w:val="18"/>
              </w:rPr>
            </w:pPr>
            <w:r>
              <w:rPr>
                <w:rFonts w:cs="Arial"/>
                <w:sz w:val="18"/>
                <w:szCs w:val="18"/>
              </w:rPr>
              <w:t>$23/tonne</w:t>
            </w:r>
          </w:p>
        </w:tc>
        <w:tc>
          <w:tcPr>
            <w:tcW w:w="554" w:type="pct"/>
          </w:tcPr>
          <w:p w:rsidR="0021386F" w:rsidRPr="00403244" w:rsidRDefault="0021386F" w:rsidP="00503E0C">
            <w:pPr>
              <w:jc w:val="center"/>
              <w:rPr>
                <w:rFonts w:cs="Arial"/>
                <w:sz w:val="18"/>
                <w:szCs w:val="18"/>
              </w:rPr>
            </w:pPr>
            <w:r>
              <w:rPr>
                <w:rFonts w:cs="Arial"/>
                <w:sz w:val="18"/>
                <w:szCs w:val="18"/>
              </w:rPr>
              <w:t>$23/tonne</w:t>
            </w:r>
          </w:p>
        </w:tc>
        <w:tc>
          <w:tcPr>
            <w:tcW w:w="554" w:type="pct"/>
          </w:tcPr>
          <w:p w:rsidR="0021386F" w:rsidRPr="00403244" w:rsidRDefault="0021386F" w:rsidP="00503E0C">
            <w:pPr>
              <w:jc w:val="center"/>
              <w:rPr>
                <w:rFonts w:cs="Arial"/>
                <w:sz w:val="18"/>
                <w:szCs w:val="18"/>
              </w:rPr>
            </w:pPr>
            <w:r>
              <w:rPr>
                <w:rFonts w:cs="Arial"/>
                <w:sz w:val="18"/>
                <w:szCs w:val="18"/>
              </w:rPr>
              <w:t>$23/tonne</w:t>
            </w:r>
          </w:p>
        </w:tc>
        <w:tc>
          <w:tcPr>
            <w:tcW w:w="555" w:type="pct"/>
          </w:tcPr>
          <w:p w:rsidR="0021386F" w:rsidRPr="00403244" w:rsidRDefault="0021386F" w:rsidP="00503E0C">
            <w:pPr>
              <w:jc w:val="center"/>
              <w:rPr>
                <w:rFonts w:cs="Arial"/>
                <w:sz w:val="18"/>
                <w:szCs w:val="18"/>
              </w:rPr>
            </w:pPr>
            <w:r>
              <w:rPr>
                <w:rFonts w:cs="Arial"/>
                <w:sz w:val="18"/>
                <w:szCs w:val="18"/>
              </w:rPr>
              <w:t>$23/tonne</w:t>
            </w:r>
          </w:p>
        </w:tc>
        <w:tc>
          <w:tcPr>
            <w:tcW w:w="2023" w:type="pct"/>
          </w:tcPr>
          <w:p w:rsidR="0021386F" w:rsidRPr="00863E1E" w:rsidRDefault="0021386F" w:rsidP="00503E0C">
            <w:pPr>
              <w:pStyle w:val="Tablesmalltext"/>
            </w:pPr>
            <w:r>
              <w:t xml:space="preserve">As mentioned above, this is considered to be a conservative estimate of the social cost of carbon. Market data is not available given the uncertainty of a future carbon market in Australia. </w:t>
            </w:r>
          </w:p>
        </w:tc>
      </w:tr>
    </w:tbl>
    <w:p w:rsidR="0021386F" w:rsidRDefault="0021386F" w:rsidP="0021386F">
      <w:pPr>
        <w:pStyle w:val="subhead"/>
      </w:pPr>
      <w:r w:rsidRPr="00863E1E">
        <w:t>Results</w:t>
      </w:r>
    </w:p>
    <w:p w:rsidR="0021386F" w:rsidRPr="001C5DBE" w:rsidRDefault="0021386F" w:rsidP="0021386F">
      <w:pPr>
        <w:pStyle w:val="subhead"/>
        <w:rPr>
          <w:b w:val="0"/>
          <w:i w:val="0"/>
        </w:rPr>
      </w:pPr>
      <w:r w:rsidRPr="001C5DBE">
        <w:rPr>
          <w:b w:val="0"/>
          <w:i w:val="0"/>
        </w:rPr>
        <w:t>The total benefit associated with reduced greenhouse gas emissions across the assess</w:t>
      </w:r>
      <w:r w:rsidR="00AA620A">
        <w:rPr>
          <w:b w:val="0"/>
          <w:i w:val="0"/>
        </w:rPr>
        <w:t>ment period (1999-2043) is $64.4 m (to June 2013) or $69.6</w:t>
      </w:r>
      <w:r w:rsidRPr="001C5DBE">
        <w:rPr>
          <w:b w:val="0"/>
          <w:i w:val="0"/>
        </w:rPr>
        <w:t xml:space="preserve"> m to June 2014. A breakdown of results by jurisdiction is provided in</w:t>
      </w:r>
      <w:r w:rsidR="001C5DBE" w:rsidRPr="001C5DBE">
        <w:rPr>
          <w:b w:val="0"/>
          <w:i w:val="0"/>
        </w:rPr>
        <w:t xml:space="preserve"> </w:t>
      </w:r>
      <w:fldSimple w:instr=" REF _Ref373498611 \h  \* MERGEFORMAT ">
        <w:r w:rsidR="00516D07" w:rsidRPr="00516D07">
          <w:rPr>
            <w:b w:val="0"/>
            <w:i w:val="0"/>
          </w:rPr>
          <w:t>Figure 7</w:t>
        </w:r>
      </w:fldSimple>
      <w:r w:rsidR="001C5DBE" w:rsidRPr="001C5DBE">
        <w:rPr>
          <w:b w:val="0"/>
          <w:i w:val="0"/>
        </w:rPr>
        <w:t>.</w:t>
      </w:r>
    </w:p>
    <w:p w:rsidR="001A1771" w:rsidRPr="00863E1E" w:rsidRDefault="001A1771" w:rsidP="001A1771">
      <w:pPr>
        <w:pStyle w:val="Caption"/>
      </w:pPr>
      <w:bookmarkStart w:id="54" w:name="_Ref373498611"/>
      <w:bookmarkEnd w:id="53"/>
      <w:r w:rsidRPr="00B71EB9">
        <w:t xml:space="preserve">Figure </w:t>
      </w:r>
      <w:r w:rsidR="006768F1">
        <w:fldChar w:fldCharType="begin"/>
      </w:r>
      <w:r w:rsidR="00DB2AA7">
        <w:instrText xml:space="preserve"> SEQ Figure \* ARABIC </w:instrText>
      </w:r>
      <w:r w:rsidR="006768F1">
        <w:fldChar w:fldCharType="separate"/>
      </w:r>
      <w:r w:rsidR="00516D07">
        <w:rPr>
          <w:noProof/>
        </w:rPr>
        <w:t>7</w:t>
      </w:r>
      <w:r w:rsidR="006768F1">
        <w:fldChar w:fldCharType="end"/>
      </w:r>
      <w:bookmarkEnd w:id="54"/>
      <w:r w:rsidRPr="00B71EB9">
        <w:t xml:space="preserve">: Total </w:t>
      </w:r>
      <w:r>
        <w:t>greenhouse gas abatement value</w:t>
      </w:r>
      <w:r w:rsidRPr="00B71EB9">
        <w:t xml:space="preserve"> ($ 2013, real)</w:t>
      </w:r>
    </w:p>
    <w:p w:rsidR="001A1771" w:rsidRPr="003D5815" w:rsidRDefault="001A1771" w:rsidP="00A5316D">
      <w:pPr>
        <w:pStyle w:val="Para0"/>
        <w:spacing w:before="0"/>
      </w:pPr>
      <w:r w:rsidRPr="00E2617D">
        <w:rPr>
          <w:noProof/>
          <w:lang w:eastAsia="en-AU"/>
        </w:rPr>
        <w:t xml:space="preserve"> </w:t>
      </w:r>
      <w:r w:rsidR="00AA620A">
        <w:rPr>
          <w:noProof/>
          <w:lang w:eastAsia="en-AU"/>
        </w:rPr>
        <w:drawing>
          <wp:inline distT="0" distB="0" distL="0" distR="0">
            <wp:extent cx="5866410" cy="296046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465" cy="2962008"/>
                    </a:xfrm>
                    <a:prstGeom prst="rect">
                      <a:avLst/>
                    </a:prstGeom>
                    <a:noFill/>
                  </pic:spPr>
                </pic:pic>
              </a:graphicData>
            </a:graphic>
          </wp:inline>
        </w:drawing>
      </w:r>
    </w:p>
    <w:p w:rsidR="00EF2C5C" w:rsidRDefault="00EF2C5C" w:rsidP="00EF2C5C">
      <w:pPr>
        <w:pStyle w:val="Heading2"/>
      </w:pPr>
      <w:bookmarkStart w:id="55" w:name="_Toc378163309"/>
      <w:r w:rsidRPr="00863E1E">
        <w:t>Summary</w:t>
      </w:r>
      <w:bookmarkEnd w:id="55"/>
    </w:p>
    <w:p w:rsidR="00D37AE0" w:rsidRDefault="00D37AE0" w:rsidP="00D37AE0">
      <w:pPr>
        <w:pStyle w:val="Para0"/>
      </w:pPr>
      <w:r>
        <w:t>The summary of the Value for Money assessment which is based on the TEV Assessment framework is split into the following two sections:</w:t>
      </w:r>
    </w:p>
    <w:p w:rsidR="00D37AE0" w:rsidRDefault="00D37AE0" w:rsidP="00D37AE0">
      <w:pPr>
        <w:pStyle w:val="Para0bullet"/>
        <w:tabs>
          <w:tab w:val="clear" w:pos="851"/>
          <w:tab w:val="left" w:pos="426"/>
        </w:tabs>
      </w:pPr>
      <w:r>
        <w:t>Quantified value for money</w:t>
      </w:r>
    </w:p>
    <w:p w:rsidR="00D37AE0" w:rsidRDefault="00D37AE0" w:rsidP="00D37AE0">
      <w:pPr>
        <w:pStyle w:val="Para0bullet"/>
        <w:tabs>
          <w:tab w:val="clear" w:pos="851"/>
          <w:tab w:val="left" w:pos="426"/>
        </w:tabs>
      </w:pPr>
      <w:r>
        <w:t xml:space="preserve">Additional benefits discussed qualitatively </w:t>
      </w:r>
    </w:p>
    <w:p w:rsidR="00D37AE0" w:rsidRDefault="00D37AE0" w:rsidP="00D37AE0">
      <w:pPr>
        <w:pStyle w:val="Heading3"/>
      </w:pPr>
      <w:r w:rsidRPr="00E943C6">
        <w:t>Quantified value for money</w:t>
      </w:r>
    </w:p>
    <w:p w:rsidR="00D37AE0" w:rsidRDefault="00D37AE0" w:rsidP="00D37AE0">
      <w:pPr>
        <w:pStyle w:val="Para0"/>
      </w:pPr>
      <w:r>
        <w:t>The total cost of GABSI</w:t>
      </w:r>
      <w:r w:rsidR="00360012">
        <w:t xml:space="preserve"> to governments</w:t>
      </w:r>
      <w:r>
        <w:t xml:space="preserve"> in real dollars is $</w:t>
      </w:r>
      <w:r w:rsidRPr="0009736D">
        <w:t>241.2m to June 2013 or $268.05m to June 2014</w:t>
      </w:r>
      <w:r>
        <w:t xml:space="preserve">. In present value the cost is </w:t>
      </w:r>
      <w:r w:rsidRPr="0009736D">
        <w:t>$375.2m to June 2013 and $400.24m to June 2014</w:t>
      </w:r>
      <w:r>
        <w:t xml:space="preserve">. </w:t>
      </w:r>
    </w:p>
    <w:p w:rsidR="00352B9B" w:rsidRDefault="001A1771" w:rsidP="001A1771">
      <w:pPr>
        <w:pStyle w:val="Para0"/>
      </w:pPr>
      <w:bookmarkStart w:id="56" w:name="_Ref373397902"/>
      <w:r>
        <w:t xml:space="preserve">Determining value for money requires a comparison of program specific costs and benefits. </w:t>
      </w:r>
      <w:r w:rsidR="006768F1">
        <w:fldChar w:fldCharType="begin"/>
      </w:r>
      <w:r>
        <w:instrText xml:space="preserve"> REF _Ref373344948 \h </w:instrText>
      </w:r>
      <w:r w:rsidR="006768F1">
        <w:fldChar w:fldCharType="separate"/>
      </w:r>
      <w:r w:rsidR="00516D07">
        <w:t xml:space="preserve">Table </w:t>
      </w:r>
      <w:r w:rsidR="00516D07">
        <w:rPr>
          <w:noProof/>
        </w:rPr>
        <w:t>21</w:t>
      </w:r>
      <w:r w:rsidR="006768F1">
        <w:fldChar w:fldCharType="end"/>
      </w:r>
      <w:r>
        <w:t>,</w:t>
      </w:r>
      <w:r w:rsidR="0017100C">
        <w:t xml:space="preserve"> </w:t>
      </w:r>
      <w:r w:rsidR="006768F1">
        <w:fldChar w:fldCharType="begin"/>
      </w:r>
      <w:r w:rsidR="0017100C">
        <w:instrText xml:space="preserve"> REF _Ref373498977 \h </w:instrText>
      </w:r>
      <w:r w:rsidR="006768F1">
        <w:fldChar w:fldCharType="separate"/>
      </w:r>
      <w:r w:rsidR="00516D07">
        <w:t xml:space="preserve">Table </w:t>
      </w:r>
      <w:r w:rsidR="00516D07">
        <w:rPr>
          <w:noProof/>
        </w:rPr>
        <w:t>22</w:t>
      </w:r>
      <w:r w:rsidR="006768F1">
        <w:fldChar w:fldCharType="end"/>
      </w:r>
      <w:r w:rsidR="0017100C">
        <w:t xml:space="preserve">, </w:t>
      </w:r>
      <w:r w:rsidR="006768F1">
        <w:fldChar w:fldCharType="begin"/>
      </w:r>
      <w:r w:rsidR="0017100C">
        <w:instrText xml:space="preserve"> REF _Ref373498981 \h </w:instrText>
      </w:r>
      <w:r w:rsidR="006768F1">
        <w:fldChar w:fldCharType="separate"/>
      </w:r>
      <w:r w:rsidR="00516D07" w:rsidRPr="00B71EB9">
        <w:t xml:space="preserve">Figure </w:t>
      </w:r>
      <w:r w:rsidR="00516D07">
        <w:rPr>
          <w:noProof/>
        </w:rPr>
        <w:t>8</w:t>
      </w:r>
      <w:r w:rsidR="006768F1">
        <w:fldChar w:fldCharType="end"/>
      </w:r>
      <w:r w:rsidR="0017100C">
        <w:t xml:space="preserve">, </w:t>
      </w:r>
      <w:r>
        <w:t xml:space="preserve">and </w:t>
      </w:r>
      <w:r w:rsidR="006768F1">
        <w:fldChar w:fldCharType="begin"/>
      </w:r>
      <w:r>
        <w:instrText xml:space="preserve"> REF _Ref373397903 \h </w:instrText>
      </w:r>
      <w:r w:rsidR="006768F1">
        <w:fldChar w:fldCharType="separate"/>
      </w:r>
      <w:r w:rsidR="00516D07" w:rsidRPr="00B71EB9">
        <w:t xml:space="preserve">Figure </w:t>
      </w:r>
      <w:r w:rsidR="00516D07">
        <w:rPr>
          <w:noProof/>
        </w:rPr>
        <w:t>9</w:t>
      </w:r>
      <w:r w:rsidR="006768F1">
        <w:fldChar w:fldCharType="end"/>
      </w:r>
      <w:r>
        <w:t xml:space="preserve"> </w:t>
      </w:r>
      <w:r w:rsidRPr="0009736D">
        <w:t>outline the total benefits quantified for GABSI over the assessment period</w:t>
      </w:r>
      <w:r>
        <w:t>, which are the consumptive benefits from reallocated water, indirect benefits to communities, and greenhouse gas abatement benefits</w:t>
      </w:r>
      <w:r w:rsidRPr="0009736D">
        <w:t>.</w:t>
      </w:r>
    </w:p>
    <w:p w:rsidR="001A1771" w:rsidRDefault="001A1771" w:rsidP="001A1771">
      <w:pPr>
        <w:pStyle w:val="Para0"/>
      </w:pPr>
      <w:r w:rsidRPr="0009736D">
        <w:t>In real dollars, the</w:t>
      </w:r>
      <w:r>
        <w:t>se benefits</w:t>
      </w:r>
      <w:r w:rsidRPr="0009736D">
        <w:t xml:space="preserve"> up to June 2013 are estimated to be $</w:t>
      </w:r>
      <w:r>
        <w:t>163.0m</w:t>
      </w:r>
      <w:r w:rsidRPr="0009736D">
        <w:t xml:space="preserve"> or $</w:t>
      </w:r>
      <w:r>
        <w:t>176.7m</w:t>
      </w:r>
      <w:r w:rsidRPr="0009736D">
        <w:t xml:space="preserve"> if including works to be completed over 2013/14. In present value, these respective figures are $</w:t>
      </w:r>
      <w:r>
        <w:t>209.9m</w:t>
      </w:r>
      <w:r w:rsidRPr="0009736D">
        <w:t xml:space="preserve"> to June 2013 and $</w:t>
      </w:r>
      <w:r>
        <w:t>221.4m</w:t>
      </w:r>
      <w:r w:rsidRPr="0009736D">
        <w:t xml:space="preserve"> to June 2014</w:t>
      </w:r>
      <w:r>
        <w:t>.</w:t>
      </w:r>
    </w:p>
    <w:p w:rsidR="001A1771" w:rsidRDefault="001A1771" w:rsidP="001A1771">
      <w:pPr>
        <w:pStyle w:val="Caption"/>
      </w:pPr>
      <w:bookmarkStart w:id="57" w:name="_Ref373344948"/>
      <w:bookmarkStart w:id="58" w:name="_Ref373344944"/>
      <w:r>
        <w:t xml:space="preserve">Table </w:t>
      </w:r>
      <w:r w:rsidR="006768F1">
        <w:fldChar w:fldCharType="begin"/>
      </w:r>
      <w:r w:rsidR="00F843FC">
        <w:instrText xml:space="preserve"> SEQ Table \* ARABIC </w:instrText>
      </w:r>
      <w:r w:rsidR="006768F1">
        <w:fldChar w:fldCharType="separate"/>
      </w:r>
      <w:r w:rsidR="00516D07">
        <w:rPr>
          <w:noProof/>
        </w:rPr>
        <w:t>21</w:t>
      </w:r>
      <w:r w:rsidR="006768F1">
        <w:fldChar w:fldCharType="end"/>
      </w:r>
      <w:bookmarkEnd w:id="57"/>
      <w:r>
        <w:t>: TEV quantified (real 2013 dollars)</w:t>
      </w:r>
      <w:bookmarkEnd w:id="58"/>
      <w:r>
        <w:t xml:space="preserve"> </w:t>
      </w:r>
    </w:p>
    <w:tbl>
      <w:tblPr>
        <w:tblW w:w="9933" w:type="dxa"/>
        <w:tblInd w:w="98" w:type="dxa"/>
        <w:tblBorders>
          <w:top w:val="single" w:sz="8" w:space="0" w:color="79746C" w:themeColor="accent1" w:themeShade="80"/>
          <w:left w:val="single" w:sz="8" w:space="0" w:color="79746C" w:themeColor="accent1" w:themeShade="80"/>
          <w:bottom w:val="single" w:sz="8" w:space="0" w:color="79746C" w:themeColor="accent1" w:themeShade="80"/>
          <w:right w:val="single" w:sz="8" w:space="0" w:color="79746C" w:themeColor="accent1" w:themeShade="80"/>
          <w:insideH w:val="single" w:sz="8" w:space="0" w:color="79746C" w:themeColor="accent1" w:themeShade="80"/>
          <w:insideV w:val="single" w:sz="8" w:space="0" w:color="79746C" w:themeColor="accent1" w:themeShade="80"/>
        </w:tblBorders>
        <w:tblLayout w:type="fixed"/>
        <w:tblLook w:val="04A0"/>
      </w:tblPr>
      <w:tblGrid>
        <w:gridCol w:w="2137"/>
        <w:gridCol w:w="1275"/>
        <w:gridCol w:w="1134"/>
        <w:gridCol w:w="1418"/>
        <w:gridCol w:w="1417"/>
        <w:gridCol w:w="1276"/>
        <w:gridCol w:w="1276"/>
      </w:tblGrid>
      <w:tr w:rsidR="00F669FB" w:rsidRPr="000F5192" w:rsidTr="00390D1E">
        <w:trPr>
          <w:trHeight w:val="479"/>
        </w:trPr>
        <w:tc>
          <w:tcPr>
            <w:tcW w:w="2137" w:type="dxa"/>
            <w:shd w:val="clear" w:color="000000" w:fill="5185C0"/>
            <w:vAlign w:val="center"/>
            <w:hideMark/>
          </w:tcPr>
          <w:p w:rsidR="001A1771" w:rsidRPr="000F5192" w:rsidRDefault="001A1771" w:rsidP="00503E0C">
            <w:pPr>
              <w:pStyle w:val="Tablesmallheading"/>
              <w:rPr>
                <w:lang w:eastAsia="en-AU"/>
              </w:rPr>
            </w:pPr>
            <w:r w:rsidRPr="000F5192">
              <w:rPr>
                <w:lang w:eastAsia="en-AU"/>
              </w:rPr>
              <w:t> </w:t>
            </w:r>
            <w:r>
              <w:rPr>
                <w:lang w:eastAsia="en-AU"/>
              </w:rPr>
              <w:t>Quantified values</w:t>
            </w:r>
          </w:p>
        </w:tc>
        <w:tc>
          <w:tcPr>
            <w:tcW w:w="1275"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1</w:t>
            </w:r>
          </w:p>
        </w:tc>
        <w:tc>
          <w:tcPr>
            <w:tcW w:w="1134"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2</w:t>
            </w:r>
          </w:p>
        </w:tc>
        <w:tc>
          <w:tcPr>
            <w:tcW w:w="1418"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3 (completed)</w:t>
            </w:r>
          </w:p>
        </w:tc>
        <w:tc>
          <w:tcPr>
            <w:tcW w:w="1417"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3 (completed as planned)</w:t>
            </w:r>
          </w:p>
        </w:tc>
        <w:tc>
          <w:tcPr>
            <w:tcW w:w="1276" w:type="dxa"/>
            <w:shd w:val="clear" w:color="000000" w:fill="5185C0"/>
            <w:vAlign w:val="center"/>
            <w:hideMark/>
          </w:tcPr>
          <w:p w:rsidR="001A1771" w:rsidRPr="000F5192" w:rsidRDefault="001A1771" w:rsidP="00503E0C">
            <w:pPr>
              <w:pStyle w:val="Tablesmallheading"/>
              <w:rPr>
                <w:lang w:eastAsia="en-AU"/>
              </w:rPr>
            </w:pPr>
            <w:r w:rsidRPr="000F5192">
              <w:rPr>
                <w:lang w:eastAsia="en-AU"/>
              </w:rPr>
              <w:t>TOTAL to June 2013</w:t>
            </w:r>
          </w:p>
        </w:tc>
        <w:tc>
          <w:tcPr>
            <w:tcW w:w="1276" w:type="dxa"/>
            <w:shd w:val="clear" w:color="000000" w:fill="5185C0"/>
            <w:vAlign w:val="center"/>
            <w:hideMark/>
          </w:tcPr>
          <w:p w:rsidR="001A1771" w:rsidRPr="000F5192" w:rsidRDefault="001A1771" w:rsidP="00503E0C">
            <w:pPr>
              <w:pStyle w:val="Tablesmallheading"/>
              <w:rPr>
                <w:lang w:eastAsia="en-AU"/>
              </w:rPr>
            </w:pPr>
            <w:r w:rsidRPr="000F5192">
              <w:rPr>
                <w:lang w:eastAsia="en-AU"/>
              </w:rPr>
              <w:t>TOTAL to June 2014</w:t>
            </w:r>
          </w:p>
        </w:tc>
      </w:tr>
      <w:tr w:rsidR="00F669FB" w:rsidRPr="000F5192" w:rsidTr="00390D1E">
        <w:trPr>
          <w:trHeight w:val="571"/>
        </w:trPr>
        <w:tc>
          <w:tcPr>
            <w:tcW w:w="2137" w:type="dxa"/>
            <w:shd w:val="clear" w:color="auto" w:fill="auto"/>
            <w:vAlign w:val="center"/>
            <w:hideMark/>
          </w:tcPr>
          <w:p w:rsidR="001A1771" w:rsidRPr="00241794" w:rsidRDefault="001A1771" w:rsidP="00503E0C">
            <w:pPr>
              <w:pStyle w:val="Tablesmalltext"/>
              <w:spacing w:before="0" w:after="0"/>
              <w:rPr>
                <w:rFonts w:cs="Times New Roman"/>
              </w:rPr>
            </w:pPr>
            <w:r w:rsidRPr="00241794">
              <w:rPr>
                <w:rFonts w:cs="Times New Roman"/>
              </w:rPr>
              <w:t xml:space="preserve">Consumptive benefits from reallocated water </w:t>
            </w:r>
          </w:p>
        </w:tc>
        <w:tc>
          <w:tcPr>
            <w:tcW w:w="1275" w:type="dxa"/>
            <w:shd w:val="clear" w:color="auto" w:fill="auto"/>
            <w:vAlign w:val="center"/>
            <w:hideMark/>
          </w:tcPr>
          <w:p w:rsidR="001A1771" w:rsidRPr="000766D4" w:rsidRDefault="001A1771" w:rsidP="00503E0C">
            <w:pPr>
              <w:pStyle w:val="Tablesmalltext"/>
            </w:pPr>
            <w:r w:rsidRPr="00D74E65">
              <w:t>$ 24.87 m</w:t>
            </w:r>
          </w:p>
        </w:tc>
        <w:tc>
          <w:tcPr>
            <w:tcW w:w="1134" w:type="dxa"/>
            <w:shd w:val="clear" w:color="auto" w:fill="auto"/>
            <w:vAlign w:val="center"/>
            <w:hideMark/>
          </w:tcPr>
          <w:p w:rsidR="001A1771" w:rsidRPr="000766D4" w:rsidRDefault="001A1771" w:rsidP="00503E0C">
            <w:pPr>
              <w:pStyle w:val="Tablesmalltext"/>
            </w:pPr>
            <w:r w:rsidRPr="00D74E65">
              <w:t>$ 18.21 m</w:t>
            </w:r>
          </w:p>
        </w:tc>
        <w:tc>
          <w:tcPr>
            <w:tcW w:w="1418" w:type="dxa"/>
            <w:shd w:val="clear" w:color="auto" w:fill="auto"/>
            <w:vAlign w:val="center"/>
            <w:hideMark/>
          </w:tcPr>
          <w:p w:rsidR="001A1771" w:rsidRPr="000766D4" w:rsidRDefault="00B42933" w:rsidP="00503E0C">
            <w:pPr>
              <w:pStyle w:val="Tablesmalltext"/>
            </w:pPr>
            <w:r>
              <w:t>$ 9.53</w:t>
            </w:r>
            <w:r w:rsidR="001A1771" w:rsidRPr="00D74E65">
              <w:t xml:space="preserve"> m</w:t>
            </w:r>
          </w:p>
        </w:tc>
        <w:tc>
          <w:tcPr>
            <w:tcW w:w="1417" w:type="dxa"/>
            <w:shd w:val="clear" w:color="auto" w:fill="auto"/>
            <w:vAlign w:val="center"/>
            <w:hideMark/>
          </w:tcPr>
          <w:p w:rsidR="001A1771" w:rsidRPr="000766D4" w:rsidRDefault="001A1771" w:rsidP="00B42933">
            <w:pPr>
              <w:pStyle w:val="Tablesmalltext"/>
            </w:pPr>
            <w:r w:rsidRPr="00D74E65">
              <w:t xml:space="preserve">$ </w:t>
            </w:r>
            <w:r w:rsidR="00B42933">
              <w:t xml:space="preserve">14.39 </w:t>
            </w:r>
            <w:r w:rsidRPr="00D74E65">
              <w:t>m</w:t>
            </w:r>
          </w:p>
        </w:tc>
        <w:tc>
          <w:tcPr>
            <w:tcW w:w="1276" w:type="dxa"/>
            <w:shd w:val="clear" w:color="000000" w:fill="D0CECB"/>
            <w:vAlign w:val="center"/>
            <w:hideMark/>
          </w:tcPr>
          <w:p w:rsidR="001A1771" w:rsidRPr="000766D4" w:rsidRDefault="00B42933" w:rsidP="00503E0C">
            <w:pPr>
              <w:pStyle w:val="Tablesmalltext"/>
            </w:pPr>
            <w:r>
              <w:t>$ 52.61</w:t>
            </w:r>
            <w:r w:rsidR="001A1771" w:rsidRPr="00D74E65">
              <w:t xml:space="preserve"> m</w:t>
            </w:r>
          </w:p>
        </w:tc>
        <w:tc>
          <w:tcPr>
            <w:tcW w:w="1276" w:type="dxa"/>
            <w:shd w:val="clear" w:color="000000" w:fill="D0CECB"/>
            <w:vAlign w:val="center"/>
            <w:hideMark/>
          </w:tcPr>
          <w:p w:rsidR="001A1771" w:rsidRPr="000766D4" w:rsidRDefault="001A1771" w:rsidP="00B42933">
            <w:pPr>
              <w:pStyle w:val="Tablesmalltext"/>
            </w:pPr>
            <w:r w:rsidRPr="00D74E65">
              <w:t>$ 5</w:t>
            </w:r>
            <w:r w:rsidR="00B42933">
              <w:t>7.47</w:t>
            </w:r>
            <w:r w:rsidRPr="00D74E65">
              <w:t xml:space="preserve"> m</w:t>
            </w:r>
          </w:p>
        </w:tc>
      </w:tr>
      <w:tr w:rsidR="00F669FB" w:rsidRPr="000F5192" w:rsidTr="00390D1E">
        <w:trPr>
          <w:trHeight w:val="270"/>
        </w:trPr>
        <w:tc>
          <w:tcPr>
            <w:tcW w:w="2137" w:type="dxa"/>
            <w:shd w:val="clear" w:color="auto" w:fill="auto"/>
            <w:noWrap/>
            <w:vAlign w:val="center"/>
            <w:hideMark/>
          </w:tcPr>
          <w:p w:rsidR="001A1771" w:rsidRPr="00241794" w:rsidRDefault="001A1771" w:rsidP="00503E0C">
            <w:pPr>
              <w:pStyle w:val="Tablesmalltext"/>
              <w:spacing w:before="0" w:after="0"/>
              <w:rPr>
                <w:rFonts w:cs="Times New Roman"/>
              </w:rPr>
            </w:pPr>
            <w:r w:rsidRPr="00241794">
              <w:rPr>
                <w:rFonts w:cs="Times New Roman"/>
              </w:rPr>
              <w:t>Indirect benefits to rural communities</w:t>
            </w:r>
          </w:p>
        </w:tc>
        <w:tc>
          <w:tcPr>
            <w:tcW w:w="1275" w:type="dxa"/>
            <w:shd w:val="clear" w:color="auto" w:fill="auto"/>
            <w:vAlign w:val="center"/>
            <w:hideMark/>
          </w:tcPr>
          <w:p w:rsidR="001A1771" w:rsidRPr="000766D4" w:rsidRDefault="001A1771" w:rsidP="00503E0C">
            <w:pPr>
              <w:pStyle w:val="Tablesmalltext"/>
            </w:pPr>
            <w:r w:rsidRPr="00D74E65">
              <w:t>$ 21.99 m</w:t>
            </w:r>
          </w:p>
        </w:tc>
        <w:tc>
          <w:tcPr>
            <w:tcW w:w="1134" w:type="dxa"/>
            <w:shd w:val="clear" w:color="auto" w:fill="auto"/>
            <w:vAlign w:val="center"/>
            <w:hideMark/>
          </w:tcPr>
          <w:p w:rsidR="001A1771" w:rsidRPr="000766D4" w:rsidRDefault="001A1771" w:rsidP="00503E0C">
            <w:pPr>
              <w:pStyle w:val="Tablesmalltext"/>
            </w:pPr>
            <w:r w:rsidRPr="00D74E65">
              <w:t>$ 16.10 m</w:t>
            </w:r>
          </w:p>
        </w:tc>
        <w:tc>
          <w:tcPr>
            <w:tcW w:w="1418" w:type="dxa"/>
            <w:shd w:val="clear" w:color="auto" w:fill="auto"/>
            <w:vAlign w:val="center"/>
            <w:hideMark/>
          </w:tcPr>
          <w:p w:rsidR="001A1771" w:rsidRPr="000766D4" w:rsidRDefault="00B42933" w:rsidP="00B42933">
            <w:pPr>
              <w:pStyle w:val="Tablesmalltext"/>
            </w:pPr>
            <w:r>
              <w:t>$ 8.42</w:t>
            </w:r>
            <w:r w:rsidR="001A1771" w:rsidRPr="00D74E65">
              <w:t xml:space="preserve"> m</w:t>
            </w:r>
          </w:p>
        </w:tc>
        <w:tc>
          <w:tcPr>
            <w:tcW w:w="1417" w:type="dxa"/>
            <w:shd w:val="clear" w:color="auto" w:fill="auto"/>
            <w:vAlign w:val="center"/>
            <w:hideMark/>
          </w:tcPr>
          <w:p w:rsidR="001A1771" w:rsidRPr="000766D4" w:rsidRDefault="001A1771" w:rsidP="00503E0C">
            <w:pPr>
              <w:pStyle w:val="Tablesmalltext"/>
            </w:pPr>
            <w:r w:rsidRPr="00D74E65">
              <w:t>$ 12.27 m</w:t>
            </w:r>
          </w:p>
        </w:tc>
        <w:tc>
          <w:tcPr>
            <w:tcW w:w="1276" w:type="dxa"/>
            <w:shd w:val="clear" w:color="000000" w:fill="D0CECB"/>
            <w:vAlign w:val="center"/>
            <w:hideMark/>
          </w:tcPr>
          <w:p w:rsidR="001A1771" w:rsidRPr="000766D4" w:rsidRDefault="00B42933" w:rsidP="00503E0C">
            <w:pPr>
              <w:pStyle w:val="Tablesmalltext"/>
            </w:pPr>
            <w:r>
              <w:t>$ 46.5</w:t>
            </w:r>
            <w:r w:rsidR="001A1771" w:rsidRPr="00D74E65">
              <w:t>1 m</w:t>
            </w:r>
          </w:p>
        </w:tc>
        <w:tc>
          <w:tcPr>
            <w:tcW w:w="1276" w:type="dxa"/>
            <w:shd w:val="clear" w:color="000000" w:fill="D0CECB"/>
            <w:vAlign w:val="center"/>
            <w:hideMark/>
          </w:tcPr>
          <w:p w:rsidR="001A1771" w:rsidRPr="000766D4" w:rsidRDefault="00B42933" w:rsidP="00503E0C">
            <w:pPr>
              <w:pStyle w:val="Tablesmalltext"/>
            </w:pPr>
            <w:r>
              <w:t>$ 50.81</w:t>
            </w:r>
            <w:r w:rsidR="001A1771" w:rsidRPr="00D74E65">
              <w:t xml:space="preserve"> m</w:t>
            </w:r>
          </w:p>
        </w:tc>
      </w:tr>
      <w:tr w:rsidR="00F669FB" w:rsidRPr="000F5192" w:rsidTr="00390D1E">
        <w:trPr>
          <w:trHeight w:val="249"/>
        </w:trPr>
        <w:tc>
          <w:tcPr>
            <w:tcW w:w="2137" w:type="dxa"/>
            <w:shd w:val="clear" w:color="auto" w:fill="auto"/>
            <w:noWrap/>
            <w:vAlign w:val="center"/>
            <w:hideMark/>
          </w:tcPr>
          <w:p w:rsidR="001A1771" w:rsidRPr="00241794" w:rsidRDefault="001A1771" w:rsidP="00503E0C">
            <w:pPr>
              <w:pStyle w:val="Tablesmalltext"/>
              <w:spacing w:before="0" w:after="0"/>
              <w:rPr>
                <w:rFonts w:cs="Times New Roman"/>
              </w:rPr>
            </w:pPr>
            <w:r w:rsidRPr="00241794">
              <w:rPr>
                <w:rFonts w:cs="Times New Roman"/>
              </w:rPr>
              <w:t>Greenhouse gas abatement benefits</w:t>
            </w:r>
          </w:p>
        </w:tc>
        <w:tc>
          <w:tcPr>
            <w:tcW w:w="1275" w:type="dxa"/>
            <w:shd w:val="clear" w:color="auto" w:fill="auto"/>
            <w:vAlign w:val="center"/>
            <w:hideMark/>
          </w:tcPr>
          <w:p w:rsidR="001A1771" w:rsidRPr="000766D4" w:rsidRDefault="001A1771" w:rsidP="00503E0C">
            <w:pPr>
              <w:pStyle w:val="Tablesmalltext"/>
            </w:pPr>
            <w:r w:rsidRPr="00D74E65">
              <w:t>$ 30.98 m</w:t>
            </w:r>
          </w:p>
        </w:tc>
        <w:tc>
          <w:tcPr>
            <w:tcW w:w="1134" w:type="dxa"/>
            <w:shd w:val="clear" w:color="auto" w:fill="auto"/>
            <w:vAlign w:val="center"/>
            <w:hideMark/>
          </w:tcPr>
          <w:p w:rsidR="001A1771" w:rsidRPr="000766D4" w:rsidRDefault="001A1771" w:rsidP="00503E0C">
            <w:pPr>
              <w:pStyle w:val="Tablesmalltext"/>
            </w:pPr>
            <w:r w:rsidRPr="00D74E65">
              <w:t>$ 23.40 m</w:t>
            </w:r>
          </w:p>
        </w:tc>
        <w:tc>
          <w:tcPr>
            <w:tcW w:w="1418" w:type="dxa"/>
            <w:shd w:val="clear" w:color="auto" w:fill="auto"/>
            <w:vAlign w:val="center"/>
            <w:hideMark/>
          </w:tcPr>
          <w:p w:rsidR="001A1771" w:rsidRPr="000766D4" w:rsidRDefault="001A1771" w:rsidP="00503E0C">
            <w:pPr>
              <w:pStyle w:val="Tablesmalltext"/>
            </w:pPr>
            <w:r w:rsidRPr="00D74E65">
              <w:t>$ 9.88 m</w:t>
            </w:r>
          </w:p>
        </w:tc>
        <w:tc>
          <w:tcPr>
            <w:tcW w:w="1417" w:type="dxa"/>
            <w:shd w:val="clear" w:color="auto" w:fill="auto"/>
            <w:vAlign w:val="center"/>
            <w:hideMark/>
          </w:tcPr>
          <w:p w:rsidR="001A1771" w:rsidRPr="000766D4" w:rsidRDefault="001A1771" w:rsidP="00B42933">
            <w:pPr>
              <w:pStyle w:val="Tablesmalltext"/>
            </w:pPr>
            <w:r w:rsidRPr="00D74E65">
              <w:t xml:space="preserve">$ </w:t>
            </w:r>
            <w:r w:rsidR="00B42933">
              <w:t>15.23</w:t>
            </w:r>
            <w:r w:rsidRPr="00D74E65">
              <w:t xml:space="preserve"> m</w:t>
            </w:r>
          </w:p>
        </w:tc>
        <w:tc>
          <w:tcPr>
            <w:tcW w:w="1276" w:type="dxa"/>
            <w:shd w:val="clear" w:color="000000" w:fill="D0CECB"/>
            <w:vAlign w:val="center"/>
            <w:hideMark/>
          </w:tcPr>
          <w:p w:rsidR="001A1771" w:rsidRPr="000766D4" w:rsidRDefault="00B42933" w:rsidP="00503E0C">
            <w:pPr>
              <w:pStyle w:val="Tablesmalltext"/>
            </w:pPr>
            <w:r>
              <w:t>$ 64.3</w:t>
            </w:r>
            <w:r w:rsidR="001A1771" w:rsidRPr="00D74E65">
              <w:t>6 m</w:t>
            </w:r>
          </w:p>
        </w:tc>
        <w:tc>
          <w:tcPr>
            <w:tcW w:w="1276" w:type="dxa"/>
            <w:shd w:val="clear" w:color="000000" w:fill="D0CECB"/>
            <w:vAlign w:val="center"/>
            <w:hideMark/>
          </w:tcPr>
          <w:p w:rsidR="001A1771" w:rsidRPr="000766D4" w:rsidRDefault="00B42933" w:rsidP="00503E0C">
            <w:pPr>
              <w:pStyle w:val="Tablesmalltext"/>
            </w:pPr>
            <w:r>
              <w:t>$ 69.61</w:t>
            </w:r>
            <w:r w:rsidR="001A1771" w:rsidRPr="00D74E65">
              <w:t xml:space="preserve"> m</w:t>
            </w:r>
          </w:p>
        </w:tc>
      </w:tr>
      <w:tr w:rsidR="00F669FB" w:rsidRPr="000F5192" w:rsidTr="00390D1E">
        <w:trPr>
          <w:trHeight w:val="270"/>
        </w:trPr>
        <w:tc>
          <w:tcPr>
            <w:tcW w:w="2137" w:type="dxa"/>
            <w:shd w:val="clear" w:color="000000" w:fill="D0CECB"/>
            <w:vAlign w:val="center"/>
            <w:hideMark/>
          </w:tcPr>
          <w:p w:rsidR="001A1771" w:rsidRPr="003A1318" w:rsidRDefault="001A1771" w:rsidP="00503E0C">
            <w:pPr>
              <w:pStyle w:val="Tablesmalltext"/>
              <w:spacing w:before="0" w:after="0"/>
              <w:rPr>
                <w:rFonts w:cs="Times New Roman"/>
                <w:b/>
              </w:rPr>
            </w:pPr>
            <w:r w:rsidRPr="003A1318">
              <w:rPr>
                <w:rFonts w:cs="Times New Roman"/>
                <w:b/>
              </w:rPr>
              <w:t xml:space="preserve">Total </w:t>
            </w:r>
          </w:p>
        </w:tc>
        <w:tc>
          <w:tcPr>
            <w:tcW w:w="1275" w:type="dxa"/>
            <w:shd w:val="clear" w:color="000000" w:fill="D0CECB"/>
            <w:vAlign w:val="center"/>
            <w:hideMark/>
          </w:tcPr>
          <w:p w:rsidR="001A1771" w:rsidRPr="000766D4" w:rsidRDefault="001A1771" w:rsidP="00503E0C">
            <w:pPr>
              <w:pStyle w:val="Tablesmalltext"/>
              <w:rPr>
                <w:b/>
              </w:rPr>
            </w:pPr>
            <w:r w:rsidRPr="00D74E65">
              <w:rPr>
                <w:b/>
              </w:rPr>
              <w:t>$ 77.84 m</w:t>
            </w:r>
          </w:p>
        </w:tc>
        <w:tc>
          <w:tcPr>
            <w:tcW w:w="1134" w:type="dxa"/>
            <w:shd w:val="clear" w:color="000000" w:fill="D0CECB"/>
            <w:vAlign w:val="center"/>
            <w:hideMark/>
          </w:tcPr>
          <w:p w:rsidR="001A1771" w:rsidRPr="000766D4" w:rsidRDefault="001A1771" w:rsidP="00503E0C">
            <w:pPr>
              <w:pStyle w:val="Tablesmalltext"/>
              <w:rPr>
                <w:b/>
              </w:rPr>
            </w:pPr>
            <w:r w:rsidRPr="00D74E65">
              <w:rPr>
                <w:b/>
              </w:rPr>
              <w:t>$ 57.71 m</w:t>
            </w:r>
          </w:p>
        </w:tc>
        <w:tc>
          <w:tcPr>
            <w:tcW w:w="1418" w:type="dxa"/>
            <w:shd w:val="clear" w:color="000000" w:fill="D0CECB"/>
            <w:vAlign w:val="center"/>
            <w:hideMark/>
          </w:tcPr>
          <w:p w:rsidR="001A1771" w:rsidRPr="000766D4" w:rsidRDefault="00B42933" w:rsidP="00503E0C">
            <w:pPr>
              <w:pStyle w:val="Tablesmalltext"/>
              <w:rPr>
                <w:b/>
              </w:rPr>
            </w:pPr>
            <w:r>
              <w:rPr>
                <w:b/>
              </w:rPr>
              <w:t>$ 27.93</w:t>
            </w:r>
            <w:r w:rsidR="001A1771" w:rsidRPr="00D74E65">
              <w:rPr>
                <w:b/>
              </w:rPr>
              <w:t xml:space="preserve"> m</w:t>
            </w:r>
          </w:p>
        </w:tc>
        <w:tc>
          <w:tcPr>
            <w:tcW w:w="1417" w:type="dxa"/>
            <w:shd w:val="clear" w:color="000000" w:fill="D0CECB"/>
            <w:vAlign w:val="center"/>
            <w:hideMark/>
          </w:tcPr>
          <w:p w:rsidR="001A1771" w:rsidRPr="000766D4" w:rsidRDefault="001A1771" w:rsidP="00B42933">
            <w:pPr>
              <w:pStyle w:val="Tablesmalltext"/>
              <w:rPr>
                <w:b/>
              </w:rPr>
            </w:pPr>
            <w:r w:rsidRPr="00D74E65">
              <w:rPr>
                <w:b/>
              </w:rPr>
              <w:t>$ 4</w:t>
            </w:r>
            <w:r w:rsidR="00B42933">
              <w:rPr>
                <w:b/>
              </w:rPr>
              <w:t>2.3</w:t>
            </w:r>
            <w:r w:rsidRPr="00D74E65">
              <w:rPr>
                <w:b/>
              </w:rPr>
              <w:t>4 m</w:t>
            </w:r>
          </w:p>
        </w:tc>
        <w:tc>
          <w:tcPr>
            <w:tcW w:w="1276" w:type="dxa"/>
            <w:shd w:val="clear" w:color="000000" w:fill="D0CECB"/>
            <w:vAlign w:val="center"/>
            <w:hideMark/>
          </w:tcPr>
          <w:p w:rsidR="001A1771" w:rsidRPr="000766D4" w:rsidRDefault="001A1771" w:rsidP="00B42933">
            <w:pPr>
              <w:pStyle w:val="Tablesmalltext"/>
              <w:rPr>
                <w:b/>
              </w:rPr>
            </w:pPr>
            <w:r w:rsidRPr="00D74E65">
              <w:rPr>
                <w:b/>
              </w:rPr>
              <w:t>$ 16</w:t>
            </w:r>
            <w:r w:rsidR="00B42933">
              <w:rPr>
                <w:b/>
              </w:rPr>
              <w:t>3.48</w:t>
            </w:r>
            <w:r w:rsidRPr="00D74E65">
              <w:rPr>
                <w:b/>
              </w:rPr>
              <w:t xml:space="preserve"> m</w:t>
            </w:r>
          </w:p>
        </w:tc>
        <w:tc>
          <w:tcPr>
            <w:tcW w:w="1276" w:type="dxa"/>
            <w:shd w:val="clear" w:color="000000" w:fill="D0CECB"/>
            <w:vAlign w:val="center"/>
            <w:hideMark/>
          </w:tcPr>
          <w:p w:rsidR="001A1771" w:rsidRPr="000766D4" w:rsidRDefault="001A1771" w:rsidP="00B42933">
            <w:pPr>
              <w:pStyle w:val="Tablesmalltext"/>
              <w:rPr>
                <w:b/>
              </w:rPr>
            </w:pPr>
            <w:r w:rsidRPr="00D74E65">
              <w:rPr>
                <w:b/>
              </w:rPr>
              <w:t>$ 17</w:t>
            </w:r>
            <w:r w:rsidR="00B42933">
              <w:rPr>
                <w:b/>
              </w:rPr>
              <w:t>7.8</w:t>
            </w:r>
            <w:r w:rsidRPr="00D74E65">
              <w:rPr>
                <w:b/>
              </w:rPr>
              <w:t>9 m</w:t>
            </w:r>
          </w:p>
        </w:tc>
      </w:tr>
    </w:tbl>
    <w:p w:rsidR="00390D1E" w:rsidRDefault="00390D1E" w:rsidP="003001DF">
      <w:pPr>
        <w:pStyle w:val="Caption"/>
        <w:spacing w:before="0"/>
      </w:pPr>
      <w:bookmarkStart w:id="59" w:name="_Ref373498977"/>
      <w:bookmarkStart w:id="60" w:name="_Ref373498940"/>
      <w:bookmarkEnd w:id="56"/>
      <w:r>
        <w:t xml:space="preserve">Table </w:t>
      </w:r>
      <w:r w:rsidR="006768F1">
        <w:fldChar w:fldCharType="begin"/>
      </w:r>
      <w:r w:rsidR="00F843FC">
        <w:instrText xml:space="preserve"> SEQ Table \* ARABIC </w:instrText>
      </w:r>
      <w:r w:rsidR="006768F1">
        <w:fldChar w:fldCharType="separate"/>
      </w:r>
      <w:r w:rsidR="00516D07">
        <w:rPr>
          <w:noProof/>
        </w:rPr>
        <w:t>22</w:t>
      </w:r>
      <w:r w:rsidR="006768F1">
        <w:fldChar w:fldCharType="end"/>
      </w:r>
      <w:bookmarkEnd w:id="59"/>
      <w:r>
        <w:t>: TEV quantified (present value dollars)</w:t>
      </w:r>
      <w:bookmarkEnd w:id="60"/>
    </w:p>
    <w:tbl>
      <w:tblPr>
        <w:tblW w:w="9923" w:type="dxa"/>
        <w:tblInd w:w="108" w:type="dxa"/>
        <w:tblBorders>
          <w:top w:val="single" w:sz="8" w:space="0" w:color="79746C" w:themeColor="accent1" w:themeShade="80"/>
          <w:left w:val="single" w:sz="8" w:space="0" w:color="79746C" w:themeColor="accent1" w:themeShade="80"/>
          <w:bottom w:val="single" w:sz="8" w:space="0" w:color="79746C" w:themeColor="accent1" w:themeShade="80"/>
          <w:right w:val="single" w:sz="8" w:space="0" w:color="79746C" w:themeColor="accent1" w:themeShade="80"/>
          <w:insideH w:val="single" w:sz="8" w:space="0" w:color="79746C" w:themeColor="accent1" w:themeShade="80"/>
          <w:insideV w:val="single" w:sz="8" w:space="0" w:color="79746C" w:themeColor="accent1" w:themeShade="80"/>
        </w:tblBorders>
        <w:tblCellMar>
          <w:left w:w="0" w:type="dxa"/>
          <w:right w:w="0" w:type="dxa"/>
        </w:tblCellMar>
        <w:tblLook w:val="04A0"/>
      </w:tblPr>
      <w:tblGrid>
        <w:gridCol w:w="2127"/>
        <w:gridCol w:w="1299"/>
        <w:gridCol w:w="1299"/>
        <w:gridCol w:w="1300"/>
        <w:gridCol w:w="1299"/>
        <w:gridCol w:w="1299"/>
        <w:gridCol w:w="1300"/>
      </w:tblGrid>
      <w:tr w:rsidR="00F669FB" w:rsidTr="00B63738">
        <w:trPr>
          <w:trHeight w:val="270"/>
        </w:trPr>
        <w:tc>
          <w:tcPr>
            <w:tcW w:w="2127" w:type="dxa"/>
            <w:shd w:val="clear" w:color="auto" w:fill="5185C0"/>
            <w:tcMar>
              <w:top w:w="0" w:type="dxa"/>
              <w:left w:w="108" w:type="dxa"/>
              <w:bottom w:w="0" w:type="dxa"/>
              <w:right w:w="108" w:type="dxa"/>
            </w:tcMar>
            <w:vAlign w:val="center"/>
            <w:hideMark/>
          </w:tcPr>
          <w:p w:rsidR="00390D1E" w:rsidRDefault="00390D1E" w:rsidP="00390D1E">
            <w:pPr>
              <w:pStyle w:val="Tablesmallheading"/>
              <w:rPr>
                <w:rFonts w:eastAsiaTheme="minorHAnsi" w:cs="Arial"/>
                <w:bCs/>
                <w:color w:val="939598"/>
                <w:sz w:val="20"/>
                <w:szCs w:val="20"/>
                <w:lang w:eastAsia="en-AU"/>
              </w:rPr>
            </w:pPr>
            <w:r>
              <w:rPr>
                <w:rFonts w:cs="Arial"/>
                <w:bCs/>
                <w:color w:val="939598"/>
                <w:sz w:val="20"/>
                <w:szCs w:val="20"/>
                <w:lang w:eastAsia="en-AU"/>
              </w:rPr>
              <w:t> </w:t>
            </w:r>
            <w:r>
              <w:rPr>
                <w:lang w:eastAsia="en-AU"/>
              </w:rPr>
              <w:t>Quantified values</w:t>
            </w:r>
          </w:p>
        </w:tc>
        <w:tc>
          <w:tcPr>
            <w:tcW w:w="1299" w:type="dxa"/>
            <w:shd w:val="clear" w:color="auto" w:fill="5185C0"/>
            <w:tcMar>
              <w:top w:w="0" w:type="dxa"/>
              <w:left w:w="108" w:type="dxa"/>
              <w:bottom w:w="0" w:type="dxa"/>
              <w:right w:w="108" w:type="dxa"/>
            </w:tcMar>
            <w:vAlign w:val="center"/>
            <w:hideMark/>
          </w:tcPr>
          <w:p w:rsidR="00390D1E" w:rsidRDefault="00390D1E" w:rsidP="00390D1E">
            <w:pPr>
              <w:pStyle w:val="Tablesmallheading"/>
              <w:rPr>
                <w:rFonts w:eastAsiaTheme="minorHAnsi"/>
                <w:lang w:eastAsia="en-AU"/>
              </w:rPr>
            </w:pPr>
            <w:r>
              <w:rPr>
                <w:lang w:eastAsia="en-AU"/>
              </w:rPr>
              <w:t>Phase 1</w:t>
            </w:r>
          </w:p>
        </w:tc>
        <w:tc>
          <w:tcPr>
            <w:tcW w:w="1299" w:type="dxa"/>
            <w:shd w:val="clear" w:color="auto" w:fill="5185C0"/>
            <w:tcMar>
              <w:top w:w="0" w:type="dxa"/>
              <w:left w:w="108" w:type="dxa"/>
              <w:bottom w:w="0" w:type="dxa"/>
              <w:right w:w="108" w:type="dxa"/>
            </w:tcMar>
            <w:vAlign w:val="center"/>
            <w:hideMark/>
          </w:tcPr>
          <w:p w:rsidR="00390D1E" w:rsidRDefault="00390D1E" w:rsidP="00390D1E">
            <w:pPr>
              <w:pStyle w:val="Tablesmallheading"/>
              <w:rPr>
                <w:rFonts w:eastAsiaTheme="minorHAnsi"/>
                <w:lang w:eastAsia="en-AU"/>
              </w:rPr>
            </w:pPr>
            <w:r>
              <w:rPr>
                <w:lang w:eastAsia="en-AU"/>
              </w:rPr>
              <w:t>Phase 2</w:t>
            </w:r>
          </w:p>
        </w:tc>
        <w:tc>
          <w:tcPr>
            <w:tcW w:w="1300" w:type="dxa"/>
            <w:shd w:val="clear" w:color="auto" w:fill="5185C0"/>
            <w:tcMar>
              <w:top w:w="0" w:type="dxa"/>
              <w:left w:w="108" w:type="dxa"/>
              <w:bottom w:w="0" w:type="dxa"/>
              <w:right w:w="108" w:type="dxa"/>
            </w:tcMar>
            <w:vAlign w:val="center"/>
            <w:hideMark/>
          </w:tcPr>
          <w:p w:rsidR="00390D1E" w:rsidRPr="000F5192" w:rsidRDefault="00390D1E" w:rsidP="0044428D">
            <w:pPr>
              <w:pStyle w:val="Tablesmallheading"/>
              <w:rPr>
                <w:lang w:eastAsia="en-AU"/>
              </w:rPr>
            </w:pPr>
            <w:r w:rsidRPr="000F5192">
              <w:rPr>
                <w:lang w:eastAsia="en-AU"/>
              </w:rPr>
              <w:t>Phase 3 (completed)</w:t>
            </w:r>
          </w:p>
        </w:tc>
        <w:tc>
          <w:tcPr>
            <w:tcW w:w="1299" w:type="dxa"/>
            <w:shd w:val="clear" w:color="auto" w:fill="5185C0"/>
            <w:tcMar>
              <w:top w:w="0" w:type="dxa"/>
              <w:left w:w="108" w:type="dxa"/>
              <w:bottom w:w="0" w:type="dxa"/>
              <w:right w:w="108" w:type="dxa"/>
            </w:tcMar>
            <w:vAlign w:val="center"/>
            <w:hideMark/>
          </w:tcPr>
          <w:p w:rsidR="00390D1E" w:rsidRPr="000F5192" w:rsidRDefault="00390D1E" w:rsidP="0044428D">
            <w:pPr>
              <w:pStyle w:val="Tablesmallheading"/>
              <w:rPr>
                <w:lang w:eastAsia="en-AU"/>
              </w:rPr>
            </w:pPr>
            <w:r w:rsidRPr="000F5192">
              <w:rPr>
                <w:lang w:eastAsia="en-AU"/>
              </w:rPr>
              <w:t>Phase 3 (completed as planned)</w:t>
            </w:r>
          </w:p>
        </w:tc>
        <w:tc>
          <w:tcPr>
            <w:tcW w:w="1299" w:type="dxa"/>
            <w:shd w:val="clear" w:color="auto" w:fill="5185C0"/>
            <w:tcMar>
              <w:top w:w="0" w:type="dxa"/>
              <w:left w:w="108" w:type="dxa"/>
              <w:bottom w:w="0" w:type="dxa"/>
              <w:right w:w="108" w:type="dxa"/>
            </w:tcMar>
            <w:vAlign w:val="center"/>
            <w:hideMark/>
          </w:tcPr>
          <w:p w:rsidR="00390D1E" w:rsidRPr="000F5192" w:rsidRDefault="00390D1E" w:rsidP="0044428D">
            <w:pPr>
              <w:pStyle w:val="Tablesmallheading"/>
              <w:rPr>
                <w:lang w:eastAsia="en-AU"/>
              </w:rPr>
            </w:pPr>
            <w:r w:rsidRPr="000F5192">
              <w:rPr>
                <w:lang w:eastAsia="en-AU"/>
              </w:rPr>
              <w:t>TOTAL to June 2013</w:t>
            </w:r>
          </w:p>
        </w:tc>
        <w:tc>
          <w:tcPr>
            <w:tcW w:w="1300" w:type="dxa"/>
            <w:shd w:val="clear" w:color="auto" w:fill="5185C0"/>
            <w:tcMar>
              <w:top w:w="0" w:type="dxa"/>
              <w:left w:w="108" w:type="dxa"/>
              <w:bottom w:w="0" w:type="dxa"/>
              <w:right w:w="108" w:type="dxa"/>
            </w:tcMar>
            <w:vAlign w:val="center"/>
            <w:hideMark/>
          </w:tcPr>
          <w:p w:rsidR="00390D1E" w:rsidRPr="000F5192" w:rsidRDefault="00390D1E" w:rsidP="0044428D">
            <w:pPr>
              <w:pStyle w:val="Tablesmallheading"/>
              <w:rPr>
                <w:lang w:eastAsia="en-AU"/>
              </w:rPr>
            </w:pPr>
            <w:r w:rsidRPr="000F5192">
              <w:rPr>
                <w:lang w:eastAsia="en-AU"/>
              </w:rPr>
              <w:t>TOTAL to June 2014</w:t>
            </w:r>
          </w:p>
        </w:tc>
      </w:tr>
      <w:tr w:rsidR="00F669FB" w:rsidTr="00B63738">
        <w:trPr>
          <w:trHeight w:val="525"/>
        </w:trPr>
        <w:tc>
          <w:tcPr>
            <w:tcW w:w="2127" w:type="dxa"/>
            <w:tcMar>
              <w:top w:w="0" w:type="dxa"/>
              <w:left w:w="108" w:type="dxa"/>
              <w:bottom w:w="0" w:type="dxa"/>
              <w:right w:w="108" w:type="dxa"/>
            </w:tcMar>
            <w:vAlign w:val="center"/>
            <w:hideMark/>
          </w:tcPr>
          <w:p w:rsidR="00390D1E" w:rsidRPr="00390D1E" w:rsidRDefault="00390D1E" w:rsidP="00390D1E">
            <w:pPr>
              <w:pStyle w:val="Tablesmalltext"/>
            </w:pPr>
            <w:r w:rsidRPr="00390D1E">
              <w:t xml:space="preserve">Consumptive benefits from reallocated water </w:t>
            </w:r>
          </w:p>
        </w:tc>
        <w:tc>
          <w:tcPr>
            <w:tcW w:w="1299" w:type="dxa"/>
            <w:tcMar>
              <w:top w:w="0" w:type="dxa"/>
              <w:left w:w="108" w:type="dxa"/>
              <w:bottom w:w="0" w:type="dxa"/>
              <w:right w:w="108" w:type="dxa"/>
            </w:tcMar>
            <w:vAlign w:val="center"/>
            <w:hideMark/>
          </w:tcPr>
          <w:p w:rsidR="00390D1E" w:rsidRPr="00390D1E" w:rsidRDefault="00390D1E" w:rsidP="00390D1E">
            <w:pPr>
              <w:pStyle w:val="Tablesmalltext"/>
            </w:pPr>
            <w:r w:rsidRPr="00390D1E">
              <w:t>$ 52.36 m</w:t>
            </w:r>
          </w:p>
        </w:tc>
        <w:tc>
          <w:tcPr>
            <w:tcW w:w="1299" w:type="dxa"/>
            <w:tcMar>
              <w:top w:w="0" w:type="dxa"/>
              <w:left w:w="108" w:type="dxa"/>
              <w:bottom w:w="0" w:type="dxa"/>
              <w:right w:w="108" w:type="dxa"/>
            </w:tcMar>
            <w:vAlign w:val="center"/>
            <w:hideMark/>
          </w:tcPr>
          <w:p w:rsidR="00390D1E" w:rsidRPr="00390D1E" w:rsidRDefault="00390D1E" w:rsidP="00390D1E">
            <w:pPr>
              <w:pStyle w:val="Tablesmalltext"/>
            </w:pPr>
            <w:r w:rsidRPr="00390D1E">
              <w:t>$ 27.33 m</w:t>
            </w:r>
          </w:p>
        </w:tc>
        <w:tc>
          <w:tcPr>
            <w:tcW w:w="1300" w:type="dxa"/>
            <w:tcMar>
              <w:top w:w="0" w:type="dxa"/>
              <w:left w:w="108" w:type="dxa"/>
              <w:bottom w:w="0" w:type="dxa"/>
              <w:right w:w="108" w:type="dxa"/>
            </w:tcMar>
            <w:vAlign w:val="center"/>
            <w:hideMark/>
          </w:tcPr>
          <w:p w:rsidR="00390D1E" w:rsidRPr="00390D1E" w:rsidRDefault="00390D1E" w:rsidP="00B42933">
            <w:pPr>
              <w:pStyle w:val="Tablesmalltext"/>
            </w:pPr>
            <w:r w:rsidRPr="00390D1E">
              <w:t xml:space="preserve">$ </w:t>
            </w:r>
            <w:r w:rsidR="00B42933">
              <w:t>10.19</w:t>
            </w:r>
            <w:r w:rsidRPr="00390D1E">
              <w:t xml:space="preserve"> m</w:t>
            </w:r>
          </w:p>
        </w:tc>
        <w:tc>
          <w:tcPr>
            <w:tcW w:w="1299" w:type="dxa"/>
            <w:tcMar>
              <w:top w:w="0" w:type="dxa"/>
              <w:left w:w="108" w:type="dxa"/>
              <w:bottom w:w="0" w:type="dxa"/>
              <w:right w:w="108" w:type="dxa"/>
            </w:tcMar>
            <w:vAlign w:val="center"/>
            <w:hideMark/>
          </w:tcPr>
          <w:p w:rsidR="00390D1E" w:rsidRPr="00390D1E" w:rsidRDefault="00390D1E" w:rsidP="00B42933">
            <w:pPr>
              <w:pStyle w:val="Tablesmalltext"/>
            </w:pPr>
            <w:r w:rsidRPr="00390D1E">
              <w:t>$ 1</w:t>
            </w:r>
            <w:r w:rsidR="00B42933">
              <w:t>5.40</w:t>
            </w:r>
            <w:r w:rsidRPr="00390D1E">
              <w:t xml:space="preserve"> m</w:t>
            </w:r>
          </w:p>
        </w:tc>
        <w:tc>
          <w:tcPr>
            <w:tcW w:w="1299" w:type="dxa"/>
            <w:shd w:val="clear" w:color="auto" w:fill="D0CECB"/>
            <w:tcMar>
              <w:top w:w="0" w:type="dxa"/>
              <w:left w:w="108" w:type="dxa"/>
              <w:bottom w:w="0" w:type="dxa"/>
              <w:right w:w="108" w:type="dxa"/>
            </w:tcMar>
            <w:vAlign w:val="center"/>
            <w:hideMark/>
          </w:tcPr>
          <w:p w:rsidR="00390D1E" w:rsidRPr="00390D1E" w:rsidRDefault="00B42933" w:rsidP="00390D1E">
            <w:pPr>
              <w:pStyle w:val="Tablesmalltext"/>
            </w:pPr>
            <w:r>
              <w:t>$ 89.88</w:t>
            </w:r>
            <w:r w:rsidR="00390D1E" w:rsidRPr="00390D1E">
              <w:t xml:space="preserve"> m</w:t>
            </w:r>
          </w:p>
        </w:tc>
        <w:tc>
          <w:tcPr>
            <w:tcW w:w="1300"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pPr>
            <w:r w:rsidRPr="00390D1E">
              <w:t>$ 9</w:t>
            </w:r>
            <w:r w:rsidR="00B42933">
              <w:t>5.08</w:t>
            </w:r>
            <w:r w:rsidRPr="00390D1E">
              <w:t xml:space="preserve"> m</w:t>
            </w:r>
          </w:p>
        </w:tc>
      </w:tr>
      <w:tr w:rsidR="00F669FB" w:rsidTr="00B63738">
        <w:trPr>
          <w:trHeight w:val="270"/>
        </w:trPr>
        <w:tc>
          <w:tcPr>
            <w:tcW w:w="2127" w:type="dxa"/>
            <w:noWrap/>
            <w:tcMar>
              <w:top w:w="0" w:type="dxa"/>
              <w:left w:w="108" w:type="dxa"/>
              <w:bottom w:w="0" w:type="dxa"/>
              <w:right w:w="108" w:type="dxa"/>
            </w:tcMar>
            <w:vAlign w:val="center"/>
            <w:hideMark/>
          </w:tcPr>
          <w:p w:rsidR="00390D1E" w:rsidRPr="00390D1E" w:rsidRDefault="00390D1E" w:rsidP="00390D1E">
            <w:pPr>
              <w:pStyle w:val="Tablesmalltext"/>
            </w:pPr>
            <w:r w:rsidRPr="00390D1E">
              <w:t>Indirect benefits to rural communities</w:t>
            </w:r>
          </w:p>
        </w:tc>
        <w:tc>
          <w:tcPr>
            <w:tcW w:w="1299" w:type="dxa"/>
            <w:tcMar>
              <w:top w:w="0" w:type="dxa"/>
              <w:left w:w="108" w:type="dxa"/>
              <w:bottom w:w="0" w:type="dxa"/>
              <w:right w:w="108" w:type="dxa"/>
            </w:tcMar>
            <w:vAlign w:val="center"/>
            <w:hideMark/>
          </w:tcPr>
          <w:p w:rsidR="00390D1E" w:rsidRPr="00390D1E" w:rsidRDefault="00390D1E" w:rsidP="00390D1E">
            <w:pPr>
              <w:pStyle w:val="Tablesmalltext"/>
            </w:pPr>
            <w:r w:rsidRPr="00390D1E">
              <w:t>$ 22.79 m</w:t>
            </w:r>
          </w:p>
        </w:tc>
        <w:tc>
          <w:tcPr>
            <w:tcW w:w="1299" w:type="dxa"/>
            <w:tcMar>
              <w:top w:w="0" w:type="dxa"/>
              <w:left w:w="108" w:type="dxa"/>
              <w:bottom w:w="0" w:type="dxa"/>
              <w:right w:w="108" w:type="dxa"/>
            </w:tcMar>
            <w:vAlign w:val="center"/>
            <w:hideMark/>
          </w:tcPr>
          <w:p w:rsidR="00390D1E" w:rsidRPr="00390D1E" w:rsidRDefault="00390D1E" w:rsidP="00390D1E">
            <w:pPr>
              <w:pStyle w:val="Tablesmalltext"/>
            </w:pPr>
            <w:r w:rsidRPr="00390D1E">
              <w:t>$ 13.61 m</w:t>
            </w:r>
          </w:p>
        </w:tc>
        <w:tc>
          <w:tcPr>
            <w:tcW w:w="1300" w:type="dxa"/>
            <w:tcMar>
              <w:top w:w="0" w:type="dxa"/>
              <w:left w:w="108" w:type="dxa"/>
              <w:bottom w:w="0" w:type="dxa"/>
              <w:right w:w="108" w:type="dxa"/>
            </w:tcMar>
            <w:vAlign w:val="center"/>
            <w:hideMark/>
          </w:tcPr>
          <w:p w:rsidR="00390D1E" w:rsidRPr="00390D1E" w:rsidRDefault="00B42933" w:rsidP="00390D1E">
            <w:pPr>
              <w:pStyle w:val="Tablesmalltext"/>
            </w:pPr>
            <w:r>
              <w:t>$ 4.62</w:t>
            </w:r>
            <w:r w:rsidR="00390D1E" w:rsidRPr="00390D1E">
              <w:t xml:space="preserve"> m</w:t>
            </w:r>
          </w:p>
        </w:tc>
        <w:tc>
          <w:tcPr>
            <w:tcW w:w="1299" w:type="dxa"/>
            <w:tcMar>
              <w:top w:w="0" w:type="dxa"/>
              <w:left w:w="108" w:type="dxa"/>
              <w:bottom w:w="0" w:type="dxa"/>
              <w:right w:w="108" w:type="dxa"/>
            </w:tcMar>
            <w:vAlign w:val="center"/>
            <w:hideMark/>
          </w:tcPr>
          <w:p w:rsidR="00390D1E" w:rsidRPr="00390D1E" w:rsidRDefault="00390D1E" w:rsidP="00B42933">
            <w:pPr>
              <w:pStyle w:val="Tablesmalltext"/>
            </w:pPr>
            <w:r w:rsidRPr="00390D1E">
              <w:t xml:space="preserve">$ </w:t>
            </w:r>
            <w:r w:rsidR="00B42933">
              <w:t>7.05</w:t>
            </w:r>
            <w:r w:rsidRPr="00390D1E">
              <w:t xml:space="preserve"> m</w:t>
            </w:r>
          </w:p>
        </w:tc>
        <w:tc>
          <w:tcPr>
            <w:tcW w:w="1299"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pPr>
            <w:r w:rsidRPr="00390D1E">
              <w:t>$ 4</w:t>
            </w:r>
            <w:r w:rsidR="00B42933">
              <w:t>1.02</w:t>
            </w:r>
            <w:r w:rsidRPr="00390D1E">
              <w:t xml:space="preserve"> m</w:t>
            </w:r>
          </w:p>
        </w:tc>
        <w:tc>
          <w:tcPr>
            <w:tcW w:w="1300"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pPr>
            <w:r w:rsidRPr="00390D1E">
              <w:t>$ 43.</w:t>
            </w:r>
            <w:r w:rsidR="00B42933">
              <w:t>45</w:t>
            </w:r>
            <w:r w:rsidRPr="00390D1E">
              <w:t xml:space="preserve"> m</w:t>
            </w:r>
          </w:p>
        </w:tc>
      </w:tr>
      <w:tr w:rsidR="00F669FB" w:rsidTr="00B63738">
        <w:trPr>
          <w:trHeight w:val="270"/>
        </w:trPr>
        <w:tc>
          <w:tcPr>
            <w:tcW w:w="2127" w:type="dxa"/>
            <w:noWrap/>
            <w:tcMar>
              <w:top w:w="0" w:type="dxa"/>
              <w:left w:w="108" w:type="dxa"/>
              <w:bottom w:w="0" w:type="dxa"/>
              <w:right w:w="108" w:type="dxa"/>
            </w:tcMar>
            <w:vAlign w:val="center"/>
            <w:hideMark/>
          </w:tcPr>
          <w:p w:rsidR="00390D1E" w:rsidRPr="00390D1E" w:rsidRDefault="00390D1E" w:rsidP="00390D1E">
            <w:pPr>
              <w:pStyle w:val="Tablesmalltext"/>
            </w:pPr>
            <w:r w:rsidRPr="00390D1E">
              <w:t>Greenhouse gas abatement benefits</w:t>
            </w:r>
          </w:p>
        </w:tc>
        <w:tc>
          <w:tcPr>
            <w:tcW w:w="1299" w:type="dxa"/>
            <w:tcMar>
              <w:top w:w="0" w:type="dxa"/>
              <w:left w:w="108" w:type="dxa"/>
              <w:bottom w:w="0" w:type="dxa"/>
              <w:right w:w="108" w:type="dxa"/>
            </w:tcMar>
            <w:vAlign w:val="center"/>
            <w:hideMark/>
          </w:tcPr>
          <w:p w:rsidR="00390D1E" w:rsidRPr="00390D1E" w:rsidRDefault="00390D1E" w:rsidP="00390D1E">
            <w:pPr>
              <w:pStyle w:val="Tablesmalltext"/>
            </w:pPr>
            <w:r w:rsidRPr="00390D1E">
              <w:t>$ 46.28 m</w:t>
            </w:r>
          </w:p>
        </w:tc>
        <w:tc>
          <w:tcPr>
            <w:tcW w:w="1299" w:type="dxa"/>
            <w:tcMar>
              <w:top w:w="0" w:type="dxa"/>
              <w:left w:w="108" w:type="dxa"/>
              <w:bottom w:w="0" w:type="dxa"/>
              <w:right w:w="108" w:type="dxa"/>
            </w:tcMar>
            <w:vAlign w:val="center"/>
            <w:hideMark/>
          </w:tcPr>
          <w:p w:rsidR="00390D1E" w:rsidRPr="00390D1E" w:rsidRDefault="00390D1E" w:rsidP="00390D1E">
            <w:pPr>
              <w:pStyle w:val="Tablesmalltext"/>
            </w:pPr>
            <w:r w:rsidRPr="00390D1E">
              <w:t>$ 24.16 m</w:t>
            </w:r>
          </w:p>
        </w:tc>
        <w:tc>
          <w:tcPr>
            <w:tcW w:w="1300" w:type="dxa"/>
            <w:tcMar>
              <w:top w:w="0" w:type="dxa"/>
              <w:left w:w="108" w:type="dxa"/>
              <w:bottom w:w="0" w:type="dxa"/>
              <w:right w:w="108" w:type="dxa"/>
            </w:tcMar>
            <w:vAlign w:val="center"/>
            <w:hideMark/>
          </w:tcPr>
          <w:p w:rsidR="00390D1E" w:rsidRPr="00390D1E" w:rsidRDefault="00390D1E" w:rsidP="00B42933">
            <w:pPr>
              <w:pStyle w:val="Tablesmalltext"/>
            </w:pPr>
            <w:r w:rsidRPr="00390D1E">
              <w:t xml:space="preserve">$ </w:t>
            </w:r>
            <w:r w:rsidR="00B42933">
              <w:t>9.01</w:t>
            </w:r>
            <w:r w:rsidRPr="00390D1E">
              <w:t xml:space="preserve"> m</w:t>
            </w:r>
          </w:p>
        </w:tc>
        <w:tc>
          <w:tcPr>
            <w:tcW w:w="1299" w:type="dxa"/>
            <w:tcMar>
              <w:top w:w="0" w:type="dxa"/>
              <w:left w:w="108" w:type="dxa"/>
              <w:bottom w:w="0" w:type="dxa"/>
              <w:right w:w="108" w:type="dxa"/>
            </w:tcMar>
            <w:vAlign w:val="center"/>
            <w:hideMark/>
          </w:tcPr>
          <w:p w:rsidR="00390D1E" w:rsidRPr="00390D1E" w:rsidRDefault="00B42933" w:rsidP="00390D1E">
            <w:pPr>
              <w:pStyle w:val="Tablesmalltext"/>
            </w:pPr>
            <w:r>
              <w:t>$ 13.61</w:t>
            </w:r>
            <w:r w:rsidR="00390D1E" w:rsidRPr="00390D1E">
              <w:t xml:space="preserve"> m</w:t>
            </w:r>
          </w:p>
        </w:tc>
        <w:tc>
          <w:tcPr>
            <w:tcW w:w="1299" w:type="dxa"/>
            <w:shd w:val="clear" w:color="auto" w:fill="D0CECB"/>
            <w:tcMar>
              <w:top w:w="0" w:type="dxa"/>
              <w:left w:w="108" w:type="dxa"/>
              <w:bottom w:w="0" w:type="dxa"/>
              <w:right w:w="108" w:type="dxa"/>
            </w:tcMar>
            <w:vAlign w:val="center"/>
            <w:hideMark/>
          </w:tcPr>
          <w:p w:rsidR="00390D1E" w:rsidRPr="00390D1E" w:rsidRDefault="00B42933" w:rsidP="00390D1E">
            <w:pPr>
              <w:pStyle w:val="Tablesmalltext"/>
            </w:pPr>
            <w:r>
              <w:t>$ 79.45</w:t>
            </w:r>
            <w:r w:rsidR="00390D1E" w:rsidRPr="00390D1E">
              <w:t xml:space="preserve"> m</w:t>
            </w:r>
          </w:p>
        </w:tc>
        <w:tc>
          <w:tcPr>
            <w:tcW w:w="1300"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pPr>
            <w:r w:rsidRPr="00390D1E">
              <w:t>$ 8</w:t>
            </w:r>
            <w:r w:rsidR="00B42933">
              <w:t>4.05</w:t>
            </w:r>
            <w:r w:rsidRPr="00390D1E">
              <w:t xml:space="preserve"> m</w:t>
            </w:r>
          </w:p>
        </w:tc>
      </w:tr>
      <w:tr w:rsidR="00F669FB" w:rsidTr="00B63738">
        <w:trPr>
          <w:trHeight w:val="270"/>
        </w:trPr>
        <w:tc>
          <w:tcPr>
            <w:tcW w:w="2127" w:type="dxa"/>
            <w:shd w:val="clear" w:color="auto" w:fill="D0CECB"/>
            <w:tcMar>
              <w:top w:w="0" w:type="dxa"/>
              <w:left w:w="108" w:type="dxa"/>
              <w:bottom w:w="0" w:type="dxa"/>
              <w:right w:w="108" w:type="dxa"/>
            </w:tcMar>
            <w:vAlign w:val="center"/>
            <w:hideMark/>
          </w:tcPr>
          <w:p w:rsidR="00390D1E" w:rsidRPr="00390D1E" w:rsidRDefault="00390D1E" w:rsidP="00390D1E">
            <w:pPr>
              <w:pStyle w:val="Tablesmalltext"/>
              <w:rPr>
                <w:b/>
              </w:rPr>
            </w:pPr>
            <w:r w:rsidRPr="00390D1E">
              <w:rPr>
                <w:b/>
              </w:rPr>
              <w:t xml:space="preserve">Total </w:t>
            </w:r>
          </w:p>
        </w:tc>
        <w:tc>
          <w:tcPr>
            <w:tcW w:w="1299" w:type="dxa"/>
            <w:shd w:val="clear" w:color="auto" w:fill="D0CECB"/>
            <w:tcMar>
              <w:top w:w="0" w:type="dxa"/>
              <w:left w:w="108" w:type="dxa"/>
              <w:bottom w:w="0" w:type="dxa"/>
              <w:right w:w="108" w:type="dxa"/>
            </w:tcMar>
            <w:vAlign w:val="center"/>
            <w:hideMark/>
          </w:tcPr>
          <w:p w:rsidR="00390D1E" w:rsidRPr="00390D1E" w:rsidRDefault="00390D1E" w:rsidP="00390D1E">
            <w:pPr>
              <w:pStyle w:val="Tablesmalltext"/>
              <w:rPr>
                <w:b/>
              </w:rPr>
            </w:pPr>
            <w:r w:rsidRPr="00390D1E">
              <w:rPr>
                <w:b/>
              </w:rPr>
              <w:t>$ 121.43 m</w:t>
            </w:r>
          </w:p>
        </w:tc>
        <w:tc>
          <w:tcPr>
            <w:tcW w:w="1299" w:type="dxa"/>
            <w:shd w:val="clear" w:color="auto" w:fill="D0CECB"/>
            <w:tcMar>
              <w:top w:w="0" w:type="dxa"/>
              <w:left w:w="108" w:type="dxa"/>
              <w:bottom w:w="0" w:type="dxa"/>
              <w:right w:w="108" w:type="dxa"/>
            </w:tcMar>
            <w:vAlign w:val="center"/>
            <w:hideMark/>
          </w:tcPr>
          <w:p w:rsidR="00390D1E" w:rsidRPr="00390D1E" w:rsidRDefault="00390D1E" w:rsidP="00390D1E">
            <w:pPr>
              <w:pStyle w:val="Tablesmalltext"/>
              <w:rPr>
                <w:b/>
              </w:rPr>
            </w:pPr>
            <w:r w:rsidRPr="00390D1E">
              <w:rPr>
                <w:b/>
              </w:rPr>
              <w:t>$ 65.09 m</w:t>
            </w:r>
          </w:p>
        </w:tc>
        <w:tc>
          <w:tcPr>
            <w:tcW w:w="1300"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rPr>
                <w:b/>
              </w:rPr>
            </w:pPr>
            <w:r w:rsidRPr="00390D1E">
              <w:rPr>
                <w:b/>
              </w:rPr>
              <w:t>$ 23.</w:t>
            </w:r>
            <w:r w:rsidR="00B42933">
              <w:rPr>
                <w:b/>
              </w:rPr>
              <w:t>83</w:t>
            </w:r>
            <w:r w:rsidRPr="00390D1E">
              <w:rPr>
                <w:b/>
              </w:rPr>
              <w:t xml:space="preserve"> m</w:t>
            </w:r>
          </w:p>
        </w:tc>
        <w:tc>
          <w:tcPr>
            <w:tcW w:w="1299"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rPr>
                <w:b/>
              </w:rPr>
            </w:pPr>
            <w:r w:rsidRPr="00390D1E">
              <w:rPr>
                <w:b/>
              </w:rPr>
              <w:t>$ 3</w:t>
            </w:r>
            <w:r w:rsidR="00B42933">
              <w:rPr>
                <w:b/>
              </w:rPr>
              <w:t>6.06</w:t>
            </w:r>
            <w:r w:rsidRPr="00390D1E">
              <w:rPr>
                <w:b/>
              </w:rPr>
              <w:t xml:space="preserve"> m</w:t>
            </w:r>
          </w:p>
        </w:tc>
        <w:tc>
          <w:tcPr>
            <w:tcW w:w="1299"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rPr>
                <w:b/>
              </w:rPr>
            </w:pPr>
            <w:r w:rsidRPr="00390D1E">
              <w:rPr>
                <w:b/>
              </w:rPr>
              <w:t>$ 2</w:t>
            </w:r>
            <w:r w:rsidR="00B42933">
              <w:rPr>
                <w:b/>
              </w:rPr>
              <w:t>10.35</w:t>
            </w:r>
            <w:r w:rsidRPr="00390D1E">
              <w:rPr>
                <w:b/>
              </w:rPr>
              <w:t xml:space="preserve"> m</w:t>
            </w:r>
          </w:p>
        </w:tc>
        <w:tc>
          <w:tcPr>
            <w:tcW w:w="1300" w:type="dxa"/>
            <w:shd w:val="clear" w:color="auto" w:fill="D0CECB"/>
            <w:tcMar>
              <w:top w:w="0" w:type="dxa"/>
              <w:left w:w="108" w:type="dxa"/>
              <w:bottom w:w="0" w:type="dxa"/>
              <w:right w:w="108" w:type="dxa"/>
            </w:tcMar>
            <w:vAlign w:val="center"/>
            <w:hideMark/>
          </w:tcPr>
          <w:p w:rsidR="00390D1E" w:rsidRPr="00390D1E" w:rsidRDefault="00390D1E" w:rsidP="00B42933">
            <w:pPr>
              <w:pStyle w:val="Tablesmalltext"/>
              <w:rPr>
                <w:b/>
              </w:rPr>
            </w:pPr>
            <w:r w:rsidRPr="00390D1E">
              <w:rPr>
                <w:b/>
              </w:rPr>
              <w:t xml:space="preserve">$ </w:t>
            </w:r>
            <w:r w:rsidR="00B42933">
              <w:rPr>
                <w:b/>
              </w:rPr>
              <w:t>222.58</w:t>
            </w:r>
            <w:r w:rsidRPr="00390D1E">
              <w:rPr>
                <w:b/>
              </w:rPr>
              <w:t xml:space="preserve"> m</w:t>
            </w:r>
          </w:p>
        </w:tc>
      </w:tr>
    </w:tbl>
    <w:p w:rsidR="001A1771" w:rsidRDefault="001A1771" w:rsidP="00085AEE">
      <w:pPr>
        <w:pStyle w:val="Caption"/>
        <w:spacing w:before="120" w:after="0"/>
      </w:pPr>
      <w:bookmarkStart w:id="61" w:name="_Ref373498981"/>
      <w:r w:rsidRPr="00B71EB9">
        <w:t xml:space="preserve">Figure </w:t>
      </w:r>
      <w:r w:rsidR="006768F1">
        <w:fldChar w:fldCharType="begin"/>
      </w:r>
      <w:r w:rsidR="00DB2AA7">
        <w:instrText xml:space="preserve"> SEQ Figure \* ARABIC </w:instrText>
      </w:r>
      <w:r w:rsidR="006768F1">
        <w:fldChar w:fldCharType="separate"/>
      </w:r>
      <w:r w:rsidR="00516D07">
        <w:rPr>
          <w:noProof/>
        </w:rPr>
        <w:t>8</w:t>
      </w:r>
      <w:r w:rsidR="006768F1">
        <w:fldChar w:fldCharType="end"/>
      </w:r>
      <w:bookmarkEnd w:id="61"/>
      <w:r w:rsidRPr="00B71EB9">
        <w:t xml:space="preserve">: </w:t>
      </w:r>
      <w:r>
        <w:t>TEV quantified (real 2013)</w:t>
      </w:r>
    </w:p>
    <w:p w:rsidR="001A1771" w:rsidRDefault="001A1771" w:rsidP="00F3167F">
      <w:pPr>
        <w:pStyle w:val="Para0"/>
        <w:spacing w:before="0"/>
      </w:pPr>
      <w:r w:rsidRPr="0034207E">
        <w:rPr>
          <w:noProof/>
          <w:lang w:eastAsia="en-AU"/>
        </w:rPr>
        <w:t xml:space="preserve"> </w:t>
      </w:r>
      <w:r w:rsidR="00F3167F">
        <w:rPr>
          <w:noProof/>
          <w:lang w:eastAsia="en-AU"/>
        </w:rPr>
        <w:drawing>
          <wp:inline distT="0" distB="0" distL="0" distR="0">
            <wp:extent cx="5563611" cy="30240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3611" cy="3024000"/>
                    </a:xfrm>
                    <a:prstGeom prst="rect">
                      <a:avLst/>
                    </a:prstGeom>
                    <a:noFill/>
                  </pic:spPr>
                </pic:pic>
              </a:graphicData>
            </a:graphic>
          </wp:inline>
        </w:drawing>
      </w:r>
    </w:p>
    <w:p w:rsidR="001A1771" w:rsidRDefault="001A1771" w:rsidP="00085AEE">
      <w:pPr>
        <w:pStyle w:val="Caption"/>
        <w:spacing w:before="120" w:after="0"/>
      </w:pPr>
      <w:bookmarkStart w:id="62" w:name="_Ref373397903"/>
      <w:r w:rsidRPr="00B71EB9">
        <w:t xml:space="preserve">Figure </w:t>
      </w:r>
      <w:r w:rsidR="006768F1">
        <w:fldChar w:fldCharType="begin"/>
      </w:r>
      <w:r w:rsidR="00DB2AA7">
        <w:instrText xml:space="preserve"> SEQ Figure \* ARABIC </w:instrText>
      </w:r>
      <w:r w:rsidR="006768F1">
        <w:fldChar w:fldCharType="separate"/>
      </w:r>
      <w:r w:rsidR="00516D07">
        <w:rPr>
          <w:noProof/>
        </w:rPr>
        <w:t>9</w:t>
      </w:r>
      <w:r w:rsidR="006768F1">
        <w:fldChar w:fldCharType="end"/>
      </w:r>
      <w:bookmarkEnd w:id="62"/>
      <w:r w:rsidRPr="00B71EB9">
        <w:t xml:space="preserve">: </w:t>
      </w:r>
      <w:r>
        <w:t>TEV quantified (present value)</w:t>
      </w:r>
    </w:p>
    <w:p w:rsidR="001A1771" w:rsidRPr="003321AE" w:rsidRDefault="001A1771" w:rsidP="00085AEE">
      <w:pPr>
        <w:pStyle w:val="Para0"/>
        <w:spacing w:before="0" w:after="0"/>
      </w:pPr>
      <w:r w:rsidRPr="00D30258">
        <w:rPr>
          <w:noProof/>
          <w:lang w:eastAsia="en-AU"/>
        </w:rPr>
        <w:t xml:space="preserve"> </w:t>
      </w:r>
      <w:r w:rsidRPr="0034207E">
        <w:rPr>
          <w:noProof/>
          <w:lang w:eastAsia="en-AU"/>
        </w:rPr>
        <w:t xml:space="preserve"> </w:t>
      </w:r>
      <w:r w:rsidR="00F3167F">
        <w:rPr>
          <w:noProof/>
          <w:lang w:eastAsia="en-AU"/>
        </w:rPr>
        <w:drawing>
          <wp:inline distT="0" distB="0" distL="0" distR="0">
            <wp:extent cx="5528739" cy="309600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739" cy="3096000"/>
                    </a:xfrm>
                    <a:prstGeom prst="rect">
                      <a:avLst/>
                    </a:prstGeom>
                    <a:noFill/>
                  </pic:spPr>
                </pic:pic>
              </a:graphicData>
            </a:graphic>
          </wp:inline>
        </w:drawing>
      </w:r>
    </w:p>
    <w:p w:rsidR="00D37AE0" w:rsidRDefault="00D37AE0" w:rsidP="00FE4E9B">
      <w:pPr>
        <w:pStyle w:val="Para0"/>
      </w:pPr>
      <w:r>
        <w:t>As discussed in Section</w:t>
      </w:r>
      <w:r w:rsidR="002C6EB1">
        <w:t xml:space="preserve"> </w:t>
      </w:r>
      <w:r w:rsidR="006768F1">
        <w:fldChar w:fldCharType="begin"/>
      </w:r>
      <w:r w:rsidR="002C6EB1">
        <w:instrText xml:space="preserve"> REF _Ref373398311 \n \h </w:instrText>
      </w:r>
      <w:r w:rsidR="006768F1">
        <w:fldChar w:fldCharType="separate"/>
      </w:r>
      <w:r w:rsidR="00516D07">
        <w:t>3.1</w:t>
      </w:r>
      <w:r w:rsidR="006768F1">
        <w:fldChar w:fldCharType="end"/>
      </w:r>
      <w:r>
        <w:t xml:space="preserve">, a BCR provides an indication of the total economic value provided by GABSI per dollar invested in the program, which essentially represents return on government investment in GABSI. A BCR of one would indicate that the </w:t>
      </w:r>
      <w:r w:rsidRPr="00FE4E9B">
        <w:t>benefits</w:t>
      </w:r>
      <w:r>
        <w:t xml:space="preserve"> equals the costs, while a BCR of more than one suggests that the return on investment exceeds the amount expended (and vice versa for a BCR of less than one). </w:t>
      </w:r>
    </w:p>
    <w:p w:rsidR="00352B9B" w:rsidRDefault="001A1771" w:rsidP="001A1771">
      <w:pPr>
        <w:pStyle w:val="Para0"/>
      </w:pPr>
      <w:r>
        <w:t xml:space="preserve">As shown in </w:t>
      </w:r>
      <w:r w:rsidR="006768F1">
        <w:fldChar w:fldCharType="begin"/>
      </w:r>
      <w:r>
        <w:instrText xml:space="preserve"> REF _Ref373442467 \h </w:instrText>
      </w:r>
      <w:r w:rsidR="006768F1">
        <w:fldChar w:fldCharType="separate"/>
      </w:r>
      <w:r w:rsidR="00516D07">
        <w:t xml:space="preserve">Table </w:t>
      </w:r>
      <w:r w:rsidR="00516D07">
        <w:rPr>
          <w:noProof/>
        </w:rPr>
        <w:t>23</w:t>
      </w:r>
      <w:r w:rsidR="006768F1">
        <w:fldChar w:fldCharType="end"/>
      </w:r>
      <w:r>
        <w:t xml:space="preserve"> and </w:t>
      </w:r>
      <w:r w:rsidR="006768F1">
        <w:fldChar w:fldCharType="begin"/>
      </w:r>
      <w:r>
        <w:instrText xml:space="preserve"> REF _Ref373398326 \h </w:instrText>
      </w:r>
      <w:r w:rsidR="006768F1">
        <w:fldChar w:fldCharType="separate"/>
      </w:r>
      <w:r w:rsidR="00516D07" w:rsidRPr="00B71EB9">
        <w:t xml:space="preserve">Figure </w:t>
      </w:r>
      <w:r w:rsidR="00516D07">
        <w:rPr>
          <w:noProof/>
        </w:rPr>
        <w:t>10</w:t>
      </w:r>
      <w:r w:rsidR="006768F1">
        <w:fldChar w:fldCharType="end"/>
      </w:r>
      <w:r>
        <w:t xml:space="preserve">, the BCR for the whole of GABSI </w:t>
      </w:r>
      <w:r w:rsidR="00E826D6">
        <w:t>to date</w:t>
      </w:r>
      <w:r>
        <w:t xml:space="preserve"> (for works completed to </w:t>
      </w:r>
      <w:r w:rsidRPr="009F79BB">
        <w:t>June 2013) is 0.5</w:t>
      </w:r>
      <w:r>
        <w:t>6</w:t>
      </w:r>
      <w:r w:rsidR="00E826D6">
        <w:t>. The BCR</w:t>
      </w:r>
      <w:r>
        <w:t xml:space="preserve"> decreases over </w:t>
      </w:r>
      <w:r w:rsidR="00352B9B">
        <w:t>the three</w:t>
      </w:r>
      <w:r>
        <w:t xml:space="preserve"> phases</w:t>
      </w:r>
      <w:r w:rsidR="00352B9B">
        <w:t xml:space="preserve"> of the program</w:t>
      </w:r>
      <w:r w:rsidR="00E826D6">
        <w:t xml:space="preserve"> from 0.77 in Phase 1</w:t>
      </w:r>
      <w:r>
        <w:t xml:space="preserve">. However this only includes the benefits that could be quantified, which account for only three of the nine benefits captured in the full TEV framework. Furthermore, two </w:t>
      </w:r>
      <w:r w:rsidR="00E826D6">
        <w:t xml:space="preserve">of these </w:t>
      </w:r>
      <w:r>
        <w:t xml:space="preserve">elements only consider the value of less than 35% of the water saved at each phase of GABSI (i.e. water that could be reallocated for consumptive purposes). </w:t>
      </w:r>
    </w:p>
    <w:p w:rsidR="001A1771" w:rsidRDefault="001A1771" w:rsidP="001A1771">
      <w:pPr>
        <w:pStyle w:val="Para0"/>
      </w:pPr>
      <w:r>
        <w:t xml:space="preserve">The BCR for Phase 1 was significantly higher than for Phases 2 and 3, likely due to jurisdictions prioritising the works where they could achieve the greatest </w:t>
      </w:r>
      <w:r w:rsidR="00D17D05">
        <w:t xml:space="preserve">water </w:t>
      </w:r>
      <w:r>
        <w:t>savings first.</w:t>
      </w:r>
      <w:r w:rsidR="00D17D05">
        <w:t xml:space="preserve"> </w:t>
      </w:r>
      <w:r w:rsidR="00E826D6">
        <w:t>This may also be due to a higher level of landholder interest in this Phase as it followed on from other state funding programs which required a greater landholder contribution. The phase also covered a period of good rainfall across most of eastern Australia</w:t>
      </w:r>
      <w:r w:rsidR="008C01ED">
        <w:t xml:space="preserve"> meaning that landholders had cash reserves to spend on the program</w:t>
      </w:r>
      <w:r>
        <w:t>.</w:t>
      </w:r>
    </w:p>
    <w:p w:rsidR="001A1771" w:rsidRDefault="001A1771" w:rsidP="001A1771">
      <w:pPr>
        <w:pStyle w:val="Caption"/>
      </w:pPr>
      <w:bookmarkStart w:id="63" w:name="_Ref373442467"/>
      <w:bookmarkStart w:id="64" w:name="_Ref373442453"/>
      <w:r>
        <w:t xml:space="preserve">Table </w:t>
      </w:r>
      <w:r w:rsidR="006768F1">
        <w:fldChar w:fldCharType="begin"/>
      </w:r>
      <w:r w:rsidR="00F843FC">
        <w:instrText xml:space="preserve"> SEQ Table \* ARABIC </w:instrText>
      </w:r>
      <w:r w:rsidR="006768F1">
        <w:fldChar w:fldCharType="separate"/>
      </w:r>
      <w:r w:rsidR="00516D07">
        <w:rPr>
          <w:noProof/>
        </w:rPr>
        <w:t>23</w:t>
      </w:r>
      <w:r w:rsidR="006768F1">
        <w:fldChar w:fldCharType="end"/>
      </w:r>
      <w:bookmarkEnd w:id="63"/>
      <w:r>
        <w:t>: Quantified value for money summary (BCR)</w:t>
      </w:r>
      <w:bookmarkEnd w:id="64"/>
    </w:p>
    <w:tbl>
      <w:tblPr>
        <w:tblW w:w="9933" w:type="dxa"/>
        <w:tblInd w:w="98" w:type="dxa"/>
        <w:tblBorders>
          <w:top w:val="single" w:sz="8" w:space="0" w:color="5185C0"/>
          <w:left w:val="single" w:sz="8" w:space="0" w:color="5185C0"/>
          <w:bottom w:val="single" w:sz="8" w:space="0" w:color="5185C0"/>
          <w:right w:val="single" w:sz="8" w:space="0" w:color="5185C0"/>
          <w:insideH w:val="single" w:sz="8" w:space="0" w:color="5185C0"/>
          <w:insideV w:val="single" w:sz="8" w:space="0" w:color="5185C0"/>
        </w:tblBorders>
        <w:tblLayout w:type="fixed"/>
        <w:tblLook w:val="04A0"/>
      </w:tblPr>
      <w:tblGrid>
        <w:gridCol w:w="2137"/>
        <w:gridCol w:w="1275"/>
        <w:gridCol w:w="1134"/>
        <w:gridCol w:w="1418"/>
        <w:gridCol w:w="1417"/>
        <w:gridCol w:w="1276"/>
        <w:gridCol w:w="1276"/>
      </w:tblGrid>
      <w:tr w:rsidR="00F669FB" w:rsidRPr="000F5192" w:rsidTr="00503E0C">
        <w:trPr>
          <w:trHeight w:val="479"/>
        </w:trPr>
        <w:tc>
          <w:tcPr>
            <w:tcW w:w="2137" w:type="dxa"/>
            <w:shd w:val="clear" w:color="000000" w:fill="5185C0"/>
            <w:vAlign w:val="center"/>
            <w:hideMark/>
          </w:tcPr>
          <w:p w:rsidR="001A1771" w:rsidRPr="000F5192" w:rsidRDefault="001A1771" w:rsidP="00503E0C">
            <w:pPr>
              <w:pStyle w:val="Tablesmallheading"/>
              <w:rPr>
                <w:lang w:eastAsia="en-AU"/>
              </w:rPr>
            </w:pPr>
            <w:r w:rsidRPr="000F5192">
              <w:rPr>
                <w:lang w:eastAsia="en-AU"/>
              </w:rPr>
              <w:t> </w:t>
            </w:r>
            <w:r>
              <w:rPr>
                <w:lang w:eastAsia="en-AU"/>
              </w:rPr>
              <w:t>Value per dollar invested</w:t>
            </w:r>
          </w:p>
        </w:tc>
        <w:tc>
          <w:tcPr>
            <w:tcW w:w="1275"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1</w:t>
            </w:r>
          </w:p>
        </w:tc>
        <w:tc>
          <w:tcPr>
            <w:tcW w:w="1134"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2</w:t>
            </w:r>
          </w:p>
        </w:tc>
        <w:tc>
          <w:tcPr>
            <w:tcW w:w="1418"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3 (completed)</w:t>
            </w:r>
          </w:p>
        </w:tc>
        <w:tc>
          <w:tcPr>
            <w:tcW w:w="1417" w:type="dxa"/>
            <w:shd w:val="clear" w:color="000000" w:fill="5185C0"/>
            <w:vAlign w:val="center"/>
            <w:hideMark/>
          </w:tcPr>
          <w:p w:rsidR="001A1771" w:rsidRPr="000F5192" w:rsidRDefault="001A1771" w:rsidP="00503E0C">
            <w:pPr>
              <w:pStyle w:val="Tablesmallheading"/>
              <w:rPr>
                <w:lang w:eastAsia="en-AU"/>
              </w:rPr>
            </w:pPr>
            <w:r w:rsidRPr="000F5192">
              <w:rPr>
                <w:lang w:eastAsia="en-AU"/>
              </w:rPr>
              <w:t>Phase 3 (completed as planned)</w:t>
            </w:r>
          </w:p>
        </w:tc>
        <w:tc>
          <w:tcPr>
            <w:tcW w:w="1276" w:type="dxa"/>
            <w:shd w:val="clear" w:color="000000" w:fill="5185C0"/>
            <w:vAlign w:val="center"/>
            <w:hideMark/>
          </w:tcPr>
          <w:p w:rsidR="001A1771" w:rsidRPr="000F5192" w:rsidRDefault="001A1771" w:rsidP="00503E0C">
            <w:pPr>
              <w:pStyle w:val="Tablesmallheading"/>
              <w:rPr>
                <w:lang w:eastAsia="en-AU"/>
              </w:rPr>
            </w:pPr>
            <w:r w:rsidRPr="000F5192">
              <w:rPr>
                <w:lang w:eastAsia="en-AU"/>
              </w:rPr>
              <w:t>TOTAL to June 2013</w:t>
            </w:r>
          </w:p>
        </w:tc>
        <w:tc>
          <w:tcPr>
            <w:tcW w:w="1276" w:type="dxa"/>
            <w:shd w:val="clear" w:color="000000" w:fill="5185C0"/>
            <w:vAlign w:val="center"/>
            <w:hideMark/>
          </w:tcPr>
          <w:p w:rsidR="001A1771" w:rsidRPr="000F5192" w:rsidRDefault="001A1771" w:rsidP="00503E0C">
            <w:pPr>
              <w:pStyle w:val="Tablesmallheading"/>
              <w:rPr>
                <w:lang w:eastAsia="en-AU"/>
              </w:rPr>
            </w:pPr>
            <w:r w:rsidRPr="000F5192">
              <w:rPr>
                <w:lang w:eastAsia="en-AU"/>
              </w:rPr>
              <w:t>TOTAL to June 2014</w:t>
            </w:r>
          </w:p>
        </w:tc>
      </w:tr>
      <w:tr w:rsidR="00F669FB" w:rsidRPr="00241794" w:rsidTr="00E06AA3">
        <w:trPr>
          <w:trHeight w:val="571"/>
        </w:trPr>
        <w:tc>
          <w:tcPr>
            <w:tcW w:w="2137" w:type="dxa"/>
            <w:shd w:val="clear" w:color="auto" w:fill="auto"/>
            <w:vAlign w:val="center"/>
            <w:hideMark/>
          </w:tcPr>
          <w:p w:rsidR="001A1771" w:rsidRPr="00241794" w:rsidRDefault="001A1771" w:rsidP="00503E0C">
            <w:pPr>
              <w:pStyle w:val="Tablesmalltext"/>
              <w:spacing w:before="0" w:after="0"/>
              <w:rPr>
                <w:rFonts w:cs="Times New Roman"/>
              </w:rPr>
            </w:pPr>
            <w:r w:rsidRPr="00241794">
              <w:rPr>
                <w:rFonts w:cs="Times New Roman"/>
              </w:rPr>
              <w:t xml:space="preserve">Consumptive benefits from reallocated water </w:t>
            </w:r>
          </w:p>
        </w:tc>
        <w:tc>
          <w:tcPr>
            <w:tcW w:w="1275" w:type="dxa"/>
            <w:shd w:val="clear" w:color="auto" w:fill="auto"/>
            <w:vAlign w:val="center"/>
            <w:hideMark/>
          </w:tcPr>
          <w:p w:rsidR="001A1771" w:rsidRPr="00E06AA3" w:rsidRDefault="001A1771" w:rsidP="00E06AA3">
            <w:pPr>
              <w:pStyle w:val="Tablesmalltext"/>
              <w:jc w:val="center"/>
            </w:pPr>
            <w:r w:rsidRPr="00E06AA3">
              <w:t>0.33</w:t>
            </w:r>
          </w:p>
        </w:tc>
        <w:tc>
          <w:tcPr>
            <w:tcW w:w="1134" w:type="dxa"/>
            <w:shd w:val="clear" w:color="auto" w:fill="auto"/>
            <w:vAlign w:val="center"/>
            <w:hideMark/>
          </w:tcPr>
          <w:p w:rsidR="001A1771" w:rsidRPr="00E06AA3" w:rsidRDefault="001A1771" w:rsidP="00E06AA3">
            <w:pPr>
              <w:pStyle w:val="Tablesmalltext"/>
              <w:jc w:val="center"/>
            </w:pPr>
            <w:r w:rsidRPr="00E06AA3">
              <w:t>0.19</w:t>
            </w:r>
          </w:p>
        </w:tc>
        <w:tc>
          <w:tcPr>
            <w:tcW w:w="1418" w:type="dxa"/>
            <w:shd w:val="clear" w:color="auto" w:fill="auto"/>
            <w:vAlign w:val="center"/>
            <w:hideMark/>
          </w:tcPr>
          <w:p w:rsidR="001A1771" w:rsidRPr="00E06AA3" w:rsidRDefault="005F1AA2" w:rsidP="00E06AA3">
            <w:pPr>
              <w:pStyle w:val="Tablesmalltext"/>
              <w:jc w:val="center"/>
            </w:pPr>
            <w:r>
              <w:t>0.14</w:t>
            </w:r>
          </w:p>
        </w:tc>
        <w:tc>
          <w:tcPr>
            <w:tcW w:w="1417" w:type="dxa"/>
            <w:shd w:val="clear" w:color="auto" w:fill="auto"/>
            <w:vAlign w:val="center"/>
            <w:hideMark/>
          </w:tcPr>
          <w:p w:rsidR="001A1771" w:rsidRPr="00E06AA3" w:rsidRDefault="001A1771" w:rsidP="00E06AA3">
            <w:pPr>
              <w:pStyle w:val="Tablesmalltext"/>
              <w:jc w:val="center"/>
            </w:pPr>
            <w:r w:rsidRPr="00E06AA3">
              <w:t>0.15</w:t>
            </w:r>
          </w:p>
        </w:tc>
        <w:tc>
          <w:tcPr>
            <w:tcW w:w="1276" w:type="dxa"/>
            <w:shd w:val="clear" w:color="000000" w:fill="D0CECB"/>
            <w:vAlign w:val="center"/>
            <w:hideMark/>
          </w:tcPr>
          <w:p w:rsidR="001A1771" w:rsidRPr="00E06AA3" w:rsidRDefault="001A1771" w:rsidP="00E06AA3">
            <w:pPr>
              <w:pStyle w:val="Tablesmalltext"/>
              <w:jc w:val="center"/>
            </w:pPr>
            <w:r w:rsidRPr="00E06AA3">
              <w:t>0.24</w:t>
            </w:r>
          </w:p>
        </w:tc>
        <w:tc>
          <w:tcPr>
            <w:tcW w:w="1276" w:type="dxa"/>
            <w:shd w:val="clear" w:color="000000" w:fill="D0CECB"/>
            <w:vAlign w:val="center"/>
            <w:hideMark/>
          </w:tcPr>
          <w:p w:rsidR="001A1771" w:rsidRPr="00E06AA3" w:rsidRDefault="001A1771" w:rsidP="00E06AA3">
            <w:pPr>
              <w:pStyle w:val="Tablesmalltext"/>
              <w:jc w:val="center"/>
            </w:pPr>
            <w:r w:rsidRPr="00E06AA3">
              <w:t>0.24</w:t>
            </w:r>
          </w:p>
        </w:tc>
      </w:tr>
      <w:tr w:rsidR="00F669FB" w:rsidRPr="00241794" w:rsidTr="00E06AA3">
        <w:trPr>
          <w:trHeight w:val="270"/>
        </w:trPr>
        <w:tc>
          <w:tcPr>
            <w:tcW w:w="2137" w:type="dxa"/>
            <w:shd w:val="clear" w:color="auto" w:fill="auto"/>
            <w:noWrap/>
            <w:vAlign w:val="center"/>
            <w:hideMark/>
          </w:tcPr>
          <w:p w:rsidR="001A1771" w:rsidRPr="00241794" w:rsidRDefault="001A1771" w:rsidP="00503E0C">
            <w:pPr>
              <w:pStyle w:val="Tablesmalltext"/>
              <w:spacing w:before="0" w:after="0"/>
              <w:rPr>
                <w:rFonts w:cs="Times New Roman"/>
              </w:rPr>
            </w:pPr>
            <w:r w:rsidRPr="00241794">
              <w:rPr>
                <w:rFonts w:cs="Times New Roman"/>
              </w:rPr>
              <w:t>Indirect benefits to rural communities</w:t>
            </w:r>
          </w:p>
        </w:tc>
        <w:tc>
          <w:tcPr>
            <w:tcW w:w="1275" w:type="dxa"/>
            <w:shd w:val="clear" w:color="auto" w:fill="auto"/>
            <w:vAlign w:val="center"/>
            <w:hideMark/>
          </w:tcPr>
          <w:p w:rsidR="001A1771" w:rsidRPr="00E06AA3" w:rsidRDefault="001A1771" w:rsidP="00E06AA3">
            <w:pPr>
              <w:pStyle w:val="Tablesmalltext"/>
              <w:jc w:val="center"/>
            </w:pPr>
            <w:r w:rsidRPr="00E06AA3">
              <w:t>0.29</w:t>
            </w:r>
          </w:p>
        </w:tc>
        <w:tc>
          <w:tcPr>
            <w:tcW w:w="1134" w:type="dxa"/>
            <w:shd w:val="clear" w:color="auto" w:fill="auto"/>
            <w:vAlign w:val="center"/>
            <w:hideMark/>
          </w:tcPr>
          <w:p w:rsidR="001A1771" w:rsidRPr="00E06AA3" w:rsidRDefault="001A1771" w:rsidP="00E06AA3">
            <w:pPr>
              <w:pStyle w:val="Tablesmalltext"/>
              <w:jc w:val="center"/>
            </w:pPr>
            <w:r w:rsidRPr="00E06AA3">
              <w:t>0.17</w:t>
            </w:r>
          </w:p>
        </w:tc>
        <w:tc>
          <w:tcPr>
            <w:tcW w:w="1418" w:type="dxa"/>
            <w:shd w:val="clear" w:color="auto" w:fill="auto"/>
            <w:vAlign w:val="center"/>
            <w:hideMark/>
          </w:tcPr>
          <w:p w:rsidR="001A1771" w:rsidRPr="00E06AA3" w:rsidRDefault="001A1771" w:rsidP="00E06AA3">
            <w:pPr>
              <w:pStyle w:val="Tablesmalltext"/>
              <w:jc w:val="center"/>
            </w:pPr>
            <w:r w:rsidRPr="00E06AA3">
              <w:t>0.12</w:t>
            </w:r>
          </w:p>
        </w:tc>
        <w:tc>
          <w:tcPr>
            <w:tcW w:w="1417" w:type="dxa"/>
            <w:shd w:val="clear" w:color="auto" w:fill="auto"/>
            <w:vAlign w:val="center"/>
            <w:hideMark/>
          </w:tcPr>
          <w:p w:rsidR="001A1771" w:rsidRPr="00E06AA3" w:rsidRDefault="001A1771" w:rsidP="00E06AA3">
            <w:pPr>
              <w:pStyle w:val="Tablesmalltext"/>
              <w:jc w:val="center"/>
            </w:pPr>
            <w:r w:rsidRPr="00E06AA3">
              <w:t>0.13</w:t>
            </w:r>
          </w:p>
        </w:tc>
        <w:tc>
          <w:tcPr>
            <w:tcW w:w="1276" w:type="dxa"/>
            <w:shd w:val="clear" w:color="000000" w:fill="D0CECB"/>
            <w:vAlign w:val="center"/>
            <w:hideMark/>
          </w:tcPr>
          <w:p w:rsidR="001A1771" w:rsidRPr="00E06AA3" w:rsidRDefault="001A1771" w:rsidP="00E06AA3">
            <w:pPr>
              <w:pStyle w:val="Tablesmalltext"/>
              <w:jc w:val="center"/>
            </w:pPr>
            <w:r w:rsidRPr="00E06AA3">
              <w:t>0.21</w:t>
            </w:r>
          </w:p>
        </w:tc>
        <w:tc>
          <w:tcPr>
            <w:tcW w:w="1276" w:type="dxa"/>
            <w:shd w:val="clear" w:color="000000" w:fill="D0CECB"/>
            <w:vAlign w:val="center"/>
            <w:hideMark/>
          </w:tcPr>
          <w:p w:rsidR="001A1771" w:rsidRPr="00E06AA3" w:rsidRDefault="001A1771" w:rsidP="00E06AA3">
            <w:pPr>
              <w:pStyle w:val="Tablesmalltext"/>
              <w:jc w:val="center"/>
            </w:pPr>
            <w:r w:rsidRPr="00E06AA3">
              <w:t>0.21</w:t>
            </w:r>
          </w:p>
        </w:tc>
      </w:tr>
      <w:tr w:rsidR="00F669FB" w:rsidRPr="00241794" w:rsidTr="00E06AA3">
        <w:trPr>
          <w:trHeight w:val="249"/>
        </w:trPr>
        <w:tc>
          <w:tcPr>
            <w:tcW w:w="2137" w:type="dxa"/>
            <w:shd w:val="clear" w:color="auto" w:fill="auto"/>
            <w:noWrap/>
            <w:vAlign w:val="center"/>
            <w:hideMark/>
          </w:tcPr>
          <w:p w:rsidR="001A1771" w:rsidRPr="00241794" w:rsidRDefault="001A1771" w:rsidP="00503E0C">
            <w:pPr>
              <w:pStyle w:val="Tablesmalltext"/>
              <w:spacing w:before="0" w:after="0"/>
              <w:rPr>
                <w:rFonts w:cs="Times New Roman"/>
              </w:rPr>
            </w:pPr>
            <w:r w:rsidRPr="00241794">
              <w:rPr>
                <w:rFonts w:cs="Times New Roman"/>
              </w:rPr>
              <w:t>Greenhouse gas abatement benefits</w:t>
            </w:r>
          </w:p>
        </w:tc>
        <w:tc>
          <w:tcPr>
            <w:tcW w:w="1275" w:type="dxa"/>
            <w:shd w:val="clear" w:color="auto" w:fill="auto"/>
            <w:vAlign w:val="center"/>
            <w:hideMark/>
          </w:tcPr>
          <w:p w:rsidR="001A1771" w:rsidRPr="00E06AA3" w:rsidRDefault="001A1771" w:rsidP="00E06AA3">
            <w:pPr>
              <w:pStyle w:val="Tablesmalltext"/>
              <w:jc w:val="center"/>
            </w:pPr>
            <w:r w:rsidRPr="00E06AA3">
              <w:t>0.15</w:t>
            </w:r>
          </w:p>
        </w:tc>
        <w:tc>
          <w:tcPr>
            <w:tcW w:w="1134" w:type="dxa"/>
            <w:shd w:val="clear" w:color="auto" w:fill="auto"/>
            <w:vAlign w:val="center"/>
            <w:hideMark/>
          </w:tcPr>
          <w:p w:rsidR="001A1771" w:rsidRPr="00E06AA3" w:rsidRDefault="005F1AA2" w:rsidP="00E06AA3">
            <w:pPr>
              <w:pStyle w:val="Tablesmalltext"/>
              <w:jc w:val="center"/>
            </w:pPr>
            <w:r>
              <w:t>0.09</w:t>
            </w:r>
          </w:p>
        </w:tc>
        <w:tc>
          <w:tcPr>
            <w:tcW w:w="1418" w:type="dxa"/>
            <w:shd w:val="clear" w:color="auto" w:fill="auto"/>
            <w:vAlign w:val="center"/>
            <w:hideMark/>
          </w:tcPr>
          <w:p w:rsidR="001A1771" w:rsidRPr="00E06AA3" w:rsidRDefault="001A1771" w:rsidP="00E06AA3">
            <w:pPr>
              <w:pStyle w:val="Tablesmalltext"/>
              <w:jc w:val="center"/>
            </w:pPr>
            <w:r w:rsidRPr="00E06AA3">
              <w:t>0.06</w:t>
            </w:r>
          </w:p>
        </w:tc>
        <w:tc>
          <w:tcPr>
            <w:tcW w:w="1417" w:type="dxa"/>
            <w:shd w:val="clear" w:color="auto" w:fill="auto"/>
            <w:vAlign w:val="center"/>
            <w:hideMark/>
          </w:tcPr>
          <w:p w:rsidR="001A1771" w:rsidRPr="00E06AA3" w:rsidRDefault="001A1771" w:rsidP="00E06AA3">
            <w:pPr>
              <w:pStyle w:val="Tablesmalltext"/>
              <w:jc w:val="center"/>
            </w:pPr>
            <w:r w:rsidRPr="00E06AA3">
              <w:t>0.07</w:t>
            </w:r>
          </w:p>
        </w:tc>
        <w:tc>
          <w:tcPr>
            <w:tcW w:w="1276" w:type="dxa"/>
            <w:shd w:val="clear" w:color="000000" w:fill="D0CECB"/>
            <w:vAlign w:val="center"/>
            <w:hideMark/>
          </w:tcPr>
          <w:p w:rsidR="001A1771" w:rsidRPr="00E06AA3" w:rsidRDefault="001A1771" w:rsidP="00E06AA3">
            <w:pPr>
              <w:pStyle w:val="Tablesmalltext"/>
              <w:jc w:val="center"/>
            </w:pPr>
            <w:r w:rsidRPr="00E06AA3">
              <w:t>0.11</w:t>
            </w:r>
          </w:p>
        </w:tc>
        <w:tc>
          <w:tcPr>
            <w:tcW w:w="1276" w:type="dxa"/>
            <w:shd w:val="clear" w:color="000000" w:fill="D0CECB"/>
            <w:vAlign w:val="center"/>
            <w:hideMark/>
          </w:tcPr>
          <w:p w:rsidR="001A1771" w:rsidRPr="00E06AA3" w:rsidRDefault="001A1771" w:rsidP="00E06AA3">
            <w:pPr>
              <w:pStyle w:val="Tablesmalltext"/>
              <w:jc w:val="center"/>
            </w:pPr>
            <w:r w:rsidRPr="00E06AA3">
              <w:t>0.11</w:t>
            </w:r>
          </w:p>
        </w:tc>
      </w:tr>
      <w:tr w:rsidR="00F669FB" w:rsidRPr="003A1318" w:rsidTr="00767ADB">
        <w:trPr>
          <w:trHeight w:val="270"/>
        </w:trPr>
        <w:tc>
          <w:tcPr>
            <w:tcW w:w="2137" w:type="dxa"/>
            <w:shd w:val="clear" w:color="000000" w:fill="D0CECB"/>
            <w:vAlign w:val="center"/>
            <w:hideMark/>
          </w:tcPr>
          <w:p w:rsidR="001A1771" w:rsidRPr="00E06AA3" w:rsidRDefault="001A1771" w:rsidP="00767ADB">
            <w:pPr>
              <w:pStyle w:val="Tablesmalltext"/>
              <w:spacing w:before="0" w:after="0"/>
              <w:rPr>
                <w:rFonts w:cs="Times New Roman"/>
                <w:b/>
              </w:rPr>
            </w:pPr>
            <w:r w:rsidRPr="00E06AA3">
              <w:rPr>
                <w:rFonts w:cs="Times New Roman"/>
                <w:b/>
              </w:rPr>
              <w:t>Total</w:t>
            </w:r>
          </w:p>
        </w:tc>
        <w:tc>
          <w:tcPr>
            <w:tcW w:w="1275" w:type="dxa"/>
            <w:shd w:val="clear" w:color="000000" w:fill="D0CECB"/>
            <w:vAlign w:val="center"/>
            <w:hideMark/>
          </w:tcPr>
          <w:p w:rsidR="001A1771" w:rsidRPr="00E06AA3" w:rsidRDefault="001A1771" w:rsidP="00E06AA3">
            <w:pPr>
              <w:pStyle w:val="Tablesmalltext"/>
              <w:jc w:val="center"/>
              <w:rPr>
                <w:b/>
              </w:rPr>
            </w:pPr>
            <w:r w:rsidRPr="00E06AA3">
              <w:rPr>
                <w:b/>
              </w:rPr>
              <w:t>0.77</w:t>
            </w:r>
          </w:p>
        </w:tc>
        <w:tc>
          <w:tcPr>
            <w:tcW w:w="1134" w:type="dxa"/>
            <w:shd w:val="clear" w:color="000000" w:fill="D0CECB"/>
            <w:vAlign w:val="center"/>
            <w:hideMark/>
          </w:tcPr>
          <w:p w:rsidR="001A1771" w:rsidRPr="00E06AA3" w:rsidRDefault="005F1AA2" w:rsidP="00E06AA3">
            <w:pPr>
              <w:pStyle w:val="Tablesmalltext"/>
              <w:jc w:val="center"/>
              <w:rPr>
                <w:b/>
              </w:rPr>
            </w:pPr>
            <w:r>
              <w:rPr>
                <w:b/>
              </w:rPr>
              <w:t>0.45</w:t>
            </w:r>
          </w:p>
        </w:tc>
        <w:tc>
          <w:tcPr>
            <w:tcW w:w="1418" w:type="dxa"/>
            <w:shd w:val="clear" w:color="000000" w:fill="D0CECB"/>
            <w:vAlign w:val="center"/>
            <w:hideMark/>
          </w:tcPr>
          <w:p w:rsidR="001A1771" w:rsidRPr="00E06AA3" w:rsidRDefault="005F1AA2" w:rsidP="00E06AA3">
            <w:pPr>
              <w:pStyle w:val="Tablesmalltext"/>
              <w:jc w:val="center"/>
              <w:rPr>
                <w:b/>
              </w:rPr>
            </w:pPr>
            <w:r>
              <w:rPr>
                <w:b/>
              </w:rPr>
              <w:t>0.33</w:t>
            </w:r>
          </w:p>
        </w:tc>
        <w:tc>
          <w:tcPr>
            <w:tcW w:w="1417" w:type="dxa"/>
            <w:shd w:val="clear" w:color="000000" w:fill="D0CECB"/>
            <w:vAlign w:val="center"/>
            <w:hideMark/>
          </w:tcPr>
          <w:p w:rsidR="001A1771" w:rsidRPr="00E06AA3" w:rsidRDefault="005F1AA2" w:rsidP="00E06AA3">
            <w:pPr>
              <w:pStyle w:val="Tablesmalltext"/>
              <w:jc w:val="center"/>
              <w:rPr>
                <w:b/>
              </w:rPr>
            </w:pPr>
            <w:r>
              <w:rPr>
                <w:b/>
              </w:rPr>
              <w:t>0.35</w:t>
            </w:r>
          </w:p>
        </w:tc>
        <w:tc>
          <w:tcPr>
            <w:tcW w:w="1276" w:type="dxa"/>
            <w:shd w:val="clear" w:color="000000" w:fill="D0CECB"/>
            <w:vAlign w:val="center"/>
            <w:hideMark/>
          </w:tcPr>
          <w:p w:rsidR="001A1771" w:rsidRPr="00E06AA3" w:rsidRDefault="001A1771" w:rsidP="00E06AA3">
            <w:pPr>
              <w:pStyle w:val="Tablesmalltext"/>
              <w:jc w:val="center"/>
              <w:rPr>
                <w:b/>
              </w:rPr>
            </w:pPr>
            <w:r w:rsidRPr="00E06AA3">
              <w:rPr>
                <w:b/>
              </w:rPr>
              <w:t>0.56</w:t>
            </w:r>
          </w:p>
        </w:tc>
        <w:tc>
          <w:tcPr>
            <w:tcW w:w="1276" w:type="dxa"/>
            <w:shd w:val="clear" w:color="000000" w:fill="D0CECB"/>
            <w:vAlign w:val="center"/>
            <w:hideMark/>
          </w:tcPr>
          <w:p w:rsidR="001A1771" w:rsidRPr="00E06AA3" w:rsidRDefault="001A1771" w:rsidP="00E06AA3">
            <w:pPr>
              <w:pStyle w:val="Tablesmalltext"/>
              <w:jc w:val="center"/>
              <w:rPr>
                <w:b/>
              </w:rPr>
            </w:pPr>
            <w:r w:rsidRPr="00E06AA3">
              <w:rPr>
                <w:b/>
              </w:rPr>
              <w:t>0.55</w:t>
            </w:r>
          </w:p>
        </w:tc>
      </w:tr>
    </w:tbl>
    <w:p w:rsidR="001A1771" w:rsidRDefault="001A1771" w:rsidP="001A1771">
      <w:pPr>
        <w:pStyle w:val="Caption"/>
      </w:pPr>
      <w:bookmarkStart w:id="65" w:name="_Ref373398326"/>
      <w:r w:rsidRPr="00B71EB9">
        <w:t xml:space="preserve">Figure </w:t>
      </w:r>
      <w:r w:rsidR="006768F1">
        <w:fldChar w:fldCharType="begin"/>
      </w:r>
      <w:r w:rsidR="00DB2AA7">
        <w:instrText xml:space="preserve"> SEQ Figure \* ARABIC </w:instrText>
      </w:r>
      <w:r w:rsidR="006768F1">
        <w:fldChar w:fldCharType="separate"/>
      </w:r>
      <w:r w:rsidR="00516D07">
        <w:rPr>
          <w:noProof/>
        </w:rPr>
        <w:t>10</w:t>
      </w:r>
      <w:r w:rsidR="006768F1">
        <w:fldChar w:fldCharType="end"/>
      </w:r>
      <w:bookmarkEnd w:id="65"/>
      <w:r w:rsidRPr="00B71EB9">
        <w:t xml:space="preserve">: </w:t>
      </w:r>
      <w:r>
        <w:t xml:space="preserve">Quantified BCR by phase (all jurisdictions) </w:t>
      </w:r>
    </w:p>
    <w:p w:rsidR="00371BF9" w:rsidRPr="00470EFD" w:rsidRDefault="00667115" w:rsidP="00470EFD">
      <w:pPr>
        <w:pStyle w:val="Para0"/>
      </w:pPr>
      <w:r>
        <w:rPr>
          <w:noProof/>
          <w:lang w:eastAsia="en-AU"/>
        </w:rPr>
        <w:drawing>
          <wp:inline distT="0" distB="0" distL="0" distR="0">
            <wp:extent cx="5944235" cy="2731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2731135"/>
                    </a:xfrm>
                    <a:prstGeom prst="rect">
                      <a:avLst/>
                    </a:prstGeom>
                    <a:noFill/>
                  </pic:spPr>
                </pic:pic>
              </a:graphicData>
            </a:graphic>
          </wp:inline>
        </w:drawing>
      </w:r>
    </w:p>
    <w:p w:rsidR="00D37AE0" w:rsidRDefault="006768F1" w:rsidP="00FE4E9B">
      <w:pPr>
        <w:pStyle w:val="Para0"/>
      </w:pPr>
      <w:r>
        <w:fldChar w:fldCharType="begin"/>
      </w:r>
      <w:r w:rsidR="00A07A70">
        <w:instrText xml:space="preserve"> REF _Ref373398343 \h </w:instrText>
      </w:r>
      <w:r>
        <w:fldChar w:fldCharType="separate"/>
      </w:r>
      <w:r w:rsidR="00516D07" w:rsidRPr="00B71EB9">
        <w:t xml:space="preserve">Figure </w:t>
      </w:r>
      <w:r w:rsidR="00516D07">
        <w:rPr>
          <w:noProof/>
        </w:rPr>
        <w:t>11</w:t>
      </w:r>
      <w:r>
        <w:fldChar w:fldCharType="end"/>
      </w:r>
      <w:r w:rsidR="00A07A70">
        <w:t xml:space="preserve"> </w:t>
      </w:r>
      <w:r w:rsidR="00D37AE0">
        <w:t xml:space="preserve">shows the BCR for each jurisdiction for the whole of GABSI to June 2013. South Australia has a significantly higher BCR than Queensland and NSW, possibly due to the relatively smaller scale of the program and ability for </w:t>
      </w:r>
      <w:r w:rsidR="00D37AE0" w:rsidRPr="00FE4E9B">
        <w:t>government</w:t>
      </w:r>
      <w:r w:rsidR="00D37AE0">
        <w:t xml:space="preserve"> to </w:t>
      </w:r>
      <w:r w:rsidR="00D37AE0" w:rsidRPr="00F2643F">
        <w:t>prioritise</w:t>
      </w:r>
      <w:r w:rsidR="00D37AE0">
        <w:t xml:space="preserve"> the bores to be controlled (SA landholders do not provide contributions in the same way as in Queensland and NSW).</w:t>
      </w:r>
      <w:r w:rsidR="00524D41">
        <w:t xml:space="preserve"> Furthermore, South Australia was able to reallocate 50 per cent of water saved as per their implementation plan (compared to 30 per cent in NSW and Queensland), which increases the total quantified benefits relative to the other jurisdictions.</w:t>
      </w:r>
    </w:p>
    <w:p w:rsidR="001A1771" w:rsidRDefault="001A1771" w:rsidP="001A1771">
      <w:pPr>
        <w:pStyle w:val="Caption"/>
      </w:pPr>
      <w:bookmarkStart w:id="66" w:name="_Ref373398343"/>
      <w:r w:rsidRPr="00B71EB9">
        <w:t xml:space="preserve">Figure </w:t>
      </w:r>
      <w:r w:rsidR="006768F1">
        <w:fldChar w:fldCharType="begin"/>
      </w:r>
      <w:r w:rsidR="00DB2AA7">
        <w:instrText xml:space="preserve"> SEQ Figure \* ARABIC </w:instrText>
      </w:r>
      <w:r w:rsidR="006768F1">
        <w:fldChar w:fldCharType="separate"/>
      </w:r>
      <w:r w:rsidR="00516D07">
        <w:rPr>
          <w:noProof/>
        </w:rPr>
        <w:t>11</w:t>
      </w:r>
      <w:r w:rsidR="006768F1">
        <w:fldChar w:fldCharType="end"/>
      </w:r>
      <w:bookmarkEnd w:id="66"/>
      <w:r w:rsidRPr="00B71EB9">
        <w:t xml:space="preserve">: </w:t>
      </w:r>
      <w:r>
        <w:t>Quantified BCR by Jurisdiction (total to June 2013)</w:t>
      </w:r>
    </w:p>
    <w:p w:rsidR="00371BF9" w:rsidRPr="002E5259" w:rsidRDefault="005324A1" w:rsidP="002E5259">
      <w:pPr>
        <w:pStyle w:val="Para0"/>
      </w:pPr>
      <w:r>
        <w:rPr>
          <w:noProof/>
          <w:lang w:eastAsia="en-AU"/>
        </w:rPr>
        <w:drawing>
          <wp:inline distT="0" distB="0" distL="0" distR="0">
            <wp:extent cx="5944235" cy="26581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2658110"/>
                    </a:xfrm>
                    <a:prstGeom prst="rect">
                      <a:avLst/>
                    </a:prstGeom>
                    <a:noFill/>
                  </pic:spPr>
                </pic:pic>
              </a:graphicData>
            </a:graphic>
          </wp:inline>
        </w:drawing>
      </w:r>
    </w:p>
    <w:p w:rsidR="00D37AE0" w:rsidRDefault="001A1771" w:rsidP="00FE4E9B">
      <w:pPr>
        <w:pStyle w:val="Para0"/>
      </w:pPr>
      <w:r w:rsidRPr="0034207E">
        <w:rPr>
          <w:noProof/>
          <w:lang w:eastAsia="en-AU"/>
        </w:rPr>
        <w:t xml:space="preserve"> </w:t>
      </w:r>
      <w:r w:rsidR="00D37AE0">
        <w:t xml:space="preserve">A full summary of the costs and benefits across the full assessment period is provided in </w:t>
      </w:r>
      <w:fldSimple w:instr=" REF _Ref373344472 \r \h  \* MERGEFORMAT ">
        <w:r w:rsidR="00516D07">
          <w:t>Appendix C</w:t>
        </w:r>
      </w:fldSimple>
      <w:r w:rsidR="00D37AE0">
        <w:t>.</w:t>
      </w:r>
    </w:p>
    <w:p w:rsidR="00D37AE0" w:rsidRDefault="00D37AE0" w:rsidP="00D37AE0">
      <w:pPr>
        <w:pStyle w:val="Heading3"/>
      </w:pPr>
      <w:r w:rsidRPr="00381BAE">
        <w:t xml:space="preserve">Additional benefits discussed qualitatively </w:t>
      </w:r>
    </w:p>
    <w:p w:rsidR="00D37AE0" w:rsidRDefault="00D37AE0" w:rsidP="00FE4E9B">
      <w:pPr>
        <w:pStyle w:val="Para0"/>
      </w:pPr>
      <w:r>
        <w:t xml:space="preserve">A summary of the benefits from GABSI which did not have the supporting </w:t>
      </w:r>
      <w:r w:rsidRPr="00FE4E9B">
        <w:t>data</w:t>
      </w:r>
      <w:r>
        <w:t xml:space="preserve"> to be considered quantitatively is summarised in the following table. </w:t>
      </w:r>
    </w:p>
    <w:p w:rsidR="00D37AE0" w:rsidRDefault="00D37AE0" w:rsidP="00D37AE0">
      <w:pPr>
        <w:pStyle w:val="Caption"/>
      </w:pPr>
      <w:r>
        <w:t xml:space="preserve">Table </w:t>
      </w:r>
      <w:r w:rsidR="006768F1">
        <w:fldChar w:fldCharType="begin"/>
      </w:r>
      <w:r w:rsidR="00F843FC">
        <w:instrText xml:space="preserve"> SEQ Table \* ARABIC </w:instrText>
      </w:r>
      <w:r w:rsidR="006768F1">
        <w:fldChar w:fldCharType="separate"/>
      </w:r>
      <w:r w:rsidR="00516D07">
        <w:rPr>
          <w:noProof/>
        </w:rPr>
        <w:t>24</w:t>
      </w:r>
      <w:r w:rsidR="006768F1">
        <w:fldChar w:fldCharType="end"/>
      </w:r>
      <w:r>
        <w:t>: Summary of TEV framework</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85" w:type="dxa"/>
          <w:right w:w="85" w:type="dxa"/>
        </w:tblCellMar>
        <w:tblLook w:val="04A0"/>
      </w:tblPr>
      <w:tblGrid>
        <w:gridCol w:w="2127"/>
        <w:gridCol w:w="7796"/>
      </w:tblGrid>
      <w:tr w:rsidR="00F669FB" w:rsidRPr="00484D90" w:rsidTr="0028460B">
        <w:trPr>
          <w:cantSplit/>
          <w:tblHeader/>
        </w:trPr>
        <w:tc>
          <w:tcPr>
            <w:tcW w:w="1072" w:type="pct"/>
            <w:shd w:val="clear" w:color="auto" w:fill="5185C0"/>
          </w:tcPr>
          <w:p w:rsidR="00D37AE0" w:rsidRPr="00484D90" w:rsidRDefault="00D37AE0" w:rsidP="004D3D4D">
            <w:pPr>
              <w:pStyle w:val="Tablesmallheading"/>
            </w:pPr>
            <w:r w:rsidRPr="00484D90">
              <w:t>TEV element</w:t>
            </w:r>
          </w:p>
        </w:tc>
        <w:tc>
          <w:tcPr>
            <w:tcW w:w="3928" w:type="pct"/>
            <w:shd w:val="clear" w:color="auto" w:fill="5185C0"/>
          </w:tcPr>
          <w:p w:rsidR="00D37AE0" w:rsidRPr="00484D90" w:rsidRDefault="00D37AE0" w:rsidP="004D3D4D">
            <w:pPr>
              <w:pStyle w:val="Tablesmallheading"/>
            </w:pPr>
            <w:r>
              <w:t>Evidence of benefit</w:t>
            </w:r>
          </w:p>
        </w:tc>
      </w:tr>
      <w:tr w:rsidR="00F669FB" w:rsidRPr="00484D90" w:rsidTr="0028460B">
        <w:tc>
          <w:tcPr>
            <w:tcW w:w="1072" w:type="pct"/>
            <w:shd w:val="clear" w:color="auto" w:fill="auto"/>
          </w:tcPr>
          <w:p w:rsidR="00D37AE0" w:rsidRPr="00484D90" w:rsidRDefault="00D37AE0" w:rsidP="004D3D4D">
            <w:pPr>
              <w:pStyle w:val="Tablesmalltext"/>
              <w:rPr>
                <w:b/>
                <w:lang w:val="en-US"/>
              </w:rPr>
            </w:pPr>
            <w:r w:rsidRPr="00484D90">
              <w:rPr>
                <w:b/>
              </w:rPr>
              <w:t>Consumptive benefits from improved pressure</w:t>
            </w:r>
          </w:p>
        </w:tc>
        <w:tc>
          <w:tcPr>
            <w:tcW w:w="3928" w:type="pct"/>
            <w:shd w:val="clear" w:color="auto" w:fill="auto"/>
          </w:tcPr>
          <w:p w:rsidR="00D37AE0" w:rsidRPr="00484D90" w:rsidRDefault="00D37AE0" w:rsidP="004D3D4D">
            <w:pPr>
              <w:pStyle w:val="Tablesmallbullet"/>
              <w:rPr>
                <w:b/>
                <w:lang w:val="en-US"/>
              </w:rPr>
            </w:pPr>
            <w:r w:rsidRPr="00484D90">
              <w:t>QLD – Increase in pressure in half of all artesian bores monitored – 341 having increased by up to 8 m and 31 having increased by more than this</w:t>
            </w:r>
            <w:r w:rsidR="00A40C38">
              <w:t xml:space="preserve"> </w:t>
            </w:r>
            <w:r w:rsidR="00C44E8B">
              <w:t>(</w:t>
            </w:r>
            <w:r w:rsidR="00A40C38">
              <w:t>in 2005</w:t>
            </w:r>
            <w:r w:rsidR="00C44E8B">
              <w:t>)</w:t>
            </w:r>
            <w:r w:rsidRPr="00484D90">
              <w:t xml:space="preserve">. </w:t>
            </w:r>
          </w:p>
          <w:p w:rsidR="00D37AE0" w:rsidRPr="00484D90" w:rsidRDefault="00D37AE0" w:rsidP="004D3D4D">
            <w:pPr>
              <w:pStyle w:val="Tablesmallbullet"/>
            </w:pPr>
            <w:r w:rsidRPr="00484D90">
              <w:t xml:space="preserve">NSW – </w:t>
            </w:r>
            <w:r w:rsidRPr="00484D90">
              <w:rPr>
                <w:rFonts w:cs="Arial"/>
                <w:kern w:val="24"/>
              </w:rPr>
              <w:t>Around 90% of capped bores have either stabilised or increased pressure during the period of GABSI (340 bores). ~12 bores have started to reflow in the last year or two. A non-linear increase is expected over the next few years.</w:t>
            </w:r>
          </w:p>
          <w:p w:rsidR="00D37AE0" w:rsidRPr="00484D90" w:rsidRDefault="00D37AE0" w:rsidP="004D3D4D">
            <w:pPr>
              <w:pStyle w:val="Tablesmallbullet"/>
              <w:rPr>
                <w:rFonts w:cs="Arial"/>
                <w:kern w:val="24"/>
              </w:rPr>
            </w:pPr>
            <w:r w:rsidRPr="00484D90">
              <w:t xml:space="preserve">SA - </w:t>
            </w:r>
            <w:r w:rsidRPr="00484D90">
              <w:rPr>
                <w:rFonts w:cs="Arial"/>
                <w:kern w:val="24"/>
              </w:rPr>
              <w:t>Pressure recovery (10+kpa) observed at little Blyth bore over 17 month period which can be attributed to decommissioning of Big Blyth bore (located 13km away).</w:t>
            </w:r>
          </w:p>
        </w:tc>
      </w:tr>
      <w:tr w:rsidR="00F669FB" w:rsidRPr="00484D90" w:rsidTr="0028460B">
        <w:tc>
          <w:tcPr>
            <w:tcW w:w="1072" w:type="pct"/>
            <w:shd w:val="clear" w:color="auto" w:fill="auto"/>
          </w:tcPr>
          <w:p w:rsidR="00D37AE0" w:rsidRPr="00484D90" w:rsidRDefault="00D37AE0" w:rsidP="004D3D4D">
            <w:pPr>
              <w:pStyle w:val="Tablesmalltext"/>
              <w:rPr>
                <w:b/>
              </w:rPr>
            </w:pPr>
            <w:r w:rsidRPr="00484D90">
              <w:rPr>
                <w:b/>
              </w:rPr>
              <w:t>Direct private landholder benefits</w:t>
            </w:r>
          </w:p>
        </w:tc>
        <w:tc>
          <w:tcPr>
            <w:tcW w:w="3928" w:type="pct"/>
            <w:shd w:val="clear" w:color="auto" w:fill="auto"/>
          </w:tcPr>
          <w:p w:rsidR="00D37AE0" w:rsidRPr="00241794" w:rsidRDefault="00D37AE0" w:rsidP="004D3D4D">
            <w:pPr>
              <w:pStyle w:val="Tablesmalltext"/>
            </w:pPr>
            <w:r w:rsidRPr="00241794">
              <w:t xml:space="preserve">The landowner benefits have not been included in the TEV </w:t>
            </w:r>
            <w:r>
              <w:t xml:space="preserve">given that the focus is on </w:t>
            </w:r>
            <w:r w:rsidRPr="00381BAE">
              <w:t>return on government investment</w:t>
            </w:r>
            <w:r>
              <w:t xml:space="preserve">. </w:t>
            </w:r>
            <w:r w:rsidRPr="00241794">
              <w:t>However, if the</w:t>
            </w:r>
            <w:r>
              <w:t>se benefits were inclu</w:t>
            </w:r>
            <w:r w:rsidRPr="00241794">
              <w:t>ded, there is evidence to suggest that the</w:t>
            </w:r>
            <w:r>
              <w:t xml:space="preserve"> VfM from the perspective of both landowners and government would be higher than the VfM for government alone. This is because studies previously undertaken demonstrate that </w:t>
            </w:r>
            <w:r w:rsidRPr="00381BAE">
              <w:t>benefits</w:t>
            </w:r>
            <w:r w:rsidRPr="00241794">
              <w:t xml:space="preserve"> to landowners exceed their financial contribution to the program</w:t>
            </w:r>
            <w:r>
              <w:t>.</w:t>
            </w:r>
          </w:p>
        </w:tc>
      </w:tr>
      <w:tr w:rsidR="00F669FB" w:rsidRPr="00484D90" w:rsidTr="0028460B">
        <w:tc>
          <w:tcPr>
            <w:tcW w:w="1072" w:type="pct"/>
            <w:shd w:val="clear" w:color="auto" w:fill="auto"/>
          </w:tcPr>
          <w:p w:rsidR="00D37AE0" w:rsidRPr="00484D90" w:rsidRDefault="00D37AE0" w:rsidP="004D3D4D">
            <w:pPr>
              <w:pStyle w:val="Tablesmalltext"/>
              <w:rPr>
                <w:b/>
                <w:lang w:val="en-US"/>
              </w:rPr>
            </w:pPr>
            <w:r w:rsidRPr="00484D90">
              <w:rPr>
                <w:b/>
              </w:rPr>
              <w:t>Tourism, recreation and amenity benefits</w:t>
            </w:r>
          </w:p>
        </w:tc>
        <w:tc>
          <w:tcPr>
            <w:tcW w:w="3928" w:type="pct"/>
            <w:shd w:val="clear" w:color="auto" w:fill="auto"/>
          </w:tcPr>
          <w:p w:rsidR="00D37AE0" w:rsidRPr="00484D90" w:rsidRDefault="00D37AE0" w:rsidP="004D3D4D">
            <w:pPr>
              <w:pStyle w:val="Tablesmalltext"/>
            </w:pPr>
            <w:r w:rsidRPr="00484D90">
              <w:t>Based on the previous study of the Dalhousie Springs complex (recreation benefits of $0.6m/annum) there are likely to be some relatively minor but tangible recreation benefits associated with the GABSI program.</w:t>
            </w:r>
          </w:p>
        </w:tc>
      </w:tr>
      <w:tr w:rsidR="00F669FB" w:rsidRPr="00484D90" w:rsidTr="0028460B">
        <w:tc>
          <w:tcPr>
            <w:tcW w:w="1072" w:type="pct"/>
            <w:shd w:val="clear" w:color="auto" w:fill="auto"/>
          </w:tcPr>
          <w:p w:rsidR="00D37AE0" w:rsidRPr="00484D90" w:rsidRDefault="00D37AE0" w:rsidP="004D3D4D">
            <w:pPr>
              <w:pStyle w:val="Tablesmalltext"/>
              <w:rPr>
                <w:b/>
                <w:lang w:val="en-US"/>
              </w:rPr>
            </w:pPr>
            <w:r w:rsidRPr="00484D90">
              <w:rPr>
                <w:b/>
              </w:rPr>
              <w:t>Heritage benefits</w:t>
            </w:r>
          </w:p>
        </w:tc>
        <w:tc>
          <w:tcPr>
            <w:tcW w:w="3928" w:type="pct"/>
            <w:shd w:val="clear" w:color="auto" w:fill="auto"/>
          </w:tcPr>
          <w:p w:rsidR="00D37AE0" w:rsidRPr="00484D90" w:rsidRDefault="00D37AE0" w:rsidP="004D3D4D">
            <w:pPr>
              <w:pStyle w:val="Tablesmallbullet"/>
            </w:pPr>
            <w:r w:rsidRPr="00484D90">
              <w:t>QLD – 150 Indigenous cultural heritage sites have been recorded in relation to GAB spring wetlands, however this is expected to be a lower estimate of the total number of sites.</w:t>
            </w:r>
          </w:p>
          <w:p w:rsidR="00D37AE0" w:rsidRPr="00484D90" w:rsidRDefault="00D37AE0" w:rsidP="004D3D4D">
            <w:pPr>
              <w:pStyle w:val="Tablesmallbullet"/>
            </w:pPr>
            <w:r w:rsidRPr="00484D90">
              <w:t xml:space="preserve">NSW – significance to Aboriginal people has not been researched for the springs, but Peery Lake has been designated a place of major cultural significance for Aboriginal people of the Barkindji. </w:t>
            </w:r>
          </w:p>
          <w:p w:rsidR="00D37AE0" w:rsidRPr="00484D90" w:rsidRDefault="00D37AE0" w:rsidP="004D3D4D">
            <w:pPr>
              <w:pStyle w:val="Tablesmallbullet"/>
            </w:pPr>
            <w:r w:rsidRPr="00484D90">
              <w:t>SA – has undertaken studies finding Indigenous cultural heritage sites in the GAB region, but these records are unavailable.</w:t>
            </w:r>
          </w:p>
        </w:tc>
      </w:tr>
      <w:tr w:rsidR="00F669FB" w:rsidRPr="00484D90" w:rsidTr="0028460B">
        <w:tc>
          <w:tcPr>
            <w:tcW w:w="1072" w:type="pct"/>
            <w:shd w:val="clear" w:color="auto" w:fill="auto"/>
          </w:tcPr>
          <w:p w:rsidR="00D37AE0" w:rsidRPr="00484D90" w:rsidRDefault="00D37AE0" w:rsidP="004D3D4D">
            <w:pPr>
              <w:pStyle w:val="Tablesmalltext"/>
              <w:rPr>
                <w:b/>
              </w:rPr>
            </w:pPr>
            <w:r w:rsidRPr="00484D90">
              <w:rPr>
                <w:b/>
              </w:rPr>
              <w:t>Option value, bequest / altruism, and stewardship values</w:t>
            </w:r>
          </w:p>
        </w:tc>
        <w:tc>
          <w:tcPr>
            <w:tcW w:w="3928" w:type="pct"/>
            <w:shd w:val="clear" w:color="auto" w:fill="auto"/>
          </w:tcPr>
          <w:p w:rsidR="00D37AE0" w:rsidRPr="00241794" w:rsidRDefault="00D37AE0" w:rsidP="004D3D4D">
            <w:pPr>
              <w:pStyle w:val="Tablesmalltext"/>
            </w:pPr>
            <w:r w:rsidRPr="00381BAE">
              <w:t>Unable to be quantified</w:t>
            </w:r>
            <w:r>
              <w:t xml:space="preserve"> and no specific data for a robust qualitative assessment.</w:t>
            </w:r>
          </w:p>
        </w:tc>
      </w:tr>
      <w:tr w:rsidR="00F669FB" w:rsidRPr="00484D90" w:rsidTr="0028460B">
        <w:tc>
          <w:tcPr>
            <w:tcW w:w="1072" w:type="pct"/>
            <w:shd w:val="clear" w:color="auto" w:fill="auto"/>
          </w:tcPr>
          <w:p w:rsidR="00D37AE0" w:rsidRPr="00484D90" w:rsidRDefault="00D37AE0" w:rsidP="004D3D4D">
            <w:pPr>
              <w:pStyle w:val="Tablesmalltext"/>
              <w:rPr>
                <w:b/>
                <w:lang w:val="en-US"/>
              </w:rPr>
            </w:pPr>
            <w:r w:rsidRPr="00484D90">
              <w:rPr>
                <w:b/>
              </w:rPr>
              <w:t>Conserving biodiversity</w:t>
            </w:r>
          </w:p>
        </w:tc>
        <w:tc>
          <w:tcPr>
            <w:tcW w:w="3928" w:type="pct"/>
            <w:shd w:val="clear" w:color="auto" w:fill="auto"/>
          </w:tcPr>
          <w:p w:rsidR="00D37AE0" w:rsidRPr="00484D90" w:rsidRDefault="00D37AE0" w:rsidP="004D3D4D">
            <w:pPr>
              <w:pStyle w:val="Tablesmalltext"/>
            </w:pPr>
            <w:r w:rsidRPr="00484D90">
              <w:t>GAB environmental assets are protected under various Commonwealth and State legislative obligations. There are significant biodiversity values located at springs in the GAB, however a clearer relationship between GABSI and improvement in the springs needs to be established.</w:t>
            </w:r>
          </w:p>
        </w:tc>
      </w:tr>
    </w:tbl>
    <w:p w:rsidR="004446F6" w:rsidRPr="00863E1E" w:rsidRDefault="004446F6" w:rsidP="005146F3">
      <w:pPr>
        <w:pStyle w:val="Heading1"/>
      </w:pPr>
      <w:bookmarkStart w:id="67" w:name="_Ref373311219"/>
      <w:bookmarkStart w:id="68" w:name="_Ref373311459"/>
      <w:bookmarkStart w:id="69" w:name="_Toc378163310"/>
      <w:r w:rsidRPr="00863E1E">
        <w:t>Sensitivity analysis</w:t>
      </w:r>
      <w:bookmarkEnd w:id="67"/>
      <w:bookmarkEnd w:id="68"/>
      <w:bookmarkEnd w:id="69"/>
    </w:p>
    <w:p w:rsidR="00EF2C5C" w:rsidRDefault="00630D12" w:rsidP="00FE4E9B">
      <w:pPr>
        <w:pStyle w:val="Para0"/>
      </w:pPr>
      <w:r w:rsidRPr="0099618D">
        <w:t xml:space="preserve">Given the uncertainty </w:t>
      </w:r>
      <w:r w:rsidRPr="00FE4E9B">
        <w:t>associated</w:t>
      </w:r>
      <w:r w:rsidRPr="0099618D">
        <w:t xml:space="preserve"> with many of the assumption</w:t>
      </w:r>
      <w:r w:rsidR="00553447">
        <w:t>s</w:t>
      </w:r>
      <w:r w:rsidRPr="0099618D">
        <w:t xml:space="preserve">, the </w:t>
      </w:r>
      <w:r w:rsidR="00287B99">
        <w:t xml:space="preserve">sensitivity of key variables </w:t>
      </w:r>
      <w:r w:rsidR="00504588">
        <w:t>was</w:t>
      </w:r>
      <w:r w:rsidRPr="0099618D">
        <w:t xml:space="preserve"> tested to</w:t>
      </w:r>
      <w:r>
        <w:t xml:space="preserve"> assess the impact on the benefit cost ratio. Seven tests were conducted as follows:</w:t>
      </w:r>
    </w:p>
    <w:p w:rsidR="001A1771" w:rsidRDefault="001A1771" w:rsidP="001A1771">
      <w:pPr>
        <w:pStyle w:val="Para0bullet"/>
      </w:pPr>
      <w:r w:rsidRPr="00287B99">
        <w:rPr>
          <w:b/>
        </w:rPr>
        <w:t>Test 1:</w:t>
      </w:r>
      <w:r>
        <w:t xml:space="preserve"> Discount rate of 3% (instead of 7%, consistent with Commonwealth Government guidelines)</w:t>
      </w:r>
      <w:r w:rsidR="00E520E9">
        <w:t>.</w:t>
      </w:r>
    </w:p>
    <w:p w:rsidR="001A1771" w:rsidRDefault="001A1771" w:rsidP="001A1771">
      <w:pPr>
        <w:pStyle w:val="Para0bullet"/>
      </w:pPr>
      <w:r w:rsidRPr="00287B99">
        <w:rPr>
          <w:b/>
        </w:rPr>
        <w:t xml:space="preserve">Test 2: </w:t>
      </w:r>
      <w:r>
        <w:t>Discount rate of 10% (instead of 7%, consistent with Commonwealth Government guidelines)</w:t>
      </w:r>
      <w:r w:rsidR="00E520E9">
        <w:t>.</w:t>
      </w:r>
    </w:p>
    <w:p w:rsidR="001A1771" w:rsidRDefault="001A1771" w:rsidP="001A1771">
      <w:pPr>
        <w:pStyle w:val="Para0bullet"/>
      </w:pPr>
      <w:r w:rsidRPr="00287B99">
        <w:rPr>
          <w:b/>
        </w:rPr>
        <w:t>Test 3:</w:t>
      </w:r>
      <w:r>
        <w:t xml:space="preserve"> Market value of water allocated for consumptive use was tested at $613/ML (relative to the base assumption of $804/ML). This is considered to be a more conservative estimate based on the lowest price paid at the NSW Auction in 2009</w:t>
      </w:r>
      <w:r w:rsidR="00E520E9">
        <w:t>.</w:t>
      </w:r>
    </w:p>
    <w:p w:rsidR="001A1771" w:rsidRDefault="001A1771" w:rsidP="001A1771">
      <w:pPr>
        <w:pStyle w:val="Para0bullet"/>
      </w:pPr>
      <w:r w:rsidRPr="00287B99">
        <w:rPr>
          <w:b/>
        </w:rPr>
        <w:t xml:space="preserve">Test 4: </w:t>
      </w:r>
      <w:r>
        <w:t>Market value of water allocated for consumptive use was tested at $2,281/ML (relative to the base assumption of $804/ML). This test reflects the average price for the five transactions in Qld</w:t>
      </w:r>
      <w:r w:rsidR="00E520E9">
        <w:t xml:space="preserve"> (ranging from $1,500 to $2,500).</w:t>
      </w:r>
    </w:p>
    <w:p w:rsidR="001A1771" w:rsidRDefault="001A1771" w:rsidP="001A1771">
      <w:pPr>
        <w:pStyle w:val="Para0bullet"/>
      </w:pPr>
      <w:r w:rsidRPr="00287B99">
        <w:rPr>
          <w:b/>
        </w:rPr>
        <w:t xml:space="preserve">Test 5: </w:t>
      </w:r>
      <w:r>
        <w:t>A carbon price of zero (relative to $23 dollars) was tested given the uncertainty of a future price of carbon. However it should be noted that even if there is no market for carbon, the price on carbon within the TEV assessment reflects the social cost of greenhouse gas emissions, not the financial costs.</w:t>
      </w:r>
    </w:p>
    <w:p w:rsidR="001A1771" w:rsidRDefault="001A1771" w:rsidP="001A1771">
      <w:pPr>
        <w:pStyle w:val="Para0bullet"/>
      </w:pPr>
      <w:r w:rsidRPr="00287B99">
        <w:rPr>
          <w:b/>
        </w:rPr>
        <w:t xml:space="preserve">Test 6: </w:t>
      </w:r>
      <w:r>
        <w:t>A doubling of the carbon price to $46 to reflect a higher social cost associated with emissions than has been reflected by the carbon tax.</w:t>
      </w:r>
    </w:p>
    <w:p w:rsidR="001A1771" w:rsidRPr="00863E1E" w:rsidRDefault="001A1771" w:rsidP="001A1771">
      <w:pPr>
        <w:pStyle w:val="Para0bullet"/>
      </w:pPr>
      <w:r w:rsidRPr="00287B99">
        <w:rPr>
          <w:b/>
        </w:rPr>
        <w:t xml:space="preserve">Test 7: </w:t>
      </w:r>
      <w:r>
        <w:t xml:space="preserve">Maximum of 50% of saved water being reallocated for consumptive use in Queensland, New South Wales and South Australia (as opposed to 30% maximum assumed for Queensland and NSW in the analysis). 50% is the upper limit in the National Partnership agreement, and is higher than what has been captured in the Implementation Plans for Queensland and NSW. </w:t>
      </w:r>
    </w:p>
    <w:p w:rsidR="001A1B46" w:rsidRDefault="001A1B46" w:rsidP="00EF2C5C">
      <w:pPr>
        <w:pStyle w:val="Para0"/>
      </w:pPr>
      <w:r>
        <w:t>The results (BCR or TEV/dollar invested) for the seven sensitivity tests are summarised in the table below. Shaded tests indicate a higher BCR than in the base scenario.</w:t>
      </w:r>
    </w:p>
    <w:p w:rsidR="00216A64" w:rsidRDefault="00216A64" w:rsidP="00216A64">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25</w:t>
      </w:r>
      <w:r w:rsidR="006768F1">
        <w:fldChar w:fldCharType="end"/>
      </w:r>
      <w:r w:rsidRPr="00863E1E">
        <w:t xml:space="preserve">: </w:t>
      </w:r>
      <w:r>
        <w:t>Sensitivity test results</w:t>
      </w:r>
    </w:p>
    <w:tbl>
      <w:tblPr>
        <w:tblW w:w="9943" w:type="dxa"/>
        <w:tblInd w:w="108" w:type="dxa"/>
        <w:tblBorders>
          <w:top w:val="single" w:sz="4" w:space="0" w:color="79746C"/>
          <w:left w:val="single" w:sz="4" w:space="0" w:color="79746C"/>
          <w:bottom w:val="single" w:sz="4" w:space="0" w:color="79746C"/>
          <w:right w:val="single" w:sz="4" w:space="0" w:color="79746C"/>
          <w:insideH w:val="single" w:sz="4" w:space="0" w:color="79746C"/>
          <w:insideV w:val="single" w:sz="4" w:space="0" w:color="79746C"/>
        </w:tblBorders>
        <w:tblLook w:val="00A0"/>
      </w:tblPr>
      <w:tblGrid>
        <w:gridCol w:w="851"/>
        <w:gridCol w:w="2410"/>
        <w:gridCol w:w="1113"/>
        <w:gridCol w:w="1114"/>
        <w:gridCol w:w="1114"/>
        <w:gridCol w:w="1113"/>
        <w:gridCol w:w="1114"/>
        <w:gridCol w:w="1114"/>
      </w:tblGrid>
      <w:tr w:rsidR="00F669FB" w:rsidRPr="00863E1E" w:rsidTr="002E4907">
        <w:trPr>
          <w:trHeight w:val="419"/>
          <w:tblHeader/>
        </w:trPr>
        <w:tc>
          <w:tcPr>
            <w:tcW w:w="851" w:type="dxa"/>
            <w:vMerge w:val="restart"/>
            <w:shd w:val="clear" w:color="auto" w:fill="5185C0"/>
            <w:vAlign w:val="center"/>
          </w:tcPr>
          <w:p w:rsidR="001A1B46" w:rsidRPr="00AF3EEE" w:rsidRDefault="001A1B46" w:rsidP="001A1771">
            <w:pPr>
              <w:pStyle w:val="Tablesmallheading"/>
              <w:rPr>
                <w:highlight w:val="yellow"/>
              </w:rPr>
            </w:pPr>
            <w:r w:rsidRPr="00F669FB">
              <w:t>Test</w:t>
            </w:r>
          </w:p>
        </w:tc>
        <w:tc>
          <w:tcPr>
            <w:tcW w:w="2410" w:type="dxa"/>
            <w:vMerge w:val="restart"/>
            <w:shd w:val="clear" w:color="auto" w:fill="5185C0"/>
            <w:vAlign w:val="center"/>
          </w:tcPr>
          <w:p w:rsidR="001A1B46" w:rsidRPr="00824349" w:rsidRDefault="001A1B46" w:rsidP="001A1771">
            <w:pPr>
              <w:pStyle w:val="Tablesmallheading"/>
            </w:pPr>
            <w:r w:rsidRPr="00824349">
              <w:t>Variable tested</w:t>
            </w:r>
          </w:p>
        </w:tc>
        <w:tc>
          <w:tcPr>
            <w:tcW w:w="6682" w:type="dxa"/>
            <w:gridSpan w:val="6"/>
            <w:shd w:val="clear" w:color="auto" w:fill="5185C0"/>
            <w:vAlign w:val="center"/>
          </w:tcPr>
          <w:p w:rsidR="001A1B46" w:rsidRPr="00824349" w:rsidRDefault="001A1B46" w:rsidP="001A1771">
            <w:pPr>
              <w:pStyle w:val="Tablesmallheading"/>
              <w:jc w:val="center"/>
            </w:pPr>
            <w:r w:rsidRPr="00824349">
              <w:t>TEV per dollar invested (BCR)</w:t>
            </w:r>
          </w:p>
        </w:tc>
      </w:tr>
      <w:tr w:rsidR="00F669FB" w:rsidRPr="00863E1E" w:rsidTr="00EA1E2C">
        <w:trPr>
          <w:trHeight w:val="578"/>
          <w:tblHeader/>
        </w:trPr>
        <w:tc>
          <w:tcPr>
            <w:tcW w:w="851" w:type="dxa"/>
            <w:vMerge/>
            <w:shd w:val="clear" w:color="auto" w:fill="5185C0"/>
            <w:vAlign w:val="center"/>
          </w:tcPr>
          <w:p w:rsidR="001A1B46" w:rsidRPr="00FD0F80" w:rsidRDefault="001A1B46" w:rsidP="001A1771">
            <w:pPr>
              <w:pStyle w:val="Tablesmallheading"/>
              <w:rPr>
                <w:highlight w:val="yellow"/>
              </w:rPr>
            </w:pPr>
          </w:p>
        </w:tc>
        <w:tc>
          <w:tcPr>
            <w:tcW w:w="2410" w:type="dxa"/>
            <w:vMerge/>
            <w:shd w:val="clear" w:color="auto" w:fill="5185C0"/>
            <w:vAlign w:val="center"/>
          </w:tcPr>
          <w:p w:rsidR="001A1B46" w:rsidRPr="00FD0F80" w:rsidRDefault="001A1B46" w:rsidP="001A1771">
            <w:pPr>
              <w:pStyle w:val="Tablesmallheading"/>
            </w:pPr>
          </w:p>
        </w:tc>
        <w:tc>
          <w:tcPr>
            <w:tcW w:w="1113" w:type="dxa"/>
            <w:shd w:val="clear" w:color="auto" w:fill="5185C0"/>
            <w:vAlign w:val="center"/>
          </w:tcPr>
          <w:p w:rsidR="001A1B46" w:rsidRPr="00FD0F80" w:rsidRDefault="001A1B46" w:rsidP="00EA1E2C">
            <w:pPr>
              <w:pStyle w:val="Tablesmallheading"/>
              <w:jc w:val="center"/>
            </w:pPr>
            <w:r w:rsidRPr="00FD0F80">
              <w:t>Phase 1</w:t>
            </w:r>
          </w:p>
        </w:tc>
        <w:tc>
          <w:tcPr>
            <w:tcW w:w="1114" w:type="dxa"/>
            <w:shd w:val="clear" w:color="auto" w:fill="5185C0"/>
            <w:vAlign w:val="center"/>
          </w:tcPr>
          <w:p w:rsidR="001A1B46" w:rsidRPr="00FD0F80" w:rsidRDefault="001A1B46" w:rsidP="00EA1E2C">
            <w:pPr>
              <w:pStyle w:val="Tablesmallheading"/>
              <w:jc w:val="center"/>
            </w:pPr>
            <w:r w:rsidRPr="00FD0F80">
              <w:t>Phase 2</w:t>
            </w:r>
          </w:p>
        </w:tc>
        <w:tc>
          <w:tcPr>
            <w:tcW w:w="1114" w:type="dxa"/>
            <w:shd w:val="clear" w:color="auto" w:fill="5185C0"/>
            <w:vAlign w:val="center"/>
          </w:tcPr>
          <w:p w:rsidR="001A1B46" w:rsidRPr="00FD0F80" w:rsidRDefault="001A1B46" w:rsidP="00EA1E2C">
            <w:pPr>
              <w:pStyle w:val="Tablesmallheading"/>
              <w:jc w:val="center"/>
            </w:pPr>
            <w:r w:rsidRPr="00FD0F80">
              <w:t>Phase 3 (to June 2013)</w:t>
            </w:r>
          </w:p>
        </w:tc>
        <w:tc>
          <w:tcPr>
            <w:tcW w:w="1113" w:type="dxa"/>
            <w:shd w:val="clear" w:color="auto" w:fill="5185C0"/>
            <w:vAlign w:val="center"/>
          </w:tcPr>
          <w:p w:rsidR="001A1B46" w:rsidRPr="00FD0F80" w:rsidRDefault="001A1B46" w:rsidP="00EA1E2C">
            <w:pPr>
              <w:pStyle w:val="Tablesmallheading"/>
              <w:jc w:val="center"/>
            </w:pPr>
            <w:r w:rsidRPr="00FD0F80">
              <w:t>Phase 3 (to June 2014)</w:t>
            </w:r>
          </w:p>
        </w:tc>
        <w:tc>
          <w:tcPr>
            <w:tcW w:w="1114" w:type="dxa"/>
            <w:shd w:val="clear" w:color="auto" w:fill="5185C0"/>
            <w:vAlign w:val="center"/>
          </w:tcPr>
          <w:p w:rsidR="001A1B46" w:rsidRPr="00FD0F80" w:rsidRDefault="001A1B46" w:rsidP="00EA1E2C">
            <w:pPr>
              <w:pStyle w:val="Tablesmallheading"/>
              <w:jc w:val="center"/>
            </w:pPr>
            <w:r w:rsidRPr="00FD0F80">
              <w:t>TOTAL to June 2013</w:t>
            </w:r>
          </w:p>
        </w:tc>
        <w:tc>
          <w:tcPr>
            <w:tcW w:w="1114" w:type="dxa"/>
            <w:shd w:val="clear" w:color="auto" w:fill="5185C0"/>
            <w:vAlign w:val="center"/>
          </w:tcPr>
          <w:p w:rsidR="001A1B46" w:rsidRPr="00FD0F80" w:rsidRDefault="001A1B46" w:rsidP="00EA1E2C">
            <w:pPr>
              <w:pStyle w:val="Tablesmallheading"/>
              <w:jc w:val="center"/>
            </w:pPr>
            <w:r w:rsidRPr="00FD0F80">
              <w:t>TOTAL to June 2014</w:t>
            </w:r>
          </w:p>
        </w:tc>
      </w:tr>
      <w:tr w:rsidR="00EA1E2C" w:rsidRPr="00411158" w:rsidTr="00EA1E2C">
        <w:tc>
          <w:tcPr>
            <w:tcW w:w="851" w:type="dxa"/>
            <w:vAlign w:val="center"/>
          </w:tcPr>
          <w:p w:rsidR="00EA1E2C" w:rsidRPr="00FD0F80" w:rsidRDefault="00EA1E2C" w:rsidP="00216A64">
            <w:pPr>
              <w:pStyle w:val="Tablesmalltext"/>
              <w:spacing w:before="0" w:after="0"/>
              <w:jc w:val="center"/>
              <w:rPr>
                <w:b/>
              </w:rPr>
            </w:pPr>
            <w:r w:rsidRPr="00FD0F80">
              <w:rPr>
                <w:b/>
              </w:rPr>
              <w:t>TEV result</w:t>
            </w:r>
          </w:p>
        </w:tc>
        <w:tc>
          <w:tcPr>
            <w:tcW w:w="2410" w:type="dxa"/>
            <w:vAlign w:val="center"/>
          </w:tcPr>
          <w:p w:rsidR="00EA1E2C" w:rsidRPr="001A1B46" w:rsidRDefault="00EA1E2C" w:rsidP="009A26E6">
            <w:pPr>
              <w:pStyle w:val="Tablesmalltext"/>
            </w:pPr>
            <w:r w:rsidRPr="001A1B46">
              <w:t>NA</w:t>
            </w:r>
          </w:p>
        </w:tc>
        <w:tc>
          <w:tcPr>
            <w:tcW w:w="1113" w:type="dxa"/>
          </w:tcPr>
          <w:p w:rsidR="00EA1E2C" w:rsidRPr="00EA1E2C" w:rsidRDefault="00EA1E2C" w:rsidP="00EA1E2C">
            <w:pPr>
              <w:pStyle w:val="Tablesmalltext"/>
              <w:jc w:val="center"/>
            </w:pPr>
            <w:r w:rsidRPr="00EA1E2C">
              <w:t>0.77</w:t>
            </w:r>
          </w:p>
        </w:tc>
        <w:tc>
          <w:tcPr>
            <w:tcW w:w="1114" w:type="dxa"/>
          </w:tcPr>
          <w:p w:rsidR="00EA1E2C" w:rsidRPr="00EA1E2C" w:rsidRDefault="00EA1E2C" w:rsidP="00EA1E2C">
            <w:pPr>
              <w:pStyle w:val="Tablesmalltext"/>
              <w:jc w:val="center"/>
            </w:pPr>
            <w:r w:rsidRPr="00EA1E2C">
              <w:t>0.45</w:t>
            </w:r>
          </w:p>
        </w:tc>
        <w:tc>
          <w:tcPr>
            <w:tcW w:w="1114" w:type="dxa"/>
          </w:tcPr>
          <w:p w:rsidR="00EA1E2C" w:rsidRPr="00EA1E2C" w:rsidRDefault="00EA1E2C" w:rsidP="00EA1E2C">
            <w:pPr>
              <w:pStyle w:val="Tablesmalltext"/>
              <w:jc w:val="center"/>
            </w:pPr>
            <w:r w:rsidRPr="00EA1E2C">
              <w:t>0.33</w:t>
            </w:r>
          </w:p>
        </w:tc>
        <w:tc>
          <w:tcPr>
            <w:tcW w:w="1113" w:type="dxa"/>
          </w:tcPr>
          <w:p w:rsidR="00EA1E2C" w:rsidRPr="00EA1E2C" w:rsidRDefault="00EA1E2C" w:rsidP="00EA1E2C">
            <w:pPr>
              <w:pStyle w:val="Tablesmalltext"/>
              <w:jc w:val="center"/>
            </w:pPr>
            <w:r w:rsidRPr="00EA1E2C">
              <w:t>0.35</w:t>
            </w:r>
          </w:p>
        </w:tc>
        <w:tc>
          <w:tcPr>
            <w:tcW w:w="1114" w:type="dxa"/>
          </w:tcPr>
          <w:p w:rsidR="00EA1E2C" w:rsidRPr="00EA1E2C" w:rsidRDefault="00EA1E2C" w:rsidP="00EA1E2C">
            <w:pPr>
              <w:pStyle w:val="Tablesmalltext"/>
              <w:jc w:val="center"/>
            </w:pPr>
            <w:r w:rsidRPr="00EA1E2C">
              <w:t>0.56</w:t>
            </w:r>
          </w:p>
        </w:tc>
        <w:tc>
          <w:tcPr>
            <w:tcW w:w="1114" w:type="dxa"/>
          </w:tcPr>
          <w:p w:rsidR="00EA1E2C" w:rsidRPr="00EA1E2C" w:rsidRDefault="00EA1E2C" w:rsidP="00EA1E2C">
            <w:pPr>
              <w:pStyle w:val="Tablesmalltext"/>
              <w:jc w:val="center"/>
            </w:pPr>
            <w:r w:rsidRPr="00EA1E2C">
              <w:t>0.55</w:t>
            </w:r>
          </w:p>
        </w:tc>
      </w:tr>
      <w:tr w:rsidR="00EA1E2C" w:rsidRPr="00411158" w:rsidTr="00EA1E2C">
        <w:tc>
          <w:tcPr>
            <w:tcW w:w="851" w:type="dxa"/>
            <w:shd w:val="clear" w:color="auto" w:fill="D3D4D5"/>
            <w:vAlign w:val="center"/>
          </w:tcPr>
          <w:p w:rsidR="00EA1E2C" w:rsidRPr="00FD0F80" w:rsidRDefault="00EA1E2C" w:rsidP="00216A64">
            <w:pPr>
              <w:pStyle w:val="Tablesmalltext"/>
              <w:spacing w:before="0" w:after="0"/>
              <w:jc w:val="center"/>
              <w:rPr>
                <w:b/>
              </w:rPr>
            </w:pPr>
            <w:r w:rsidRPr="00FD0F80">
              <w:rPr>
                <w:b/>
              </w:rPr>
              <w:t>1</w:t>
            </w:r>
          </w:p>
        </w:tc>
        <w:tc>
          <w:tcPr>
            <w:tcW w:w="2410" w:type="dxa"/>
            <w:shd w:val="clear" w:color="auto" w:fill="D3D4D5"/>
            <w:vAlign w:val="center"/>
          </w:tcPr>
          <w:p w:rsidR="00EA1E2C" w:rsidRPr="001A1B46" w:rsidRDefault="00EA1E2C" w:rsidP="009A26E6">
            <w:pPr>
              <w:pStyle w:val="Tablesmalltext"/>
            </w:pPr>
            <w:r w:rsidRPr="001A1B46">
              <w:t xml:space="preserve">Discount rate of </w:t>
            </w:r>
            <w:r>
              <w:t>3</w:t>
            </w:r>
            <w:r w:rsidRPr="001A1B46">
              <w:t>%</w:t>
            </w:r>
          </w:p>
        </w:tc>
        <w:tc>
          <w:tcPr>
            <w:tcW w:w="1113" w:type="dxa"/>
            <w:shd w:val="clear" w:color="auto" w:fill="D3D4D5"/>
          </w:tcPr>
          <w:p w:rsidR="00EA1E2C" w:rsidRPr="00EA1E2C" w:rsidRDefault="00EA1E2C" w:rsidP="00EA1E2C">
            <w:pPr>
              <w:pStyle w:val="Tablesmalltext"/>
              <w:jc w:val="center"/>
            </w:pPr>
            <w:r w:rsidRPr="00EA1E2C">
              <w:t>0.86</w:t>
            </w:r>
          </w:p>
        </w:tc>
        <w:tc>
          <w:tcPr>
            <w:tcW w:w="1114" w:type="dxa"/>
            <w:shd w:val="clear" w:color="auto" w:fill="D3D4D5"/>
          </w:tcPr>
          <w:p w:rsidR="00EA1E2C" w:rsidRPr="00EA1E2C" w:rsidRDefault="00EA1E2C" w:rsidP="00EA1E2C">
            <w:pPr>
              <w:pStyle w:val="Tablesmalltext"/>
              <w:jc w:val="center"/>
            </w:pPr>
            <w:r w:rsidRPr="00EA1E2C">
              <w:t>0.51</w:t>
            </w:r>
          </w:p>
        </w:tc>
        <w:tc>
          <w:tcPr>
            <w:tcW w:w="1114" w:type="dxa"/>
            <w:shd w:val="clear" w:color="auto" w:fill="D3D4D5"/>
          </w:tcPr>
          <w:p w:rsidR="00EA1E2C" w:rsidRPr="00EA1E2C" w:rsidRDefault="00EA1E2C" w:rsidP="00EA1E2C">
            <w:pPr>
              <w:pStyle w:val="Tablesmalltext"/>
              <w:jc w:val="center"/>
            </w:pPr>
            <w:r w:rsidRPr="00EA1E2C">
              <w:t>0.37</w:t>
            </w:r>
          </w:p>
        </w:tc>
        <w:tc>
          <w:tcPr>
            <w:tcW w:w="1113" w:type="dxa"/>
            <w:shd w:val="clear" w:color="auto" w:fill="D3D4D5"/>
          </w:tcPr>
          <w:p w:rsidR="00EA1E2C" w:rsidRPr="00EA1E2C" w:rsidRDefault="00EA1E2C" w:rsidP="00EA1E2C">
            <w:pPr>
              <w:pStyle w:val="Tablesmalltext"/>
              <w:jc w:val="center"/>
            </w:pPr>
            <w:r w:rsidRPr="00EA1E2C">
              <w:t>0.39</w:t>
            </w:r>
          </w:p>
        </w:tc>
        <w:tc>
          <w:tcPr>
            <w:tcW w:w="1114" w:type="dxa"/>
            <w:shd w:val="clear" w:color="auto" w:fill="D3D4D5"/>
          </w:tcPr>
          <w:p w:rsidR="00EA1E2C" w:rsidRPr="00EA1E2C" w:rsidRDefault="00EA1E2C" w:rsidP="00EA1E2C">
            <w:pPr>
              <w:pStyle w:val="Tablesmalltext"/>
              <w:jc w:val="center"/>
            </w:pPr>
            <w:r w:rsidRPr="00EA1E2C">
              <w:t>0.60</w:t>
            </w:r>
          </w:p>
        </w:tc>
        <w:tc>
          <w:tcPr>
            <w:tcW w:w="1114" w:type="dxa"/>
            <w:shd w:val="clear" w:color="auto" w:fill="D3D4D5"/>
          </w:tcPr>
          <w:p w:rsidR="00EA1E2C" w:rsidRPr="00EA1E2C" w:rsidRDefault="00EA1E2C" w:rsidP="00EA1E2C">
            <w:pPr>
              <w:pStyle w:val="Tablesmalltext"/>
              <w:jc w:val="center"/>
            </w:pPr>
            <w:r w:rsidRPr="00EA1E2C">
              <w:t>0.59</w:t>
            </w:r>
          </w:p>
        </w:tc>
      </w:tr>
      <w:tr w:rsidR="00EA1E2C" w:rsidRPr="00411158" w:rsidTr="00EA1E2C">
        <w:tc>
          <w:tcPr>
            <w:tcW w:w="851" w:type="dxa"/>
            <w:vAlign w:val="center"/>
          </w:tcPr>
          <w:p w:rsidR="00EA1E2C" w:rsidRPr="00FD0F80" w:rsidRDefault="00EA1E2C" w:rsidP="00216A64">
            <w:pPr>
              <w:pStyle w:val="Tablesmalltext"/>
              <w:spacing w:before="0" w:after="0"/>
              <w:jc w:val="center"/>
              <w:rPr>
                <w:b/>
              </w:rPr>
            </w:pPr>
            <w:r w:rsidRPr="00FD0F80">
              <w:rPr>
                <w:b/>
              </w:rPr>
              <w:t>2</w:t>
            </w:r>
          </w:p>
        </w:tc>
        <w:tc>
          <w:tcPr>
            <w:tcW w:w="2410" w:type="dxa"/>
            <w:vAlign w:val="center"/>
          </w:tcPr>
          <w:p w:rsidR="00EA1E2C" w:rsidRPr="001A1B46" w:rsidRDefault="00EA1E2C" w:rsidP="009A26E6">
            <w:pPr>
              <w:pStyle w:val="Tablesmalltext"/>
            </w:pPr>
            <w:r w:rsidRPr="001A1B46">
              <w:t>Discount rate of 10%</w:t>
            </w:r>
          </w:p>
        </w:tc>
        <w:tc>
          <w:tcPr>
            <w:tcW w:w="1113" w:type="dxa"/>
          </w:tcPr>
          <w:p w:rsidR="00EA1E2C" w:rsidRPr="00EA1E2C" w:rsidRDefault="00EA1E2C" w:rsidP="00EA1E2C">
            <w:pPr>
              <w:pStyle w:val="Tablesmalltext"/>
              <w:jc w:val="center"/>
            </w:pPr>
            <w:r w:rsidRPr="00EA1E2C">
              <w:t>0.74</w:t>
            </w:r>
          </w:p>
        </w:tc>
        <w:tc>
          <w:tcPr>
            <w:tcW w:w="1114" w:type="dxa"/>
          </w:tcPr>
          <w:p w:rsidR="00EA1E2C" w:rsidRPr="00EA1E2C" w:rsidRDefault="00EA1E2C" w:rsidP="00EA1E2C">
            <w:pPr>
              <w:pStyle w:val="Tablesmalltext"/>
              <w:jc w:val="center"/>
            </w:pPr>
            <w:r w:rsidRPr="00EA1E2C">
              <w:t>0.43</w:t>
            </w:r>
          </w:p>
        </w:tc>
        <w:tc>
          <w:tcPr>
            <w:tcW w:w="1114" w:type="dxa"/>
          </w:tcPr>
          <w:p w:rsidR="00EA1E2C" w:rsidRPr="00EA1E2C" w:rsidRDefault="00EA1E2C" w:rsidP="00EA1E2C">
            <w:pPr>
              <w:pStyle w:val="Tablesmalltext"/>
              <w:jc w:val="center"/>
            </w:pPr>
            <w:r w:rsidRPr="00EA1E2C">
              <w:t>0.31</w:t>
            </w:r>
          </w:p>
        </w:tc>
        <w:tc>
          <w:tcPr>
            <w:tcW w:w="1113" w:type="dxa"/>
          </w:tcPr>
          <w:p w:rsidR="00EA1E2C" w:rsidRPr="00EA1E2C" w:rsidRDefault="00EA1E2C" w:rsidP="00EA1E2C">
            <w:pPr>
              <w:pStyle w:val="Tablesmalltext"/>
              <w:jc w:val="center"/>
            </w:pPr>
            <w:r w:rsidRPr="00EA1E2C">
              <w:t>0.34</w:t>
            </w:r>
          </w:p>
        </w:tc>
        <w:tc>
          <w:tcPr>
            <w:tcW w:w="1114" w:type="dxa"/>
          </w:tcPr>
          <w:p w:rsidR="00EA1E2C" w:rsidRPr="00EA1E2C" w:rsidRDefault="00EA1E2C" w:rsidP="00EA1E2C">
            <w:pPr>
              <w:pStyle w:val="Tablesmalltext"/>
              <w:jc w:val="center"/>
            </w:pPr>
            <w:r w:rsidRPr="00EA1E2C">
              <w:t>0.55</w:t>
            </w:r>
          </w:p>
        </w:tc>
        <w:tc>
          <w:tcPr>
            <w:tcW w:w="1114" w:type="dxa"/>
          </w:tcPr>
          <w:p w:rsidR="00EA1E2C" w:rsidRPr="00EA1E2C" w:rsidRDefault="00EA1E2C" w:rsidP="00EA1E2C">
            <w:pPr>
              <w:pStyle w:val="Tablesmalltext"/>
              <w:jc w:val="center"/>
            </w:pPr>
            <w:r w:rsidRPr="00EA1E2C">
              <w:t>0.55</w:t>
            </w:r>
          </w:p>
        </w:tc>
      </w:tr>
      <w:tr w:rsidR="00EA1E2C" w:rsidRPr="00411158" w:rsidTr="00EA1E2C">
        <w:tc>
          <w:tcPr>
            <w:tcW w:w="851" w:type="dxa"/>
            <w:vAlign w:val="center"/>
          </w:tcPr>
          <w:p w:rsidR="00EA1E2C" w:rsidRPr="00FD0F80" w:rsidRDefault="00EA1E2C" w:rsidP="00216A64">
            <w:pPr>
              <w:pStyle w:val="Tablesmalltext"/>
              <w:spacing w:before="0" w:after="0"/>
              <w:jc w:val="center"/>
              <w:rPr>
                <w:b/>
              </w:rPr>
            </w:pPr>
            <w:r w:rsidRPr="00FD0F80">
              <w:rPr>
                <w:b/>
              </w:rPr>
              <w:t>3</w:t>
            </w:r>
          </w:p>
        </w:tc>
        <w:tc>
          <w:tcPr>
            <w:tcW w:w="2410" w:type="dxa"/>
            <w:vAlign w:val="center"/>
          </w:tcPr>
          <w:p w:rsidR="00EA1E2C" w:rsidRPr="001A1B46" w:rsidRDefault="00EA1E2C" w:rsidP="009A26E6">
            <w:pPr>
              <w:pStyle w:val="Tablesmalltext"/>
            </w:pPr>
            <w:r w:rsidRPr="001A1B46">
              <w:t>WTP for new water - lower limit at $613/ML</w:t>
            </w:r>
          </w:p>
        </w:tc>
        <w:tc>
          <w:tcPr>
            <w:tcW w:w="1113" w:type="dxa"/>
          </w:tcPr>
          <w:p w:rsidR="00EA1E2C" w:rsidRPr="00EA1E2C" w:rsidRDefault="00EA1E2C" w:rsidP="00EA1E2C">
            <w:pPr>
              <w:pStyle w:val="Tablesmalltext"/>
              <w:jc w:val="center"/>
            </w:pPr>
            <w:r w:rsidRPr="00EA1E2C">
              <w:t>0.62</w:t>
            </w:r>
          </w:p>
        </w:tc>
        <w:tc>
          <w:tcPr>
            <w:tcW w:w="1114" w:type="dxa"/>
          </w:tcPr>
          <w:p w:rsidR="00EA1E2C" w:rsidRPr="00EA1E2C" w:rsidRDefault="00EA1E2C" w:rsidP="00EA1E2C">
            <w:pPr>
              <w:pStyle w:val="Tablesmalltext"/>
              <w:jc w:val="center"/>
            </w:pPr>
            <w:r w:rsidRPr="00EA1E2C">
              <w:t>0.37</w:t>
            </w:r>
          </w:p>
        </w:tc>
        <w:tc>
          <w:tcPr>
            <w:tcW w:w="1114" w:type="dxa"/>
          </w:tcPr>
          <w:p w:rsidR="00EA1E2C" w:rsidRPr="00EA1E2C" w:rsidRDefault="00EA1E2C" w:rsidP="00EA1E2C">
            <w:pPr>
              <w:pStyle w:val="Tablesmalltext"/>
              <w:jc w:val="center"/>
            </w:pPr>
            <w:r w:rsidRPr="00EA1E2C">
              <w:t>0.27</w:t>
            </w:r>
          </w:p>
        </w:tc>
        <w:tc>
          <w:tcPr>
            <w:tcW w:w="1113" w:type="dxa"/>
          </w:tcPr>
          <w:p w:rsidR="00EA1E2C" w:rsidRPr="00EA1E2C" w:rsidRDefault="00EA1E2C" w:rsidP="00EA1E2C">
            <w:pPr>
              <w:pStyle w:val="Tablesmalltext"/>
              <w:jc w:val="center"/>
            </w:pPr>
            <w:r w:rsidRPr="00EA1E2C">
              <w:t>0.29</w:t>
            </w:r>
          </w:p>
        </w:tc>
        <w:tc>
          <w:tcPr>
            <w:tcW w:w="1114" w:type="dxa"/>
          </w:tcPr>
          <w:p w:rsidR="00EA1E2C" w:rsidRPr="00EA1E2C" w:rsidRDefault="00EA1E2C" w:rsidP="00EA1E2C">
            <w:pPr>
              <w:pStyle w:val="Tablesmalltext"/>
              <w:jc w:val="center"/>
            </w:pPr>
            <w:r w:rsidRPr="00EA1E2C">
              <w:t>0.46</w:t>
            </w:r>
          </w:p>
        </w:tc>
        <w:tc>
          <w:tcPr>
            <w:tcW w:w="1114" w:type="dxa"/>
          </w:tcPr>
          <w:p w:rsidR="00EA1E2C" w:rsidRPr="00EA1E2C" w:rsidRDefault="00EA1E2C" w:rsidP="00EA1E2C">
            <w:pPr>
              <w:pStyle w:val="Tablesmalltext"/>
              <w:jc w:val="center"/>
            </w:pPr>
            <w:r w:rsidRPr="00EA1E2C">
              <w:t>0.45</w:t>
            </w:r>
          </w:p>
        </w:tc>
      </w:tr>
      <w:tr w:rsidR="00EA1E2C" w:rsidRPr="00411158" w:rsidTr="00EA1E2C">
        <w:tc>
          <w:tcPr>
            <w:tcW w:w="851" w:type="dxa"/>
            <w:shd w:val="clear" w:color="auto" w:fill="D3D4D5"/>
            <w:vAlign w:val="center"/>
          </w:tcPr>
          <w:p w:rsidR="00EA1E2C" w:rsidRPr="00FD0F80" w:rsidRDefault="00EA1E2C" w:rsidP="00216A64">
            <w:pPr>
              <w:pStyle w:val="Tablesmalltext"/>
              <w:spacing w:before="0" w:after="0"/>
              <w:jc w:val="center"/>
              <w:rPr>
                <w:b/>
              </w:rPr>
            </w:pPr>
            <w:r w:rsidRPr="00FD0F80">
              <w:rPr>
                <w:b/>
              </w:rPr>
              <w:t>4</w:t>
            </w:r>
          </w:p>
        </w:tc>
        <w:tc>
          <w:tcPr>
            <w:tcW w:w="2410" w:type="dxa"/>
            <w:shd w:val="clear" w:color="auto" w:fill="D3D4D5"/>
            <w:vAlign w:val="center"/>
          </w:tcPr>
          <w:p w:rsidR="00EA1E2C" w:rsidRPr="001A1B46" w:rsidRDefault="00EA1E2C" w:rsidP="009A26E6">
            <w:pPr>
              <w:pStyle w:val="Tablesmalltext"/>
            </w:pPr>
            <w:r w:rsidRPr="001A1B46">
              <w:t>WTP for new water - upper limit at $2,281/ML</w:t>
            </w:r>
          </w:p>
        </w:tc>
        <w:tc>
          <w:tcPr>
            <w:tcW w:w="1113" w:type="dxa"/>
            <w:shd w:val="clear" w:color="auto" w:fill="D3D4D5"/>
          </w:tcPr>
          <w:p w:rsidR="00EA1E2C" w:rsidRPr="00EA1E2C" w:rsidRDefault="00EA1E2C" w:rsidP="00EA1E2C">
            <w:pPr>
              <w:pStyle w:val="Tablesmalltext"/>
              <w:jc w:val="center"/>
            </w:pPr>
            <w:r w:rsidRPr="00EA1E2C">
              <w:t>1.93</w:t>
            </w:r>
          </w:p>
        </w:tc>
        <w:tc>
          <w:tcPr>
            <w:tcW w:w="1114" w:type="dxa"/>
            <w:shd w:val="clear" w:color="auto" w:fill="D3D4D5"/>
          </w:tcPr>
          <w:p w:rsidR="00EA1E2C" w:rsidRPr="00EA1E2C" w:rsidRDefault="00EA1E2C" w:rsidP="00EA1E2C">
            <w:pPr>
              <w:pStyle w:val="Tablesmalltext"/>
              <w:jc w:val="center"/>
            </w:pPr>
            <w:r w:rsidRPr="00EA1E2C">
              <w:t>1.11</w:t>
            </w:r>
          </w:p>
        </w:tc>
        <w:tc>
          <w:tcPr>
            <w:tcW w:w="1114" w:type="dxa"/>
            <w:shd w:val="clear" w:color="auto" w:fill="D3D4D5"/>
          </w:tcPr>
          <w:p w:rsidR="00EA1E2C" w:rsidRPr="00EA1E2C" w:rsidRDefault="00EA1E2C" w:rsidP="00EA1E2C">
            <w:pPr>
              <w:pStyle w:val="Tablesmalltext"/>
              <w:jc w:val="center"/>
            </w:pPr>
            <w:r w:rsidRPr="00EA1E2C">
              <w:t>0.82</w:t>
            </w:r>
          </w:p>
        </w:tc>
        <w:tc>
          <w:tcPr>
            <w:tcW w:w="1113" w:type="dxa"/>
            <w:shd w:val="clear" w:color="auto" w:fill="D3D4D5"/>
          </w:tcPr>
          <w:p w:rsidR="00EA1E2C" w:rsidRPr="00EA1E2C" w:rsidRDefault="00EA1E2C" w:rsidP="00EA1E2C">
            <w:pPr>
              <w:pStyle w:val="Tablesmalltext"/>
              <w:jc w:val="center"/>
            </w:pPr>
            <w:r w:rsidRPr="00EA1E2C">
              <w:t>0.88</w:t>
            </w:r>
          </w:p>
        </w:tc>
        <w:tc>
          <w:tcPr>
            <w:tcW w:w="1114" w:type="dxa"/>
            <w:shd w:val="clear" w:color="auto" w:fill="D3D4D5"/>
          </w:tcPr>
          <w:p w:rsidR="00EA1E2C" w:rsidRPr="00EA1E2C" w:rsidRDefault="00EA1E2C" w:rsidP="00EA1E2C">
            <w:pPr>
              <w:pStyle w:val="Tablesmalltext"/>
              <w:jc w:val="center"/>
            </w:pPr>
            <w:r w:rsidRPr="00EA1E2C">
              <w:t>1.40</w:t>
            </w:r>
          </w:p>
        </w:tc>
        <w:tc>
          <w:tcPr>
            <w:tcW w:w="1114" w:type="dxa"/>
            <w:shd w:val="clear" w:color="auto" w:fill="D3D4D5"/>
          </w:tcPr>
          <w:p w:rsidR="00EA1E2C" w:rsidRPr="00EA1E2C" w:rsidRDefault="00EA1E2C" w:rsidP="00EA1E2C">
            <w:pPr>
              <w:pStyle w:val="Tablesmalltext"/>
              <w:jc w:val="center"/>
            </w:pPr>
            <w:r w:rsidRPr="00EA1E2C">
              <w:t>1.37</w:t>
            </w:r>
          </w:p>
        </w:tc>
      </w:tr>
      <w:tr w:rsidR="00EA1E2C" w:rsidRPr="00411158" w:rsidTr="00EA1E2C">
        <w:tc>
          <w:tcPr>
            <w:tcW w:w="851" w:type="dxa"/>
            <w:vAlign w:val="center"/>
          </w:tcPr>
          <w:p w:rsidR="00EA1E2C" w:rsidRPr="00FD0F80" w:rsidRDefault="00EA1E2C" w:rsidP="00216A64">
            <w:pPr>
              <w:pStyle w:val="Tablesmalltext"/>
              <w:spacing w:before="0" w:after="0"/>
              <w:jc w:val="center"/>
              <w:rPr>
                <w:b/>
              </w:rPr>
            </w:pPr>
            <w:r w:rsidRPr="00FD0F80">
              <w:rPr>
                <w:b/>
              </w:rPr>
              <w:t>5</w:t>
            </w:r>
          </w:p>
        </w:tc>
        <w:tc>
          <w:tcPr>
            <w:tcW w:w="2410" w:type="dxa"/>
            <w:vAlign w:val="center"/>
          </w:tcPr>
          <w:p w:rsidR="00EA1E2C" w:rsidRPr="001A1B46" w:rsidRDefault="00EA1E2C" w:rsidP="009A26E6">
            <w:pPr>
              <w:pStyle w:val="Tablesmalltext"/>
            </w:pPr>
            <w:r w:rsidRPr="001A1B46">
              <w:t>Assumed carbon price is zero</w:t>
            </w:r>
          </w:p>
        </w:tc>
        <w:tc>
          <w:tcPr>
            <w:tcW w:w="1113" w:type="dxa"/>
          </w:tcPr>
          <w:p w:rsidR="00EA1E2C" w:rsidRPr="00EA1E2C" w:rsidRDefault="00EA1E2C" w:rsidP="00EA1E2C">
            <w:pPr>
              <w:pStyle w:val="Tablesmalltext"/>
              <w:jc w:val="center"/>
            </w:pPr>
            <w:r w:rsidRPr="00EA1E2C">
              <w:t>0.63</w:t>
            </w:r>
          </w:p>
        </w:tc>
        <w:tc>
          <w:tcPr>
            <w:tcW w:w="1114" w:type="dxa"/>
          </w:tcPr>
          <w:p w:rsidR="00EA1E2C" w:rsidRPr="00EA1E2C" w:rsidRDefault="00EA1E2C" w:rsidP="00EA1E2C">
            <w:pPr>
              <w:pStyle w:val="Tablesmalltext"/>
              <w:jc w:val="center"/>
            </w:pPr>
            <w:r w:rsidRPr="00EA1E2C">
              <w:t>0.36</w:t>
            </w:r>
          </w:p>
        </w:tc>
        <w:tc>
          <w:tcPr>
            <w:tcW w:w="1114" w:type="dxa"/>
          </w:tcPr>
          <w:p w:rsidR="00EA1E2C" w:rsidRPr="00EA1E2C" w:rsidRDefault="00EA1E2C" w:rsidP="00EA1E2C">
            <w:pPr>
              <w:pStyle w:val="Tablesmalltext"/>
              <w:jc w:val="center"/>
            </w:pPr>
            <w:r w:rsidRPr="00EA1E2C">
              <w:t>0.27</w:t>
            </w:r>
          </w:p>
        </w:tc>
        <w:tc>
          <w:tcPr>
            <w:tcW w:w="1113" w:type="dxa"/>
          </w:tcPr>
          <w:p w:rsidR="00EA1E2C" w:rsidRPr="00EA1E2C" w:rsidRDefault="00EA1E2C" w:rsidP="00EA1E2C">
            <w:pPr>
              <w:pStyle w:val="Tablesmalltext"/>
              <w:jc w:val="center"/>
            </w:pPr>
            <w:r w:rsidRPr="00EA1E2C">
              <w:t>0.29</w:t>
            </w:r>
          </w:p>
        </w:tc>
        <w:tc>
          <w:tcPr>
            <w:tcW w:w="1114" w:type="dxa"/>
          </w:tcPr>
          <w:p w:rsidR="00EA1E2C" w:rsidRPr="00EA1E2C" w:rsidRDefault="00EA1E2C" w:rsidP="00EA1E2C">
            <w:pPr>
              <w:pStyle w:val="Tablesmalltext"/>
              <w:jc w:val="center"/>
            </w:pPr>
            <w:r w:rsidRPr="00EA1E2C">
              <w:t>0.45</w:t>
            </w:r>
          </w:p>
        </w:tc>
        <w:tc>
          <w:tcPr>
            <w:tcW w:w="1114" w:type="dxa"/>
          </w:tcPr>
          <w:p w:rsidR="00EA1E2C" w:rsidRPr="00EA1E2C" w:rsidRDefault="00EA1E2C" w:rsidP="00EA1E2C">
            <w:pPr>
              <w:pStyle w:val="Tablesmalltext"/>
              <w:jc w:val="center"/>
            </w:pPr>
            <w:r w:rsidRPr="00EA1E2C">
              <w:t>0.44</w:t>
            </w:r>
          </w:p>
        </w:tc>
      </w:tr>
      <w:tr w:rsidR="00EA1E2C" w:rsidRPr="00411158" w:rsidTr="00EA1E2C">
        <w:tc>
          <w:tcPr>
            <w:tcW w:w="851" w:type="dxa"/>
            <w:shd w:val="clear" w:color="auto" w:fill="D3D4D5"/>
            <w:vAlign w:val="center"/>
          </w:tcPr>
          <w:p w:rsidR="00EA1E2C" w:rsidRPr="00FD0F80" w:rsidRDefault="00EA1E2C" w:rsidP="00216A64">
            <w:pPr>
              <w:pStyle w:val="Tablesmalltext"/>
              <w:spacing w:before="0" w:after="0"/>
              <w:jc w:val="center"/>
              <w:rPr>
                <w:b/>
              </w:rPr>
            </w:pPr>
            <w:r w:rsidRPr="00FD0F80">
              <w:rPr>
                <w:b/>
              </w:rPr>
              <w:t>6</w:t>
            </w:r>
          </w:p>
        </w:tc>
        <w:tc>
          <w:tcPr>
            <w:tcW w:w="2410" w:type="dxa"/>
            <w:shd w:val="clear" w:color="auto" w:fill="D3D4D5"/>
            <w:vAlign w:val="center"/>
          </w:tcPr>
          <w:p w:rsidR="00EA1E2C" w:rsidRPr="001A1B46" w:rsidRDefault="00EA1E2C" w:rsidP="009A26E6">
            <w:pPr>
              <w:pStyle w:val="Tablesmalltext"/>
            </w:pPr>
            <w:r w:rsidRPr="001A1B46">
              <w:t>Assumed carbon price is doubled ($40/tonne)</w:t>
            </w:r>
          </w:p>
        </w:tc>
        <w:tc>
          <w:tcPr>
            <w:tcW w:w="1113" w:type="dxa"/>
            <w:shd w:val="clear" w:color="auto" w:fill="D3D4D5"/>
          </w:tcPr>
          <w:p w:rsidR="00EA1E2C" w:rsidRPr="00EA1E2C" w:rsidRDefault="00EA1E2C" w:rsidP="00EA1E2C">
            <w:pPr>
              <w:pStyle w:val="Tablesmalltext"/>
              <w:jc w:val="center"/>
            </w:pPr>
            <w:r w:rsidRPr="00EA1E2C">
              <w:t>0.92</w:t>
            </w:r>
          </w:p>
        </w:tc>
        <w:tc>
          <w:tcPr>
            <w:tcW w:w="1114" w:type="dxa"/>
            <w:shd w:val="clear" w:color="auto" w:fill="D3D4D5"/>
          </w:tcPr>
          <w:p w:rsidR="00EA1E2C" w:rsidRPr="00EA1E2C" w:rsidRDefault="00EA1E2C" w:rsidP="00EA1E2C">
            <w:pPr>
              <w:pStyle w:val="Tablesmalltext"/>
              <w:jc w:val="center"/>
            </w:pPr>
            <w:r w:rsidRPr="00EA1E2C">
              <w:t>0.55</w:t>
            </w:r>
          </w:p>
        </w:tc>
        <w:tc>
          <w:tcPr>
            <w:tcW w:w="1114" w:type="dxa"/>
            <w:shd w:val="clear" w:color="auto" w:fill="D3D4D5"/>
          </w:tcPr>
          <w:p w:rsidR="00EA1E2C" w:rsidRPr="00EA1E2C" w:rsidRDefault="00EA1E2C" w:rsidP="00EA1E2C">
            <w:pPr>
              <w:pStyle w:val="Tablesmalltext"/>
              <w:jc w:val="center"/>
            </w:pPr>
            <w:r w:rsidRPr="00EA1E2C">
              <w:t>0.39</w:t>
            </w:r>
          </w:p>
        </w:tc>
        <w:tc>
          <w:tcPr>
            <w:tcW w:w="1113" w:type="dxa"/>
            <w:shd w:val="clear" w:color="auto" w:fill="D3D4D5"/>
          </w:tcPr>
          <w:p w:rsidR="00EA1E2C" w:rsidRPr="00EA1E2C" w:rsidRDefault="00EA1E2C" w:rsidP="00EA1E2C">
            <w:pPr>
              <w:pStyle w:val="Tablesmalltext"/>
              <w:jc w:val="center"/>
            </w:pPr>
            <w:r w:rsidRPr="00EA1E2C">
              <w:t>0.42</w:t>
            </w:r>
          </w:p>
        </w:tc>
        <w:tc>
          <w:tcPr>
            <w:tcW w:w="1114" w:type="dxa"/>
            <w:shd w:val="clear" w:color="auto" w:fill="D3D4D5"/>
          </w:tcPr>
          <w:p w:rsidR="00EA1E2C" w:rsidRPr="00EA1E2C" w:rsidRDefault="00EA1E2C" w:rsidP="00EA1E2C">
            <w:pPr>
              <w:pStyle w:val="Tablesmalltext"/>
              <w:jc w:val="center"/>
            </w:pPr>
            <w:r w:rsidRPr="00EA1E2C">
              <w:t>0.67</w:t>
            </w:r>
          </w:p>
        </w:tc>
        <w:tc>
          <w:tcPr>
            <w:tcW w:w="1114" w:type="dxa"/>
            <w:shd w:val="clear" w:color="auto" w:fill="D3D4D5"/>
          </w:tcPr>
          <w:p w:rsidR="00EA1E2C" w:rsidRPr="00EA1E2C" w:rsidRDefault="00EA1E2C" w:rsidP="00EA1E2C">
            <w:pPr>
              <w:pStyle w:val="Tablesmalltext"/>
              <w:jc w:val="center"/>
            </w:pPr>
            <w:r w:rsidRPr="00EA1E2C">
              <w:t>0.66</w:t>
            </w:r>
          </w:p>
        </w:tc>
      </w:tr>
      <w:tr w:rsidR="00EA1E2C" w:rsidRPr="00411158" w:rsidTr="00EA1E2C">
        <w:tc>
          <w:tcPr>
            <w:tcW w:w="851" w:type="dxa"/>
            <w:shd w:val="clear" w:color="auto" w:fill="D3D4D5"/>
            <w:vAlign w:val="center"/>
          </w:tcPr>
          <w:p w:rsidR="00EA1E2C" w:rsidRPr="00FD0F80" w:rsidRDefault="00EA1E2C" w:rsidP="00216A64">
            <w:pPr>
              <w:pStyle w:val="Tablesmalltext"/>
              <w:spacing w:before="0" w:after="0"/>
              <w:jc w:val="center"/>
              <w:rPr>
                <w:b/>
              </w:rPr>
            </w:pPr>
            <w:r w:rsidRPr="00FD0F80">
              <w:rPr>
                <w:b/>
              </w:rPr>
              <w:t>7</w:t>
            </w:r>
          </w:p>
        </w:tc>
        <w:tc>
          <w:tcPr>
            <w:tcW w:w="2410" w:type="dxa"/>
            <w:shd w:val="clear" w:color="auto" w:fill="D3D4D5"/>
            <w:vAlign w:val="center"/>
          </w:tcPr>
          <w:p w:rsidR="00EA1E2C" w:rsidRPr="001A1B46" w:rsidRDefault="00EA1E2C" w:rsidP="009A26E6">
            <w:pPr>
              <w:pStyle w:val="Tablesmalltext"/>
            </w:pPr>
            <w:r>
              <w:t>M</w:t>
            </w:r>
            <w:r w:rsidRPr="001A1B46">
              <w:t>aximum % of water re-allocated</w:t>
            </w:r>
            <w:r>
              <w:t xml:space="preserve"> for consumption is 50</w:t>
            </w:r>
            <w:r w:rsidRPr="001A1B46">
              <w:t>%</w:t>
            </w:r>
          </w:p>
        </w:tc>
        <w:tc>
          <w:tcPr>
            <w:tcW w:w="1113" w:type="dxa"/>
            <w:shd w:val="clear" w:color="auto" w:fill="D3D4D5"/>
          </w:tcPr>
          <w:p w:rsidR="00EA1E2C" w:rsidRPr="00EA1E2C" w:rsidRDefault="00EA1E2C" w:rsidP="00EA1E2C">
            <w:pPr>
              <w:pStyle w:val="Tablesmalltext"/>
              <w:jc w:val="center"/>
            </w:pPr>
            <w:r w:rsidRPr="00EA1E2C">
              <w:t>1.04</w:t>
            </w:r>
          </w:p>
        </w:tc>
        <w:tc>
          <w:tcPr>
            <w:tcW w:w="1114" w:type="dxa"/>
            <w:shd w:val="clear" w:color="auto" w:fill="D3D4D5"/>
          </w:tcPr>
          <w:p w:rsidR="00EA1E2C" w:rsidRPr="00EA1E2C" w:rsidRDefault="00EA1E2C" w:rsidP="00EA1E2C">
            <w:pPr>
              <w:pStyle w:val="Tablesmalltext"/>
              <w:jc w:val="center"/>
            </w:pPr>
            <w:r w:rsidRPr="00EA1E2C">
              <w:t>0.66</w:t>
            </w:r>
          </w:p>
        </w:tc>
        <w:tc>
          <w:tcPr>
            <w:tcW w:w="1114" w:type="dxa"/>
            <w:shd w:val="clear" w:color="auto" w:fill="D3D4D5"/>
          </w:tcPr>
          <w:p w:rsidR="00EA1E2C" w:rsidRPr="00EA1E2C" w:rsidRDefault="00EA1E2C" w:rsidP="00EA1E2C">
            <w:pPr>
              <w:pStyle w:val="Tablesmalltext"/>
              <w:jc w:val="center"/>
            </w:pPr>
            <w:r w:rsidRPr="00EA1E2C">
              <w:t>0.47</w:t>
            </w:r>
          </w:p>
        </w:tc>
        <w:tc>
          <w:tcPr>
            <w:tcW w:w="1113" w:type="dxa"/>
            <w:shd w:val="clear" w:color="auto" w:fill="D3D4D5"/>
          </w:tcPr>
          <w:p w:rsidR="00EA1E2C" w:rsidRPr="00EA1E2C" w:rsidRDefault="00EA1E2C" w:rsidP="00EA1E2C">
            <w:pPr>
              <w:pStyle w:val="Tablesmalltext"/>
              <w:jc w:val="center"/>
            </w:pPr>
            <w:r w:rsidRPr="00EA1E2C">
              <w:t>0.51</w:t>
            </w:r>
          </w:p>
        </w:tc>
        <w:tc>
          <w:tcPr>
            <w:tcW w:w="1114" w:type="dxa"/>
            <w:shd w:val="clear" w:color="auto" w:fill="D3D4D5"/>
          </w:tcPr>
          <w:p w:rsidR="00EA1E2C" w:rsidRPr="00EA1E2C" w:rsidRDefault="00EA1E2C" w:rsidP="00EA1E2C">
            <w:pPr>
              <w:pStyle w:val="Tablesmalltext"/>
              <w:jc w:val="center"/>
            </w:pPr>
            <w:r w:rsidRPr="00EA1E2C">
              <w:t>0.78</w:t>
            </w:r>
          </w:p>
        </w:tc>
        <w:tc>
          <w:tcPr>
            <w:tcW w:w="1114" w:type="dxa"/>
            <w:shd w:val="clear" w:color="auto" w:fill="D3D4D5"/>
          </w:tcPr>
          <w:p w:rsidR="00EA1E2C" w:rsidRPr="00EA1E2C" w:rsidRDefault="00EA1E2C" w:rsidP="00EA1E2C">
            <w:pPr>
              <w:pStyle w:val="Tablesmalltext"/>
              <w:jc w:val="center"/>
            </w:pPr>
            <w:r w:rsidRPr="00EA1E2C">
              <w:t>0.77</w:t>
            </w:r>
          </w:p>
        </w:tc>
      </w:tr>
    </w:tbl>
    <w:p w:rsidR="00216A64" w:rsidRDefault="00216A64" w:rsidP="00EF2C5C">
      <w:pPr>
        <w:pStyle w:val="Para0"/>
      </w:pPr>
      <w:r w:rsidRPr="00216A64">
        <w:t>Base</w:t>
      </w:r>
      <w:r w:rsidR="001A1B46" w:rsidRPr="00216A64">
        <w:t>d</w:t>
      </w:r>
      <w:r w:rsidRPr="00216A64">
        <w:t xml:space="preserve"> on</w:t>
      </w:r>
      <w:r w:rsidR="001A1B46" w:rsidRPr="00216A64">
        <w:t xml:space="preserve"> the above sensitivity test, Value for Money is most sensitive to </w:t>
      </w:r>
      <w:r w:rsidRPr="00216A64">
        <w:t xml:space="preserve">the </w:t>
      </w:r>
      <w:r>
        <w:t>assumed market price used to value the</w:t>
      </w:r>
      <w:r w:rsidRPr="00216A64">
        <w:t xml:space="preserve"> water allocated for consumptive use</w:t>
      </w:r>
      <w:r>
        <w:t>. As discussed in Section</w:t>
      </w:r>
      <w:r w:rsidR="00A0090B">
        <w:t xml:space="preserve"> </w:t>
      </w:r>
      <w:r w:rsidR="006768F1">
        <w:fldChar w:fldCharType="begin"/>
      </w:r>
      <w:r>
        <w:instrText xml:space="preserve"> REF _Ref373259106 \r \h </w:instrText>
      </w:r>
      <w:r w:rsidR="006768F1">
        <w:fldChar w:fldCharType="separate"/>
      </w:r>
      <w:r w:rsidR="00516D07">
        <w:t>4.1.1</w:t>
      </w:r>
      <w:r w:rsidR="006768F1">
        <w:fldChar w:fldCharType="end"/>
      </w:r>
      <w:r>
        <w:t>, there is significant uncertainty about the market value to use given the limited groundwater trade data in the GAB. Furthermore, this ma</w:t>
      </w:r>
      <w:r w:rsidR="00A0090B">
        <w:t>r</w:t>
      </w:r>
      <w:r>
        <w:t xml:space="preserve">ket price impacts two of the three values quantified in the assessment </w:t>
      </w:r>
      <w:r w:rsidR="00A0090B">
        <w:t xml:space="preserve">– </w:t>
      </w:r>
      <w:r w:rsidRPr="00216A64">
        <w:t xml:space="preserve">direct consumptive value </w:t>
      </w:r>
      <w:r>
        <w:t>and the</w:t>
      </w:r>
      <w:r w:rsidRPr="00216A64">
        <w:t xml:space="preserve"> i</w:t>
      </w:r>
      <w:r w:rsidR="006D2031">
        <w:t>ndirect value to the community.</w:t>
      </w:r>
    </w:p>
    <w:p w:rsidR="001A1B46" w:rsidRPr="00863E1E" w:rsidRDefault="00216A64" w:rsidP="00EF2C5C">
      <w:pPr>
        <w:pStyle w:val="Para0"/>
      </w:pPr>
      <w:r>
        <w:t xml:space="preserve">The other variable that has significant impact on the results is the percentage of water that can be reallocated. It is important to note that whilst a higher allocation may increase the </w:t>
      </w:r>
      <w:r w:rsidR="00A63EE5">
        <w:t xml:space="preserve">quantified </w:t>
      </w:r>
      <w:r>
        <w:t xml:space="preserve">TEV, </w:t>
      </w:r>
      <w:r w:rsidR="00A63EE5">
        <w:t xml:space="preserve">benefits associated with pressure recovery are no longer gained. Thus, reallocating 100% of the water does not </w:t>
      </w:r>
      <w:r w:rsidR="000D3D99">
        <w:t xml:space="preserve">necessarily have a </w:t>
      </w:r>
      <w:r w:rsidR="00A63EE5">
        <w:t>higher TEV</w:t>
      </w:r>
      <w:r w:rsidR="000D3D99">
        <w:t xml:space="preserve"> than returning 50-70% of the water to the GAB</w:t>
      </w:r>
      <w:r w:rsidR="00A63EE5">
        <w:t>.</w:t>
      </w:r>
    </w:p>
    <w:p w:rsidR="005146F3" w:rsidRPr="00863E1E" w:rsidRDefault="00DC7CB3" w:rsidP="005146F3">
      <w:pPr>
        <w:pStyle w:val="Heading1"/>
      </w:pPr>
      <w:bookmarkStart w:id="70" w:name="_Toc378163311"/>
      <w:r>
        <w:t>Alternative</w:t>
      </w:r>
      <w:r w:rsidR="00A75275">
        <w:t xml:space="preserve"> evaluation </w:t>
      </w:r>
      <w:r>
        <w:t>approaches</w:t>
      </w:r>
      <w:bookmarkEnd w:id="70"/>
    </w:p>
    <w:p w:rsidR="00CD2D78" w:rsidRDefault="00367792" w:rsidP="00CD2D78">
      <w:pPr>
        <w:pStyle w:val="Para0"/>
      </w:pPr>
      <w:r>
        <w:t>Due to the uncertainty and</w:t>
      </w:r>
      <w:r w:rsidR="00CD2D78" w:rsidRPr="00863E1E">
        <w:t xml:space="preserve"> lack of data</w:t>
      </w:r>
      <w:r w:rsidR="00FD251C" w:rsidRPr="00863E1E">
        <w:t xml:space="preserve"> available </w:t>
      </w:r>
      <w:r w:rsidR="00CD2D78" w:rsidRPr="00863E1E">
        <w:t xml:space="preserve">to fully assess the </w:t>
      </w:r>
      <w:r w:rsidR="001A2721" w:rsidRPr="00863E1E">
        <w:t xml:space="preserve">quantitative </w:t>
      </w:r>
      <w:r w:rsidR="00CD2D78" w:rsidRPr="00863E1E">
        <w:t xml:space="preserve">value for money of GABSI, the following section </w:t>
      </w:r>
      <w:r w:rsidR="001A2721" w:rsidRPr="00863E1E">
        <w:t xml:space="preserve">outlines </w:t>
      </w:r>
      <w:r w:rsidR="00CD2D78" w:rsidRPr="00863E1E">
        <w:t xml:space="preserve">different approaches </w:t>
      </w:r>
      <w:r w:rsidR="00EF527D">
        <w:t>to considering value for money</w:t>
      </w:r>
      <w:r w:rsidR="00A40C38">
        <w:t xml:space="preserve"> for the GABSI program</w:t>
      </w:r>
      <w:r w:rsidR="00EF527D">
        <w:t>. These</w:t>
      </w:r>
      <w:r w:rsidR="00AD4557" w:rsidRPr="00863E1E">
        <w:t xml:space="preserve"> include</w:t>
      </w:r>
      <w:r w:rsidR="00EF527D">
        <w:t>:</w:t>
      </w:r>
    </w:p>
    <w:p w:rsidR="00ED49CC" w:rsidRPr="00F669FB" w:rsidRDefault="00ED49CC" w:rsidP="00ED49CC">
      <w:pPr>
        <w:pStyle w:val="Para0bullet"/>
        <w:rPr>
          <w:rFonts w:asciiTheme="minorHAnsi" w:hAnsiTheme="minorHAnsi"/>
          <w:color w:val="000000" w:themeColor="dark2"/>
        </w:rPr>
      </w:pPr>
      <w:r>
        <w:rPr>
          <w:b/>
        </w:rPr>
        <w:t>TEV from alternative water use.</w:t>
      </w:r>
      <w:r>
        <w:t xml:space="preserve"> This valuation approach estimates the TEV assuming that 100% of the saved water is reallocated for consumptive use (rather than a maximum of 50% in SA and 30% in Qld and NSW). This tests governments’ rationale that benefits of returning saved water to the GAB for the purpose of pressure recovery is greater than (or at least equal to) the benefits of reallocating that same volume of water for other consumptive purposes.</w:t>
      </w:r>
    </w:p>
    <w:p w:rsidR="00092AE7" w:rsidRDefault="006C3D2B" w:rsidP="0058560F">
      <w:pPr>
        <w:pStyle w:val="Para0bullet"/>
      </w:pPr>
      <w:r w:rsidRPr="0058560F">
        <w:rPr>
          <w:b/>
        </w:rPr>
        <w:t>Breakeven benefit assessment</w:t>
      </w:r>
      <w:r w:rsidR="00367792">
        <w:t xml:space="preserve">. </w:t>
      </w:r>
      <w:r w:rsidR="000858FB">
        <w:t xml:space="preserve">The </w:t>
      </w:r>
      <w:r w:rsidR="00092AE7">
        <w:t xml:space="preserve">breakeven assessment considers the benefits that would be required for the TEV to at least equal the cost (i.e. to achieve a BCR of 1). </w:t>
      </w:r>
      <w:r w:rsidR="00367792">
        <w:t>In particular</w:t>
      </w:r>
      <w:r w:rsidR="00CB66F7">
        <w:t>, in this study it</w:t>
      </w:r>
      <w:r w:rsidR="00367792">
        <w:t xml:space="preserve"> estimates </w:t>
      </w:r>
      <w:r w:rsidR="00092AE7">
        <w:t>the change in pressure that would be required for the consumptive benefit from pressure recovery to increase such that a BCR of 1 is achieved.</w:t>
      </w:r>
    </w:p>
    <w:p w:rsidR="00EF527D" w:rsidRDefault="00F82FE1" w:rsidP="0058560F">
      <w:pPr>
        <w:pStyle w:val="Para0bullet"/>
      </w:pPr>
      <w:r w:rsidRPr="0058560F">
        <w:rPr>
          <w:b/>
        </w:rPr>
        <w:t>Cost effectiveness assessment</w:t>
      </w:r>
      <w:r>
        <w:t>. This assessment compares the investment made per ML saved across the GABSI program. The purpose is to compare the cost effectiveness across the program stages relative to a benchmark based on planned expenditure and water savings in the Strategic Management Plan</w:t>
      </w:r>
      <w:r w:rsidR="00E23547">
        <w:t>.</w:t>
      </w:r>
    </w:p>
    <w:p w:rsidR="00EF527D" w:rsidRPr="00863E1E" w:rsidRDefault="003547E6" w:rsidP="0058560F">
      <w:pPr>
        <w:pStyle w:val="Para0bullet"/>
        <w:numPr>
          <w:ilvl w:val="0"/>
          <w:numId w:val="0"/>
        </w:numPr>
      </w:pPr>
      <w:r>
        <w:t>These approaches are discussed in more detail in the following sections.</w:t>
      </w:r>
    </w:p>
    <w:p w:rsidR="005146F3" w:rsidRPr="00C41B30" w:rsidRDefault="000858FB" w:rsidP="005146F3">
      <w:pPr>
        <w:pStyle w:val="Heading2"/>
      </w:pPr>
      <w:bookmarkStart w:id="71" w:name="_Ref375298276"/>
      <w:bookmarkStart w:id="72" w:name="_Ref375302554"/>
      <w:bookmarkStart w:id="73" w:name="_Toc378163312"/>
      <w:r w:rsidRPr="00C41B30">
        <w:t>TEV from alternative water use options</w:t>
      </w:r>
      <w:r w:rsidR="00E23547" w:rsidRPr="00C41B30">
        <w:t xml:space="preserve"> (100% reallocation of GABSI water)</w:t>
      </w:r>
      <w:bookmarkEnd w:id="71"/>
      <w:bookmarkEnd w:id="72"/>
      <w:bookmarkEnd w:id="73"/>
    </w:p>
    <w:p w:rsidR="00C41B30" w:rsidRDefault="00E23547" w:rsidP="00C41B30">
      <w:pPr>
        <w:pStyle w:val="Para0"/>
      </w:pPr>
      <w:r w:rsidRPr="00C41B30">
        <w:t xml:space="preserve">The TEV assessment undertaken in Section </w:t>
      </w:r>
      <w:fldSimple w:instr=" REF _Ref373228999 \r \h  \* MERGEFORMAT ">
        <w:r w:rsidR="00516D07">
          <w:t>4</w:t>
        </w:r>
      </w:fldSimple>
      <w:r w:rsidRPr="00C41B30">
        <w:t xml:space="preserve"> is based on a minimum of 70% of all water </w:t>
      </w:r>
      <w:r w:rsidR="00496516">
        <w:t xml:space="preserve">being </w:t>
      </w:r>
      <w:r w:rsidRPr="00C41B30">
        <w:t xml:space="preserve">saved </w:t>
      </w:r>
      <w:r w:rsidR="00496516">
        <w:t xml:space="preserve">in </w:t>
      </w:r>
      <w:r w:rsidRPr="00C41B30">
        <w:t xml:space="preserve">NSW and Queensland and 50% </w:t>
      </w:r>
      <w:r w:rsidR="00496516">
        <w:t xml:space="preserve">in </w:t>
      </w:r>
      <w:r w:rsidRPr="00C41B30">
        <w:t>South Australia.</w:t>
      </w:r>
      <w:r w:rsidR="00453610" w:rsidRPr="00C41B30">
        <w:t xml:space="preserve"> The saved water returned to the GAB aims to recover </w:t>
      </w:r>
      <w:r w:rsidR="00496516">
        <w:t>artesian pressure and improve</w:t>
      </w:r>
      <w:r w:rsidR="00C41B30" w:rsidRPr="00C41B30">
        <w:t xml:space="preserve"> flows to bores and springs.</w:t>
      </w:r>
    </w:p>
    <w:p w:rsidR="0023320B" w:rsidRDefault="00D16C74" w:rsidP="00C41B30">
      <w:pPr>
        <w:pStyle w:val="Para0"/>
      </w:pPr>
      <w:r>
        <w:t>The rationale for this requirement is that the</w:t>
      </w:r>
      <w:r w:rsidR="00C41B30">
        <w:t xml:space="preserve"> return</w:t>
      </w:r>
      <w:r w:rsidR="00496516">
        <w:t>ed</w:t>
      </w:r>
      <w:r w:rsidR="00C41B30">
        <w:t xml:space="preserve"> saved water </w:t>
      </w:r>
      <w:r>
        <w:t xml:space="preserve">delivers benefits that </w:t>
      </w:r>
      <w:r w:rsidR="00C41B30">
        <w:t>are greater than t</w:t>
      </w:r>
      <w:r w:rsidR="00C41B30" w:rsidRPr="00C41B30">
        <w:t>he benefits of reallocating that same volume of water</w:t>
      </w:r>
      <w:r>
        <w:t xml:space="preserve"> for other consumptive purposes. If this is the case, then the consumptive</w:t>
      </w:r>
      <w:r w:rsidR="00C41B30">
        <w:t xml:space="preserve"> value from reallocating all </w:t>
      </w:r>
      <w:r>
        <w:t xml:space="preserve">(100%) of the </w:t>
      </w:r>
      <w:r w:rsidR="00C41B30">
        <w:t>saved water can be taken as the minimum TEV from the GABSI program.</w:t>
      </w:r>
    </w:p>
    <w:p w:rsidR="00264658" w:rsidRDefault="00264658" w:rsidP="00264658">
      <w:pPr>
        <w:pStyle w:val="Para0"/>
      </w:pPr>
      <w:bookmarkStart w:id="74" w:name="_Ref373253575"/>
      <w:r>
        <w:t>As can be seen in</w:t>
      </w:r>
      <w:r w:rsidR="00211A1A">
        <w:t xml:space="preserve"> </w:t>
      </w:r>
      <w:r w:rsidR="006768F1">
        <w:fldChar w:fldCharType="begin"/>
      </w:r>
      <w:r w:rsidR="00211A1A">
        <w:instrText xml:space="preserve"> REF _Ref373499568 \h </w:instrText>
      </w:r>
      <w:r w:rsidR="006768F1">
        <w:fldChar w:fldCharType="separate"/>
      </w:r>
      <w:r w:rsidR="00516D07" w:rsidRPr="00B71EB9">
        <w:t xml:space="preserve">Figure </w:t>
      </w:r>
      <w:r w:rsidR="00516D07">
        <w:rPr>
          <w:noProof/>
        </w:rPr>
        <w:t>12</w:t>
      </w:r>
      <w:r w:rsidR="006768F1">
        <w:fldChar w:fldCharType="end"/>
      </w:r>
      <w:r w:rsidR="00211A1A">
        <w:t xml:space="preserve"> </w:t>
      </w:r>
      <w:r>
        <w:t>the BCR under this approach is greater than 1 for Phase 1 (1.9), Phase 2 (1.2), and for the Program as a whole (1.4). Phase 3 has the lowest BCR, equal to 0.</w:t>
      </w:r>
      <w:r w:rsidR="0083525F">
        <w:t>9</w:t>
      </w:r>
      <w:r>
        <w:t xml:space="preserve"> (based on works completed to June 2013).</w:t>
      </w:r>
    </w:p>
    <w:p w:rsidR="00264658" w:rsidRDefault="00264658" w:rsidP="00264658">
      <w:pPr>
        <w:pStyle w:val="Caption"/>
        <w:spacing w:before="0" w:after="120"/>
      </w:pPr>
      <w:bookmarkStart w:id="75" w:name="_Ref373499568"/>
      <w:bookmarkEnd w:id="74"/>
      <w:r w:rsidRPr="00B71EB9">
        <w:t xml:space="preserve">Figure </w:t>
      </w:r>
      <w:r w:rsidR="006768F1">
        <w:fldChar w:fldCharType="begin"/>
      </w:r>
      <w:r w:rsidR="00DB2AA7">
        <w:instrText xml:space="preserve"> SEQ Figure \* ARABIC </w:instrText>
      </w:r>
      <w:r w:rsidR="006768F1">
        <w:fldChar w:fldCharType="separate"/>
      </w:r>
      <w:r w:rsidR="00516D07">
        <w:rPr>
          <w:noProof/>
        </w:rPr>
        <w:t>12</w:t>
      </w:r>
      <w:r w:rsidR="006768F1">
        <w:fldChar w:fldCharType="end"/>
      </w:r>
      <w:bookmarkEnd w:id="75"/>
      <w:r w:rsidRPr="00B71EB9">
        <w:t xml:space="preserve">: </w:t>
      </w:r>
      <w:r>
        <w:t>TEV per dollar invested if 100% of the saved water is reallocated for consumptive use</w:t>
      </w:r>
    </w:p>
    <w:p w:rsidR="0083525F" w:rsidRPr="0083525F" w:rsidRDefault="0083525F" w:rsidP="00FE7160">
      <w:pPr>
        <w:pStyle w:val="Para0"/>
        <w:spacing w:before="0"/>
      </w:pPr>
      <w:r>
        <w:rPr>
          <w:noProof/>
          <w:lang w:eastAsia="en-AU"/>
        </w:rPr>
        <w:drawing>
          <wp:inline distT="0" distB="0" distL="0" distR="0">
            <wp:extent cx="5944235" cy="2828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2828925"/>
                    </a:xfrm>
                    <a:prstGeom prst="rect">
                      <a:avLst/>
                    </a:prstGeom>
                    <a:noFill/>
                  </pic:spPr>
                </pic:pic>
              </a:graphicData>
            </a:graphic>
          </wp:inline>
        </w:drawing>
      </w:r>
    </w:p>
    <w:p w:rsidR="004424E7" w:rsidRDefault="0023320B" w:rsidP="0083525F">
      <w:pPr>
        <w:pStyle w:val="Para0"/>
        <w:spacing w:before="0" w:after="0"/>
      </w:pPr>
      <w:r>
        <w:t xml:space="preserve">Under this approach, the only benefits that are quantified are the direct </w:t>
      </w:r>
      <w:r w:rsidR="007E346D">
        <w:t>consumptive benefits fro</w:t>
      </w:r>
      <w:r>
        <w:t xml:space="preserve">m reallocated water and the indirect benefits to the community. </w:t>
      </w:r>
      <w:r w:rsidR="004424E7">
        <w:t>Other use and non-use benefits such as greenhouse abatement, recreation</w:t>
      </w:r>
      <w:r>
        <w:t xml:space="preserve">, amenity, tourism, and environmental benefits are </w:t>
      </w:r>
      <w:r w:rsidR="004424E7">
        <w:t xml:space="preserve">linked to pressure recovery and are therefore not realised if 100% of the saved water is allocated for consumptive use. </w:t>
      </w:r>
    </w:p>
    <w:p w:rsidR="00C41B30" w:rsidRDefault="00D16C74" w:rsidP="00C41B30">
      <w:pPr>
        <w:pStyle w:val="Para0"/>
      </w:pPr>
      <w:r>
        <w:t>Whilst this approach provides an important perspective on the potential value of saved water, it assumes that Government’s decision to return water to the GAB is based on evidence that confirms that benefits of</w:t>
      </w:r>
      <w:r w:rsidRPr="00D16C74">
        <w:t xml:space="preserve"> </w:t>
      </w:r>
      <w:r>
        <w:t>pressure recovery are greater than (or at least equal to) the benefits of reallocating that same volume of water for other consumptive purposes</w:t>
      </w:r>
      <w:r w:rsidR="00CB66F7">
        <w:t xml:space="preserve"> (i.e. the long term increase in pressure from the program has greater value than the short term return to the state from water sales). </w:t>
      </w:r>
      <w:r w:rsidR="00FB2A4D">
        <w:t>.</w:t>
      </w:r>
    </w:p>
    <w:p w:rsidR="005146F3" w:rsidRDefault="001A2721" w:rsidP="005146F3">
      <w:pPr>
        <w:pStyle w:val="Heading2"/>
      </w:pPr>
      <w:bookmarkStart w:id="76" w:name="_Ref373484495"/>
      <w:bookmarkStart w:id="77" w:name="_Toc378163313"/>
      <w:r w:rsidRPr="00863E1E">
        <w:t xml:space="preserve">Breakeven </w:t>
      </w:r>
      <w:r w:rsidR="00092AE7">
        <w:t xml:space="preserve">benefit </w:t>
      </w:r>
      <w:r w:rsidRPr="00863E1E">
        <w:t>analysis</w:t>
      </w:r>
      <w:bookmarkEnd w:id="76"/>
      <w:bookmarkEnd w:id="77"/>
    </w:p>
    <w:p w:rsidR="00486F27" w:rsidRDefault="007C6DEA" w:rsidP="00C41B30">
      <w:pPr>
        <w:pStyle w:val="Para0"/>
      </w:pPr>
      <w:r>
        <w:t xml:space="preserve">The primary objective </w:t>
      </w:r>
      <w:r w:rsidR="00E56AAC">
        <w:t xml:space="preserve">of </w:t>
      </w:r>
      <w:r>
        <w:t>GABSI is to restore pressure to the GAB</w:t>
      </w:r>
      <w:r w:rsidR="00C41B30">
        <w:t>, with</w:t>
      </w:r>
      <w:r>
        <w:t xml:space="preserve"> the associated benefits spanning the use and non-use values in the TEV framework</w:t>
      </w:r>
      <w:r w:rsidR="00C41B30">
        <w:t xml:space="preserve"> (refer to </w:t>
      </w:r>
      <w:r w:rsidR="006768F1">
        <w:fldChar w:fldCharType="begin"/>
      </w:r>
      <w:r w:rsidR="00C41B30">
        <w:instrText xml:space="preserve"> REF _Ref373251276 \h </w:instrText>
      </w:r>
      <w:r w:rsidR="006768F1">
        <w:fldChar w:fldCharType="separate"/>
      </w:r>
      <w:r w:rsidR="00516D07" w:rsidRPr="00B71EB9">
        <w:t xml:space="preserve">Figure </w:t>
      </w:r>
      <w:r w:rsidR="00516D07">
        <w:rPr>
          <w:noProof/>
        </w:rPr>
        <w:t>13</w:t>
      </w:r>
      <w:r w:rsidR="006768F1">
        <w:fldChar w:fldCharType="end"/>
      </w:r>
      <w:r w:rsidR="00C41B30">
        <w:t>)</w:t>
      </w:r>
      <w:r>
        <w:t xml:space="preserve">. </w:t>
      </w:r>
    </w:p>
    <w:p w:rsidR="00C41B30" w:rsidRDefault="00C41B30" w:rsidP="00C41B30">
      <w:pPr>
        <w:pStyle w:val="Caption"/>
        <w:spacing w:before="0" w:after="0"/>
      </w:pPr>
      <w:bookmarkStart w:id="78" w:name="_Ref373251276"/>
      <w:r w:rsidRPr="00B71EB9">
        <w:t xml:space="preserve">Figure </w:t>
      </w:r>
      <w:r w:rsidR="006768F1">
        <w:fldChar w:fldCharType="begin"/>
      </w:r>
      <w:r w:rsidR="00DB2AA7">
        <w:instrText xml:space="preserve"> SEQ Figure \* ARABIC </w:instrText>
      </w:r>
      <w:r w:rsidR="006768F1">
        <w:fldChar w:fldCharType="separate"/>
      </w:r>
      <w:r w:rsidR="00516D07">
        <w:rPr>
          <w:noProof/>
        </w:rPr>
        <w:t>13</w:t>
      </w:r>
      <w:r w:rsidR="006768F1">
        <w:fldChar w:fldCharType="end"/>
      </w:r>
      <w:bookmarkEnd w:id="78"/>
      <w:r w:rsidRPr="00B71EB9">
        <w:t xml:space="preserve">: </w:t>
      </w:r>
      <w:r w:rsidR="00E56AAC">
        <w:t>S</w:t>
      </w:r>
      <w:r>
        <w:t>ummary of benefits in TEV framework directly linked to GAB pressure recovery</w:t>
      </w:r>
    </w:p>
    <w:p w:rsidR="00371BF9" w:rsidRDefault="00B83523" w:rsidP="00C41B30">
      <w:pPr>
        <w:pStyle w:val="Para0"/>
      </w:pPr>
      <w:r>
        <w:rPr>
          <w:noProof/>
          <w:lang w:eastAsia="en-AU"/>
        </w:rPr>
        <w:drawing>
          <wp:inline distT="0" distB="0" distL="0" distR="0">
            <wp:extent cx="5571490" cy="4135755"/>
            <wp:effectExtent l="0" t="0" r="0" b="0"/>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1490" cy="4135755"/>
                    </a:xfrm>
                    <a:prstGeom prst="rect">
                      <a:avLst/>
                    </a:prstGeom>
                    <a:noFill/>
                    <a:ln>
                      <a:noFill/>
                    </a:ln>
                  </pic:spPr>
                </pic:pic>
              </a:graphicData>
            </a:graphic>
          </wp:inline>
        </w:drawing>
      </w:r>
    </w:p>
    <w:p w:rsidR="00F828F6" w:rsidRDefault="007C6DEA" w:rsidP="0058560F">
      <w:pPr>
        <w:pStyle w:val="Para0"/>
      </w:pPr>
      <w:r>
        <w:t>As can be seen from the above</w:t>
      </w:r>
      <w:r w:rsidR="00400DE1">
        <w:t xml:space="preserve"> figure</w:t>
      </w:r>
      <w:r>
        <w:t>, none of the benefits that are directly linked to restored pressure have been quantified in the Vf</w:t>
      </w:r>
      <w:r w:rsidR="00E56AAC">
        <w:t xml:space="preserve">M assessment due to limited availability </w:t>
      </w:r>
      <w:r>
        <w:t>of data. A b</w:t>
      </w:r>
      <w:r w:rsidR="00732D13">
        <w:t>reakeven analysis has</w:t>
      </w:r>
      <w:r>
        <w:t xml:space="preserve"> therefore</w:t>
      </w:r>
      <w:r w:rsidR="00732D13">
        <w:t xml:space="preserve"> been undertaken to</w:t>
      </w:r>
      <w:r w:rsidR="00732D13" w:rsidRPr="00732D13">
        <w:t xml:space="preserve"> </w:t>
      </w:r>
      <w:r w:rsidR="00732D13">
        <w:t xml:space="preserve">estimate the </w:t>
      </w:r>
      <w:r w:rsidR="00400DE1">
        <w:t>benefits that would be required to achieve a BCR of 1.</w:t>
      </w:r>
      <w:r w:rsidR="00D016A6">
        <w:t xml:space="preserve"> </w:t>
      </w:r>
      <w:r w:rsidR="0058560F">
        <w:t>Four benefits</w:t>
      </w:r>
      <w:r w:rsidR="00E56AAC">
        <w:t>,</w:t>
      </w:r>
      <w:r w:rsidR="00086F2E">
        <w:t xml:space="preserve"> discussed in the following table,</w:t>
      </w:r>
      <w:r w:rsidR="0058560F">
        <w:t xml:space="preserve"> were considered in this assessment</w:t>
      </w:r>
      <w:r w:rsidR="00086F2E">
        <w:t xml:space="preserve">. </w:t>
      </w:r>
    </w:p>
    <w:p w:rsidR="00085AEE" w:rsidRDefault="00085AEE">
      <w:pPr>
        <w:spacing w:after="0" w:line="240" w:lineRule="auto"/>
        <w:rPr>
          <w:rFonts w:ascii="Arial Narrow" w:hAnsi="Arial Narrow"/>
          <w:b/>
        </w:rPr>
      </w:pPr>
      <w:r>
        <w:br w:type="page"/>
      </w:r>
    </w:p>
    <w:p w:rsidR="00086F2E" w:rsidRDefault="00086F2E" w:rsidP="00086F2E">
      <w:pPr>
        <w:pStyle w:val="Caption"/>
      </w:pPr>
      <w:r w:rsidRPr="00863E1E">
        <w:t xml:space="preserve">Table </w:t>
      </w:r>
      <w:r w:rsidR="006768F1">
        <w:fldChar w:fldCharType="begin"/>
      </w:r>
      <w:r w:rsidR="00F843FC">
        <w:instrText xml:space="preserve"> SEQ Table \* ARABIC </w:instrText>
      </w:r>
      <w:r w:rsidR="006768F1">
        <w:fldChar w:fldCharType="separate"/>
      </w:r>
      <w:r w:rsidR="00516D07">
        <w:rPr>
          <w:noProof/>
        </w:rPr>
        <w:t>26</w:t>
      </w:r>
      <w:r w:rsidR="006768F1">
        <w:fldChar w:fldCharType="end"/>
      </w:r>
      <w:r w:rsidRPr="00863E1E">
        <w:t xml:space="preserve">: </w:t>
      </w:r>
      <w:r>
        <w:t>Benefits captured in the breakeven assessment</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2127"/>
        <w:gridCol w:w="7796"/>
      </w:tblGrid>
      <w:tr w:rsidR="00F669FB" w:rsidRPr="00863E1E" w:rsidTr="002E4907">
        <w:trPr>
          <w:cantSplit/>
          <w:tblHeader/>
        </w:trPr>
        <w:tc>
          <w:tcPr>
            <w:tcW w:w="1072" w:type="pct"/>
            <w:shd w:val="clear" w:color="auto" w:fill="5185C0"/>
          </w:tcPr>
          <w:p w:rsidR="0058560F" w:rsidRPr="00CA5F54" w:rsidRDefault="0058560F" w:rsidP="00C41B30">
            <w:pPr>
              <w:pStyle w:val="Tablesmallheading"/>
            </w:pPr>
            <w:r w:rsidRPr="00CA5F54">
              <w:t>Benefit considered</w:t>
            </w:r>
            <w:r w:rsidR="00D016A6" w:rsidRPr="00CA5F54">
              <w:t xml:space="preserve"> </w:t>
            </w:r>
          </w:p>
        </w:tc>
        <w:tc>
          <w:tcPr>
            <w:tcW w:w="3928" w:type="pct"/>
            <w:shd w:val="clear" w:color="auto" w:fill="5185C0"/>
          </w:tcPr>
          <w:p w:rsidR="0058560F" w:rsidRPr="00863E1E" w:rsidRDefault="0058560F" w:rsidP="00C41B30">
            <w:pPr>
              <w:pStyle w:val="Tablesmallheading"/>
            </w:pPr>
            <w:r>
              <w:t xml:space="preserve">Approach </w:t>
            </w:r>
          </w:p>
        </w:tc>
      </w:tr>
      <w:tr w:rsidR="0058560F" w:rsidRPr="00863E1E" w:rsidTr="00021399">
        <w:tc>
          <w:tcPr>
            <w:tcW w:w="1072" w:type="pct"/>
          </w:tcPr>
          <w:p w:rsidR="0058560F" w:rsidRPr="00CA5F54" w:rsidRDefault="0058560F" w:rsidP="0058560F">
            <w:pPr>
              <w:pStyle w:val="Tablesmalltext"/>
              <w:rPr>
                <w:b/>
              </w:rPr>
            </w:pPr>
            <w:r w:rsidRPr="00CA5F54">
              <w:rPr>
                <w:b/>
              </w:rPr>
              <w:t>Consumptive benefit from improved pressure</w:t>
            </w:r>
            <w:r w:rsidR="00CA5F54">
              <w:rPr>
                <w:b/>
              </w:rPr>
              <w:t xml:space="preserve"> – </w:t>
            </w:r>
            <w:r w:rsidRPr="00CA5F54">
              <w:rPr>
                <w:b/>
              </w:rPr>
              <w:t>avoided pump installation costs</w:t>
            </w:r>
          </w:p>
        </w:tc>
        <w:tc>
          <w:tcPr>
            <w:tcW w:w="3928" w:type="pct"/>
          </w:tcPr>
          <w:p w:rsidR="0058560F" w:rsidRPr="00EF3D81" w:rsidRDefault="0058560F" w:rsidP="00021399">
            <w:pPr>
              <w:pStyle w:val="Tablesmalltext"/>
            </w:pPr>
            <w:r>
              <w:t xml:space="preserve">The break even assessment considers the number of new pumps that would need to be avoided </w:t>
            </w:r>
            <w:r w:rsidR="00CA5F54">
              <w:t>to achieve</w:t>
            </w:r>
            <w:r>
              <w:t xml:space="preserve"> a BCR of 1 (for each GABSI phase and across the program as a whole). Metri</w:t>
            </w:r>
            <w:r w:rsidR="00CA5F54">
              <w:t>c</w:t>
            </w:r>
            <w:r>
              <w:t>s used in this analysis are based on those discussed in</w:t>
            </w:r>
            <w:r w:rsidR="00021399">
              <w:t xml:space="preserve"> Section </w:t>
            </w:r>
            <w:r w:rsidR="006768F1">
              <w:fldChar w:fldCharType="begin"/>
            </w:r>
            <w:r w:rsidR="00021399">
              <w:instrText xml:space="preserve"> REF _Ref374363711 \n \h </w:instrText>
            </w:r>
            <w:r w:rsidR="006768F1">
              <w:fldChar w:fldCharType="separate"/>
            </w:r>
            <w:r w:rsidR="00516D07">
              <w:t>4.1.2</w:t>
            </w:r>
            <w:r w:rsidR="006768F1">
              <w:fldChar w:fldCharType="end"/>
            </w:r>
            <w:r>
              <w:t>.</w:t>
            </w:r>
          </w:p>
        </w:tc>
      </w:tr>
      <w:tr w:rsidR="0058560F" w:rsidRPr="00863E1E" w:rsidTr="00021399">
        <w:tc>
          <w:tcPr>
            <w:tcW w:w="1072" w:type="pct"/>
          </w:tcPr>
          <w:p w:rsidR="0058560F" w:rsidRPr="00CA5F54" w:rsidRDefault="0058560F" w:rsidP="00C41B30">
            <w:pPr>
              <w:pStyle w:val="Tablesmalltext"/>
              <w:rPr>
                <w:b/>
              </w:rPr>
            </w:pPr>
            <w:r w:rsidRPr="00CA5F54">
              <w:rPr>
                <w:b/>
              </w:rPr>
              <w:t>Consumptive benefit from improved pressure</w:t>
            </w:r>
            <w:r w:rsidR="00CA5F54">
              <w:rPr>
                <w:b/>
              </w:rPr>
              <w:t xml:space="preserve"> – </w:t>
            </w:r>
            <w:r w:rsidRPr="00CA5F54">
              <w:rPr>
                <w:b/>
              </w:rPr>
              <w:t>avoided</w:t>
            </w:r>
            <w:r w:rsidR="00D016A6" w:rsidRPr="00CA5F54">
              <w:rPr>
                <w:b/>
              </w:rPr>
              <w:t xml:space="preserve"> </w:t>
            </w:r>
            <w:r w:rsidRPr="00CA5F54">
              <w:rPr>
                <w:b/>
              </w:rPr>
              <w:t xml:space="preserve">pumping costs </w:t>
            </w:r>
          </w:p>
        </w:tc>
        <w:tc>
          <w:tcPr>
            <w:tcW w:w="3928" w:type="pct"/>
            <w:vAlign w:val="center"/>
          </w:tcPr>
          <w:p w:rsidR="0058560F" w:rsidRDefault="002C0434" w:rsidP="00021399">
            <w:pPr>
              <w:pStyle w:val="Tablesmalltext"/>
              <w:rPr>
                <w:rFonts w:ascii="Tahoma" w:hAnsi="Tahoma" w:cs="Tahoma"/>
                <w:sz w:val="16"/>
                <w:szCs w:val="16"/>
              </w:rPr>
            </w:pPr>
            <w:r w:rsidRPr="002C0434">
              <w:t>The metrics discussed in</w:t>
            </w:r>
            <w:r w:rsidR="00021399">
              <w:t xml:space="preserve"> Section</w:t>
            </w:r>
            <w:r w:rsidRPr="002C0434">
              <w:t xml:space="preserve"> </w:t>
            </w:r>
            <w:r w:rsidR="006768F1">
              <w:fldChar w:fldCharType="begin"/>
            </w:r>
            <w:r w:rsidR="00021399">
              <w:instrText xml:space="preserve"> REF _Ref374363711 \n \h </w:instrText>
            </w:r>
            <w:r w:rsidR="006768F1">
              <w:fldChar w:fldCharType="separate"/>
            </w:r>
            <w:r w:rsidR="00516D07">
              <w:t>4.1.2</w:t>
            </w:r>
            <w:r w:rsidR="006768F1">
              <w:fldChar w:fldCharType="end"/>
            </w:r>
            <w:r w:rsidR="00021399">
              <w:t xml:space="preserve"> </w:t>
            </w:r>
            <w:r w:rsidRPr="002C0434">
              <w:t>to measure the avoided operational costs are based on an average</w:t>
            </w:r>
            <w:r>
              <w:t xml:space="preserve"> change in pressure head (lift) across the </w:t>
            </w:r>
            <w:r w:rsidR="00601D65">
              <w:t>GAB</w:t>
            </w:r>
            <w:r>
              <w:t>. The breakeven assessment therefore considers the average change in pressure (m) required w</w:t>
            </w:r>
            <w:r w:rsidR="00601D65">
              <w:t>ithin each phase of the program</w:t>
            </w:r>
            <w:r>
              <w:t xml:space="preserve"> an</w:t>
            </w:r>
            <w:r w:rsidR="00601D65">
              <w:t>d across the program as a whole</w:t>
            </w:r>
            <w:r>
              <w:t xml:space="preserve"> to achieve a BCR of 1. </w:t>
            </w:r>
          </w:p>
        </w:tc>
      </w:tr>
      <w:tr w:rsidR="004B2E87" w:rsidRPr="00863E1E" w:rsidTr="00021399">
        <w:tc>
          <w:tcPr>
            <w:tcW w:w="1072" w:type="pct"/>
          </w:tcPr>
          <w:p w:rsidR="004B2E87" w:rsidRPr="00CA5F54" w:rsidRDefault="004B2E87" w:rsidP="00F828F6">
            <w:pPr>
              <w:pStyle w:val="Tablesmalltext"/>
              <w:rPr>
                <w:b/>
              </w:rPr>
            </w:pPr>
            <w:r w:rsidRPr="00CA5F54">
              <w:rPr>
                <w:b/>
              </w:rPr>
              <w:t>Biodiversity – avoided loss of unique ecosystems</w:t>
            </w:r>
          </w:p>
        </w:tc>
        <w:tc>
          <w:tcPr>
            <w:tcW w:w="3928" w:type="pct"/>
            <w:vAlign w:val="center"/>
          </w:tcPr>
          <w:p w:rsidR="004B2E87" w:rsidRPr="00484D90" w:rsidRDefault="004B2E87" w:rsidP="004D3D4D">
            <w:pPr>
              <w:pStyle w:val="Tablesmalltext"/>
            </w:pPr>
            <w:r>
              <w:t>Based on metrics discussed in Section</w:t>
            </w:r>
            <w:r w:rsidR="008C20E0">
              <w:t xml:space="preserve"> </w:t>
            </w:r>
            <w:fldSimple w:instr=" REF _Ref373402926 \n \h  \* MERGEFORMAT ">
              <w:r w:rsidR="00516D07">
                <w:t>4.5.1</w:t>
              </w:r>
            </w:fldSimple>
            <w:r w:rsidR="008C20E0">
              <w:t xml:space="preserve"> </w:t>
            </w:r>
            <w:r>
              <w:t>t</w:t>
            </w:r>
            <w:r w:rsidRPr="00484D90">
              <w:t>he breakeven assessment considers the avoided loss (%) of unique ecosystem in the GAB that would need to be realised for a BCR of 1 to be achieved.</w:t>
            </w:r>
          </w:p>
          <w:p w:rsidR="004B2E87" w:rsidRPr="00484D90" w:rsidRDefault="004B2E87" w:rsidP="004D3D4D">
            <w:pPr>
              <w:pStyle w:val="Tablesmalltext"/>
            </w:pPr>
            <w:r w:rsidRPr="00484D90">
              <w:t>Rolf (2008) identified biodiversity WTP values provided by Rolf et al (2000) as most applicable to the GAB. These values estimate that households are willing to pay $5.65 (2013 dollars) for 15 years to avoid the loss of each one per cent of unique ecosystem.</w:t>
            </w:r>
          </w:p>
          <w:p w:rsidR="004B2E87" w:rsidRPr="00484D90" w:rsidRDefault="004B2E87" w:rsidP="004D3D4D">
            <w:pPr>
              <w:pStyle w:val="Tablesmalltext"/>
            </w:pPr>
            <w:r w:rsidRPr="00484D90">
              <w:t xml:space="preserve">The break even assessment applies these values to households in the GAB jurisdictions (Queensland, NSW and South Australia) to determine the break even percentage of unique ecosystems saved. </w:t>
            </w:r>
          </w:p>
        </w:tc>
      </w:tr>
      <w:tr w:rsidR="004B2E87" w:rsidRPr="00863E1E" w:rsidTr="00021399">
        <w:tc>
          <w:tcPr>
            <w:tcW w:w="1072" w:type="pct"/>
          </w:tcPr>
          <w:p w:rsidR="004B2E87" w:rsidRPr="00CA5F54" w:rsidRDefault="004B2E87" w:rsidP="00F828F6">
            <w:pPr>
              <w:pStyle w:val="Tablesmalltext"/>
              <w:rPr>
                <w:b/>
              </w:rPr>
            </w:pPr>
            <w:r w:rsidRPr="00CA5F54">
              <w:rPr>
                <w:b/>
              </w:rPr>
              <w:t>Biodiversity – avoided loss of endangered species</w:t>
            </w:r>
          </w:p>
        </w:tc>
        <w:tc>
          <w:tcPr>
            <w:tcW w:w="3928" w:type="pct"/>
            <w:vAlign w:val="center"/>
          </w:tcPr>
          <w:p w:rsidR="004B2E87" w:rsidRPr="00484D90" w:rsidRDefault="004B2E87" w:rsidP="004D3D4D">
            <w:pPr>
              <w:pStyle w:val="Tablesmalltext"/>
            </w:pPr>
            <w:r>
              <w:t>Based on metrics discussed in Section</w:t>
            </w:r>
            <w:r w:rsidR="008C20E0">
              <w:t xml:space="preserve"> </w:t>
            </w:r>
            <w:r w:rsidR="006768F1">
              <w:fldChar w:fldCharType="begin"/>
            </w:r>
            <w:r w:rsidR="008C20E0">
              <w:instrText xml:space="preserve"> REF _Ref373402926 \n \h </w:instrText>
            </w:r>
            <w:r w:rsidR="006768F1">
              <w:fldChar w:fldCharType="separate"/>
            </w:r>
            <w:r w:rsidR="00516D07">
              <w:t>4.5.1</w:t>
            </w:r>
            <w:r w:rsidR="006768F1">
              <w:fldChar w:fldCharType="end"/>
            </w:r>
            <w:r w:rsidR="008C20E0">
              <w:t>.</w:t>
            </w:r>
            <w:r>
              <w:t xml:space="preserve"> </w:t>
            </w:r>
            <w:r w:rsidRPr="00484D90">
              <w:t>The breakeven assessment considers the avoided loss of endangered ecosystem in the GAB that would need to be realised for a BCR of 1 to be achieved.</w:t>
            </w:r>
          </w:p>
          <w:p w:rsidR="004B2E87" w:rsidRPr="00484D90" w:rsidRDefault="004B2E87" w:rsidP="004D3D4D">
            <w:pPr>
              <w:pStyle w:val="Tablesmalltext"/>
            </w:pPr>
            <w:r w:rsidRPr="00484D90">
              <w:t>From the same study above (Rolf et al, 2000) it was estimated that households are willing to pay $17.48 (2013 dollars) for 15 years to avoid the loss of an endangered species</w:t>
            </w:r>
          </w:p>
          <w:p w:rsidR="004B2E87" w:rsidRPr="00484D90" w:rsidRDefault="004B2E87" w:rsidP="004D3D4D">
            <w:pPr>
              <w:pStyle w:val="Tablesmalltext"/>
            </w:pPr>
            <w:r w:rsidRPr="00484D90">
              <w:t>The break even assessment applies these values to households in the GAB jurisdictions (Queensland, NSW and South Australia) to determine the break even number of endangered species saved.</w:t>
            </w:r>
          </w:p>
        </w:tc>
      </w:tr>
    </w:tbl>
    <w:p w:rsidR="00F828F6" w:rsidRDefault="00086F2E" w:rsidP="0058560F">
      <w:pPr>
        <w:pStyle w:val="Para0"/>
      </w:pPr>
      <w:r>
        <w:t xml:space="preserve">The following table summarises the breakeven assessment results. </w:t>
      </w:r>
      <w:r w:rsidR="00AD1BD8">
        <w:t xml:space="preserve">It is noted that each benefit has been considered </w:t>
      </w:r>
      <w:r w:rsidR="003F09CC">
        <w:t>in isolation of the other benefits</w:t>
      </w:r>
      <w:r w:rsidR="00AD1BD8">
        <w:t xml:space="preserve"> –</w:t>
      </w:r>
      <w:r w:rsidR="009D4F6D">
        <w:t xml:space="preserve"> i.e. realising a single one of these benefits to 100% of its potential would achieve a BCR of 1.</w:t>
      </w:r>
      <w:r w:rsidR="00CB5C5F">
        <w:t xml:space="preserve"> These metrics are based on the assumptions and descriptions outlined in section </w:t>
      </w:r>
      <w:r w:rsidR="006768F1">
        <w:fldChar w:fldCharType="begin"/>
      </w:r>
      <w:r w:rsidR="00CB5C5F">
        <w:instrText xml:space="preserve"> REF _Ref373228999 \n \h </w:instrText>
      </w:r>
      <w:r w:rsidR="006768F1">
        <w:fldChar w:fldCharType="separate"/>
      </w:r>
      <w:r w:rsidR="00516D07">
        <w:t>4</w:t>
      </w:r>
      <w:r w:rsidR="006768F1">
        <w:fldChar w:fldCharType="end"/>
      </w:r>
      <w:r w:rsidR="00CB5C5F">
        <w:t xml:space="preserve">. </w:t>
      </w:r>
    </w:p>
    <w:p w:rsidR="00AD1BD8" w:rsidRDefault="00AD1BD8" w:rsidP="00AD1BD8">
      <w:pPr>
        <w:pStyle w:val="Caption"/>
      </w:pPr>
      <w:r>
        <w:t xml:space="preserve">Table </w:t>
      </w:r>
      <w:r w:rsidR="006768F1">
        <w:fldChar w:fldCharType="begin"/>
      </w:r>
      <w:r w:rsidR="00F843FC">
        <w:instrText xml:space="preserve"> SEQ Table \* ARABIC </w:instrText>
      </w:r>
      <w:r w:rsidR="006768F1">
        <w:fldChar w:fldCharType="separate"/>
      </w:r>
      <w:r w:rsidR="00516D07">
        <w:rPr>
          <w:noProof/>
        </w:rPr>
        <w:t>27</w:t>
      </w:r>
      <w:r w:rsidR="006768F1">
        <w:fldChar w:fldCharType="end"/>
      </w:r>
      <w:r>
        <w:t>: Breakeven assessment results</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0A0"/>
      </w:tblPr>
      <w:tblGrid>
        <w:gridCol w:w="2547"/>
        <w:gridCol w:w="1229"/>
        <w:gridCol w:w="1229"/>
        <w:gridCol w:w="1231"/>
        <w:gridCol w:w="1229"/>
        <w:gridCol w:w="1228"/>
        <w:gridCol w:w="1230"/>
      </w:tblGrid>
      <w:tr w:rsidR="00F669FB" w:rsidRPr="00863E1E" w:rsidTr="002E4907">
        <w:trPr>
          <w:cantSplit/>
          <w:tblHeader/>
        </w:trPr>
        <w:tc>
          <w:tcPr>
            <w:tcW w:w="1283" w:type="pct"/>
            <w:shd w:val="clear" w:color="auto" w:fill="5185C0"/>
            <w:vAlign w:val="center"/>
          </w:tcPr>
          <w:p w:rsidR="00086F2E" w:rsidRPr="00863E1E" w:rsidRDefault="00086F2E" w:rsidP="003F09CC">
            <w:pPr>
              <w:pStyle w:val="Tablesmallheading"/>
            </w:pPr>
            <w:r>
              <w:t>Benefit</w:t>
            </w:r>
            <w:r w:rsidR="00325B83">
              <w:t xml:space="preserve"> </w:t>
            </w:r>
            <w:r>
              <w:t>/</w:t>
            </w:r>
            <w:r w:rsidR="00325B83">
              <w:t xml:space="preserve"> </w:t>
            </w:r>
            <w:r>
              <w:t>metric considered</w:t>
            </w:r>
            <w:r w:rsidRPr="00863E1E">
              <w:t xml:space="preserve"> </w:t>
            </w:r>
          </w:p>
        </w:tc>
        <w:tc>
          <w:tcPr>
            <w:tcW w:w="619" w:type="pct"/>
            <w:shd w:val="clear" w:color="auto" w:fill="5185C0"/>
            <w:vAlign w:val="center"/>
          </w:tcPr>
          <w:p w:rsidR="00086F2E" w:rsidRPr="00863E1E" w:rsidRDefault="00086F2E" w:rsidP="00325B83">
            <w:pPr>
              <w:pStyle w:val="Tablesmallheading"/>
              <w:jc w:val="center"/>
            </w:pPr>
            <w:r w:rsidRPr="00863E1E">
              <w:t>GABSI Phase 1</w:t>
            </w:r>
          </w:p>
        </w:tc>
        <w:tc>
          <w:tcPr>
            <w:tcW w:w="619" w:type="pct"/>
            <w:shd w:val="clear" w:color="auto" w:fill="5185C0"/>
            <w:vAlign w:val="center"/>
          </w:tcPr>
          <w:p w:rsidR="00086F2E" w:rsidRPr="00863E1E" w:rsidRDefault="00086F2E" w:rsidP="00325B83">
            <w:pPr>
              <w:pStyle w:val="Tablesmallheading"/>
              <w:jc w:val="center"/>
            </w:pPr>
            <w:r w:rsidRPr="00863E1E">
              <w:t>GABSI Phase 2</w:t>
            </w:r>
          </w:p>
        </w:tc>
        <w:tc>
          <w:tcPr>
            <w:tcW w:w="620" w:type="pct"/>
            <w:shd w:val="clear" w:color="auto" w:fill="5185C0"/>
            <w:vAlign w:val="center"/>
          </w:tcPr>
          <w:p w:rsidR="00086F2E" w:rsidRPr="00863E1E" w:rsidRDefault="00086F2E" w:rsidP="00325B83">
            <w:pPr>
              <w:pStyle w:val="Tablesmallheading"/>
              <w:jc w:val="center"/>
            </w:pPr>
            <w:r w:rsidRPr="00863E1E">
              <w:t>GABSI Phase 3 (to June 2013)</w:t>
            </w:r>
          </w:p>
        </w:tc>
        <w:tc>
          <w:tcPr>
            <w:tcW w:w="619" w:type="pct"/>
            <w:shd w:val="clear" w:color="auto" w:fill="5185C0"/>
            <w:vAlign w:val="center"/>
          </w:tcPr>
          <w:p w:rsidR="00086F2E" w:rsidRPr="00863E1E" w:rsidRDefault="00086F2E" w:rsidP="00325B83">
            <w:pPr>
              <w:pStyle w:val="Tablesmallheading"/>
              <w:jc w:val="center"/>
            </w:pPr>
            <w:r w:rsidRPr="00863E1E">
              <w:t>GABSI Phase 3 (to June 2014)</w:t>
            </w:r>
          </w:p>
        </w:tc>
        <w:tc>
          <w:tcPr>
            <w:tcW w:w="619" w:type="pct"/>
            <w:shd w:val="clear" w:color="auto" w:fill="5185C0"/>
            <w:vAlign w:val="center"/>
          </w:tcPr>
          <w:p w:rsidR="00086F2E" w:rsidRPr="00863E1E" w:rsidRDefault="00086F2E" w:rsidP="00325B83">
            <w:pPr>
              <w:pStyle w:val="Tablesmallheading"/>
              <w:jc w:val="center"/>
            </w:pPr>
            <w:r>
              <w:t xml:space="preserve">TOTAL </w:t>
            </w:r>
            <w:r w:rsidR="003E2594">
              <w:t>GABSI</w:t>
            </w:r>
            <w:r w:rsidR="00325B83">
              <w:t xml:space="preserve"> </w:t>
            </w:r>
            <w:r>
              <w:t>(t</w:t>
            </w:r>
            <w:r w:rsidRPr="00863E1E">
              <w:t>o June 2013)</w:t>
            </w:r>
          </w:p>
        </w:tc>
        <w:tc>
          <w:tcPr>
            <w:tcW w:w="620" w:type="pct"/>
            <w:shd w:val="clear" w:color="auto" w:fill="5185C0"/>
            <w:vAlign w:val="center"/>
          </w:tcPr>
          <w:p w:rsidR="00086F2E" w:rsidRDefault="00086F2E" w:rsidP="00325B83">
            <w:pPr>
              <w:pStyle w:val="Tablesmallheading"/>
              <w:jc w:val="center"/>
            </w:pPr>
            <w:r>
              <w:t xml:space="preserve">TOTAL </w:t>
            </w:r>
            <w:r w:rsidR="003E2594">
              <w:t>GABSI</w:t>
            </w:r>
            <w:r w:rsidR="00325B83">
              <w:t xml:space="preserve"> </w:t>
            </w:r>
            <w:r>
              <w:t>(t</w:t>
            </w:r>
            <w:r w:rsidRPr="00863E1E">
              <w:t>o June 201</w:t>
            </w:r>
            <w:r>
              <w:t>4</w:t>
            </w:r>
            <w:r w:rsidRPr="00863E1E">
              <w:t>)</w:t>
            </w:r>
          </w:p>
        </w:tc>
      </w:tr>
      <w:tr w:rsidR="001129E4" w:rsidRPr="00863E1E" w:rsidTr="00691FCA">
        <w:tc>
          <w:tcPr>
            <w:tcW w:w="1283" w:type="pct"/>
          </w:tcPr>
          <w:p w:rsidR="001129E4" w:rsidRPr="00863E1E" w:rsidRDefault="001129E4" w:rsidP="00C41B30">
            <w:pPr>
              <w:pStyle w:val="Tablesmalltext"/>
            </w:pPr>
            <w:r>
              <w:t>Breakeven avoided number of pumps installed (#)</w:t>
            </w:r>
            <w:r w:rsidR="00CB5C5F">
              <w:rPr>
                <w:rStyle w:val="FootnoteReference"/>
              </w:rPr>
              <w:footnoteReference w:id="28"/>
            </w:r>
          </w:p>
        </w:tc>
        <w:tc>
          <w:tcPr>
            <w:tcW w:w="619" w:type="pct"/>
            <w:vAlign w:val="center"/>
          </w:tcPr>
          <w:p w:rsidR="001129E4" w:rsidRPr="000766D4" w:rsidRDefault="001129E4" w:rsidP="00503E0C">
            <w:pPr>
              <w:pStyle w:val="Tablesmalltext"/>
              <w:jc w:val="center"/>
            </w:pPr>
            <w:r w:rsidRPr="00D74E65">
              <w:t>375</w:t>
            </w:r>
          </w:p>
        </w:tc>
        <w:tc>
          <w:tcPr>
            <w:tcW w:w="619" w:type="pct"/>
            <w:vAlign w:val="center"/>
          </w:tcPr>
          <w:p w:rsidR="001129E4" w:rsidRPr="000766D4" w:rsidRDefault="001129E4" w:rsidP="00503E0C">
            <w:pPr>
              <w:pStyle w:val="Tablesmalltext"/>
              <w:jc w:val="center"/>
            </w:pPr>
            <w:r w:rsidRPr="00D74E65">
              <w:t>11</w:t>
            </w:r>
            <w:r w:rsidR="0083525F">
              <w:t>69</w:t>
            </w:r>
          </w:p>
        </w:tc>
        <w:tc>
          <w:tcPr>
            <w:tcW w:w="620" w:type="pct"/>
            <w:vAlign w:val="center"/>
          </w:tcPr>
          <w:p w:rsidR="001129E4" w:rsidRPr="000766D4" w:rsidRDefault="001129E4" w:rsidP="00503E0C">
            <w:pPr>
              <w:pStyle w:val="Tablesmalltext"/>
              <w:jc w:val="center"/>
            </w:pPr>
            <w:r w:rsidRPr="00D74E65">
              <w:t>1</w:t>
            </w:r>
            <w:r w:rsidR="0083525F">
              <w:t>209</w:t>
            </w:r>
          </w:p>
        </w:tc>
        <w:tc>
          <w:tcPr>
            <w:tcW w:w="619" w:type="pct"/>
            <w:vAlign w:val="center"/>
          </w:tcPr>
          <w:p w:rsidR="001129E4" w:rsidRDefault="001129E4" w:rsidP="0083525F">
            <w:pPr>
              <w:pStyle w:val="Tablesmalltext"/>
              <w:jc w:val="center"/>
            </w:pPr>
            <w:r w:rsidRPr="00D74E65">
              <w:t>16</w:t>
            </w:r>
            <w:r w:rsidR="0083525F">
              <w:t>44</w:t>
            </w:r>
          </w:p>
        </w:tc>
        <w:tc>
          <w:tcPr>
            <w:tcW w:w="619" w:type="pct"/>
            <w:vAlign w:val="center"/>
          </w:tcPr>
          <w:p w:rsidR="001129E4" w:rsidRDefault="0083525F" w:rsidP="00503E0C">
            <w:pPr>
              <w:pStyle w:val="Tablesmalltext"/>
              <w:jc w:val="center"/>
            </w:pPr>
            <w:r>
              <w:t>805</w:t>
            </w:r>
          </w:p>
        </w:tc>
        <w:tc>
          <w:tcPr>
            <w:tcW w:w="620" w:type="pct"/>
            <w:vAlign w:val="center"/>
          </w:tcPr>
          <w:p w:rsidR="001129E4" w:rsidRDefault="001129E4" w:rsidP="00503E0C">
            <w:pPr>
              <w:pStyle w:val="Tablesmalltext"/>
              <w:jc w:val="center"/>
            </w:pPr>
            <w:r w:rsidRPr="00D74E65">
              <w:t>8</w:t>
            </w:r>
            <w:r w:rsidR="0083525F">
              <w:t>55</w:t>
            </w:r>
          </w:p>
        </w:tc>
      </w:tr>
      <w:tr w:rsidR="001129E4" w:rsidRPr="00863E1E" w:rsidTr="00691FCA">
        <w:tc>
          <w:tcPr>
            <w:tcW w:w="1283" w:type="pct"/>
          </w:tcPr>
          <w:p w:rsidR="001129E4" w:rsidRPr="00AD1BD8" w:rsidRDefault="001129E4" w:rsidP="00C41B30">
            <w:pPr>
              <w:pStyle w:val="Tablesmalltext"/>
            </w:pPr>
            <w:r>
              <w:t xml:space="preserve">Average pressure change (m) in the GAB for </w:t>
            </w:r>
            <w:r w:rsidR="00CB5C5F">
              <w:t>breakeven avoided pumping costs</w:t>
            </w:r>
            <w:r w:rsidR="00CB5C5F">
              <w:rPr>
                <w:rStyle w:val="FootnoteReference"/>
              </w:rPr>
              <w:footnoteReference w:id="29"/>
            </w:r>
          </w:p>
        </w:tc>
        <w:tc>
          <w:tcPr>
            <w:tcW w:w="619" w:type="pct"/>
            <w:vAlign w:val="center"/>
          </w:tcPr>
          <w:p w:rsidR="001129E4" w:rsidRPr="000766D4" w:rsidRDefault="001129E4" w:rsidP="00503E0C">
            <w:pPr>
              <w:pStyle w:val="Tablesmalltext"/>
              <w:jc w:val="center"/>
            </w:pPr>
            <w:r w:rsidRPr="00D74E65">
              <w:t xml:space="preserve">5 </w:t>
            </w:r>
          </w:p>
        </w:tc>
        <w:tc>
          <w:tcPr>
            <w:tcW w:w="619" w:type="pct"/>
            <w:vAlign w:val="center"/>
          </w:tcPr>
          <w:p w:rsidR="001129E4" w:rsidRPr="000766D4" w:rsidRDefault="001129E4" w:rsidP="00503E0C">
            <w:pPr>
              <w:pStyle w:val="Tablesmalltext"/>
              <w:jc w:val="center"/>
            </w:pPr>
            <w:r w:rsidRPr="00D74E65">
              <w:t xml:space="preserve">15 </w:t>
            </w:r>
          </w:p>
        </w:tc>
        <w:tc>
          <w:tcPr>
            <w:tcW w:w="620" w:type="pct"/>
            <w:vAlign w:val="center"/>
          </w:tcPr>
          <w:p w:rsidR="001129E4" w:rsidRPr="000766D4" w:rsidRDefault="001129E4" w:rsidP="00503E0C">
            <w:pPr>
              <w:pStyle w:val="Tablesmalltext"/>
              <w:jc w:val="center"/>
            </w:pPr>
            <w:r w:rsidRPr="00D74E65">
              <w:t>1</w:t>
            </w:r>
            <w:r w:rsidR="0083525F">
              <w:t>6</w:t>
            </w:r>
          </w:p>
        </w:tc>
        <w:tc>
          <w:tcPr>
            <w:tcW w:w="619" w:type="pct"/>
            <w:vAlign w:val="center"/>
          </w:tcPr>
          <w:p w:rsidR="001129E4" w:rsidRDefault="001129E4" w:rsidP="00503E0C">
            <w:pPr>
              <w:pStyle w:val="Tablesmalltext"/>
              <w:jc w:val="center"/>
            </w:pPr>
            <w:r w:rsidRPr="00D74E65">
              <w:t xml:space="preserve"> 21</w:t>
            </w:r>
          </w:p>
        </w:tc>
        <w:tc>
          <w:tcPr>
            <w:tcW w:w="619" w:type="pct"/>
            <w:vAlign w:val="center"/>
          </w:tcPr>
          <w:p w:rsidR="001129E4" w:rsidRDefault="001129E4" w:rsidP="00503E0C">
            <w:pPr>
              <w:pStyle w:val="Tablesmalltext"/>
              <w:jc w:val="center"/>
            </w:pPr>
            <w:r w:rsidRPr="00D74E65">
              <w:t xml:space="preserve"> 11 </w:t>
            </w:r>
          </w:p>
        </w:tc>
        <w:tc>
          <w:tcPr>
            <w:tcW w:w="620" w:type="pct"/>
            <w:vAlign w:val="center"/>
          </w:tcPr>
          <w:p w:rsidR="001129E4" w:rsidRDefault="001129E4" w:rsidP="00503E0C">
            <w:pPr>
              <w:pStyle w:val="Tablesmalltext"/>
              <w:jc w:val="center"/>
            </w:pPr>
            <w:r w:rsidRPr="00D74E65">
              <w:t xml:space="preserve"> 11 </w:t>
            </w:r>
          </w:p>
        </w:tc>
      </w:tr>
      <w:tr w:rsidR="001129E4" w:rsidRPr="00863E1E" w:rsidTr="00691FCA">
        <w:tc>
          <w:tcPr>
            <w:tcW w:w="1283" w:type="pct"/>
          </w:tcPr>
          <w:p w:rsidR="001129E4" w:rsidRDefault="001129E4" w:rsidP="00C41B30">
            <w:pPr>
              <w:pStyle w:val="Tablesmalltext"/>
            </w:pPr>
            <w:r>
              <w:t>Breakeven avoided loss of unique ecosystems (%)</w:t>
            </w:r>
            <w:r w:rsidR="00CB5C5F">
              <w:rPr>
                <w:rStyle w:val="FootnoteReference"/>
              </w:rPr>
              <w:footnoteReference w:id="30"/>
            </w:r>
          </w:p>
        </w:tc>
        <w:tc>
          <w:tcPr>
            <w:tcW w:w="619" w:type="pct"/>
            <w:vAlign w:val="center"/>
          </w:tcPr>
          <w:p w:rsidR="001129E4" w:rsidRPr="000766D4" w:rsidRDefault="001129E4" w:rsidP="00503E0C">
            <w:pPr>
              <w:pStyle w:val="Tablesmalltext"/>
              <w:jc w:val="center"/>
            </w:pPr>
            <w:r w:rsidRPr="00D74E65">
              <w:t xml:space="preserve">6% </w:t>
            </w:r>
          </w:p>
        </w:tc>
        <w:tc>
          <w:tcPr>
            <w:tcW w:w="619" w:type="pct"/>
            <w:vAlign w:val="center"/>
          </w:tcPr>
          <w:p w:rsidR="001129E4" w:rsidRPr="000766D4" w:rsidRDefault="001129E4" w:rsidP="0083525F">
            <w:pPr>
              <w:pStyle w:val="Tablesmalltext"/>
              <w:jc w:val="center"/>
            </w:pPr>
            <w:r w:rsidRPr="00D74E65">
              <w:t>1</w:t>
            </w:r>
            <w:r w:rsidR="0083525F">
              <w:t>8</w:t>
            </w:r>
            <w:r w:rsidRPr="00D74E65">
              <w:t xml:space="preserve">% </w:t>
            </w:r>
          </w:p>
        </w:tc>
        <w:tc>
          <w:tcPr>
            <w:tcW w:w="620" w:type="pct"/>
            <w:vAlign w:val="center"/>
          </w:tcPr>
          <w:p w:rsidR="001129E4" w:rsidRPr="000766D4" w:rsidRDefault="001129E4" w:rsidP="0083525F">
            <w:pPr>
              <w:pStyle w:val="Tablesmalltext"/>
              <w:jc w:val="center"/>
            </w:pPr>
            <w:r w:rsidRPr="00D74E65">
              <w:t>1</w:t>
            </w:r>
            <w:r w:rsidR="0083525F">
              <w:t>5</w:t>
            </w:r>
            <w:r w:rsidRPr="00D74E65">
              <w:t xml:space="preserve">% </w:t>
            </w:r>
          </w:p>
        </w:tc>
        <w:tc>
          <w:tcPr>
            <w:tcW w:w="619" w:type="pct"/>
            <w:vAlign w:val="center"/>
          </w:tcPr>
          <w:p w:rsidR="001129E4" w:rsidRDefault="001129E4" w:rsidP="00503E0C">
            <w:pPr>
              <w:pStyle w:val="Tablesmalltext"/>
              <w:jc w:val="center"/>
            </w:pPr>
            <w:r w:rsidRPr="00D74E65">
              <w:t xml:space="preserve"> 2</w:t>
            </w:r>
            <w:r w:rsidR="0083525F">
              <w:t>0</w:t>
            </w:r>
            <w:r w:rsidRPr="00D74E65">
              <w:t xml:space="preserve">% </w:t>
            </w:r>
          </w:p>
        </w:tc>
        <w:tc>
          <w:tcPr>
            <w:tcW w:w="619" w:type="pct"/>
            <w:vAlign w:val="center"/>
          </w:tcPr>
          <w:p w:rsidR="001129E4" w:rsidRDefault="001129E4" w:rsidP="00503E0C">
            <w:pPr>
              <w:pStyle w:val="Tablesmalltext"/>
              <w:jc w:val="center"/>
            </w:pPr>
            <w:r w:rsidRPr="00D74E65">
              <w:t xml:space="preserve"> 12% </w:t>
            </w:r>
          </w:p>
        </w:tc>
        <w:tc>
          <w:tcPr>
            <w:tcW w:w="620" w:type="pct"/>
            <w:vAlign w:val="center"/>
          </w:tcPr>
          <w:p w:rsidR="001129E4" w:rsidRDefault="001129E4" w:rsidP="00503E0C">
            <w:pPr>
              <w:pStyle w:val="Tablesmalltext"/>
              <w:jc w:val="center"/>
            </w:pPr>
            <w:r w:rsidRPr="00D74E65">
              <w:t xml:space="preserve"> 13% </w:t>
            </w:r>
          </w:p>
        </w:tc>
      </w:tr>
      <w:tr w:rsidR="001129E4" w:rsidRPr="00863E1E" w:rsidTr="00691FCA">
        <w:tc>
          <w:tcPr>
            <w:tcW w:w="1283" w:type="pct"/>
          </w:tcPr>
          <w:p w:rsidR="001129E4" w:rsidRDefault="001129E4" w:rsidP="00C41B30">
            <w:pPr>
              <w:pStyle w:val="Tablesmalltext"/>
            </w:pPr>
            <w:r>
              <w:t xml:space="preserve">Breakeven avoided loss of endangered species </w:t>
            </w:r>
            <w:r w:rsidR="00CB5C5F">
              <w:t>(</w:t>
            </w:r>
            <w:r>
              <w:t>#)</w:t>
            </w:r>
            <w:r w:rsidR="00CB5C5F">
              <w:rPr>
                <w:rStyle w:val="FootnoteReference"/>
              </w:rPr>
              <w:footnoteReference w:id="31"/>
            </w:r>
          </w:p>
        </w:tc>
        <w:tc>
          <w:tcPr>
            <w:tcW w:w="619" w:type="pct"/>
            <w:vAlign w:val="center"/>
          </w:tcPr>
          <w:p w:rsidR="001129E4" w:rsidRPr="000766D4" w:rsidRDefault="001129E4" w:rsidP="00503E0C">
            <w:pPr>
              <w:pStyle w:val="Tablesmalltext"/>
              <w:jc w:val="center"/>
            </w:pPr>
            <w:r w:rsidRPr="00D74E65">
              <w:t xml:space="preserve">0.02 </w:t>
            </w:r>
          </w:p>
        </w:tc>
        <w:tc>
          <w:tcPr>
            <w:tcW w:w="619" w:type="pct"/>
            <w:vAlign w:val="center"/>
          </w:tcPr>
          <w:p w:rsidR="001129E4" w:rsidRPr="000766D4" w:rsidRDefault="0083525F" w:rsidP="00503E0C">
            <w:pPr>
              <w:pStyle w:val="Tablesmalltext"/>
              <w:jc w:val="center"/>
            </w:pPr>
            <w:r>
              <w:t>0.06</w:t>
            </w:r>
            <w:r w:rsidR="001129E4" w:rsidRPr="00D74E65">
              <w:t xml:space="preserve"> </w:t>
            </w:r>
          </w:p>
        </w:tc>
        <w:tc>
          <w:tcPr>
            <w:tcW w:w="620" w:type="pct"/>
            <w:vAlign w:val="center"/>
          </w:tcPr>
          <w:p w:rsidR="001129E4" w:rsidRPr="000766D4" w:rsidRDefault="001129E4" w:rsidP="00503E0C">
            <w:pPr>
              <w:pStyle w:val="Tablesmalltext"/>
              <w:jc w:val="center"/>
            </w:pPr>
            <w:r w:rsidRPr="00D74E65">
              <w:t xml:space="preserve">0.05 </w:t>
            </w:r>
          </w:p>
        </w:tc>
        <w:tc>
          <w:tcPr>
            <w:tcW w:w="619" w:type="pct"/>
            <w:vAlign w:val="center"/>
          </w:tcPr>
          <w:p w:rsidR="001129E4" w:rsidRDefault="001129E4" w:rsidP="00503E0C">
            <w:pPr>
              <w:pStyle w:val="Tablesmalltext"/>
              <w:jc w:val="center"/>
            </w:pPr>
            <w:r w:rsidRPr="00D74E65">
              <w:t xml:space="preserve"> 0.07 </w:t>
            </w:r>
          </w:p>
        </w:tc>
        <w:tc>
          <w:tcPr>
            <w:tcW w:w="619" w:type="pct"/>
            <w:vAlign w:val="center"/>
          </w:tcPr>
          <w:p w:rsidR="001129E4" w:rsidRDefault="001129E4" w:rsidP="00503E0C">
            <w:pPr>
              <w:pStyle w:val="Tablesmalltext"/>
              <w:jc w:val="center"/>
            </w:pPr>
            <w:r w:rsidRPr="00D74E65">
              <w:t xml:space="preserve"> 0.04 </w:t>
            </w:r>
          </w:p>
        </w:tc>
        <w:tc>
          <w:tcPr>
            <w:tcW w:w="620" w:type="pct"/>
            <w:vAlign w:val="center"/>
          </w:tcPr>
          <w:p w:rsidR="001129E4" w:rsidRDefault="001129E4" w:rsidP="00503E0C">
            <w:pPr>
              <w:pStyle w:val="Tablesmalltext"/>
              <w:jc w:val="center"/>
            </w:pPr>
            <w:r w:rsidRPr="00D74E65">
              <w:t xml:space="preserve"> 0.04 </w:t>
            </w:r>
          </w:p>
        </w:tc>
      </w:tr>
    </w:tbl>
    <w:p w:rsidR="004D3421" w:rsidRDefault="00612012" w:rsidP="009C0DD5">
      <w:pPr>
        <w:pStyle w:val="Para0"/>
      </w:pPr>
      <w:r w:rsidRPr="004E27C2">
        <w:t xml:space="preserve">The </w:t>
      </w:r>
      <w:r w:rsidR="00F9466E" w:rsidRPr="004E27C2">
        <w:t xml:space="preserve">results vary across phases as would be expected based on the gap between the original BCR and </w:t>
      </w:r>
      <w:r w:rsidR="006440BB">
        <w:t xml:space="preserve">a BCR of </w:t>
      </w:r>
      <w:r w:rsidR="00F9466E" w:rsidRPr="004E27C2">
        <w:t xml:space="preserve">1, with Phase 1 presenting relatively smaller additional benefits that would need to be </w:t>
      </w:r>
      <w:r w:rsidR="009F79BB">
        <w:t>realised in order to breakeven.</w:t>
      </w:r>
    </w:p>
    <w:p w:rsidR="006440BB" w:rsidRDefault="004E27C2" w:rsidP="009C0DD5">
      <w:pPr>
        <w:pStyle w:val="Para0"/>
      </w:pPr>
      <w:r w:rsidRPr="004E27C2">
        <w:t xml:space="preserve">These benefits should be weighed up in the context of value for money. For example, pressure across the GAB needs to recover by 11m on average to breakeven, which </w:t>
      </w:r>
      <w:r w:rsidR="003E2594" w:rsidRPr="004E27C2">
        <w:t>is realistic as an upper limit but ambitious as an average.</w:t>
      </w:r>
      <w:r w:rsidR="004D3421">
        <w:t xml:space="preserve"> However g</w:t>
      </w:r>
      <w:r w:rsidR="003E2594" w:rsidRPr="009C0DD5">
        <w:t>iven that each benef</w:t>
      </w:r>
      <w:r w:rsidR="00863035" w:rsidRPr="009C0DD5">
        <w:t>it was considered in isolation,</w:t>
      </w:r>
      <w:r w:rsidR="003E2594" w:rsidRPr="009C0DD5">
        <w:t xml:space="preserve"> </w:t>
      </w:r>
      <w:r w:rsidR="00863035" w:rsidRPr="009C0DD5">
        <w:t xml:space="preserve">less than 11m can be restored on average for the BCR to </w:t>
      </w:r>
      <w:r w:rsidR="006440BB">
        <w:t xml:space="preserve">reach a number </w:t>
      </w:r>
      <w:r w:rsidR="00863035" w:rsidRPr="009C0DD5">
        <w:t xml:space="preserve">greater than 1. </w:t>
      </w:r>
      <w:r w:rsidR="004D3421">
        <w:t>O</w:t>
      </w:r>
      <w:r w:rsidR="00863035" w:rsidRPr="009C0DD5">
        <w:t>nly 0.04 endangered species</w:t>
      </w:r>
      <w:r w:rsidR="00CA6BCD">
        <w:t xml:space="preserve"> or </w:t>
      </w:r>
      <w:r w:rsidR="00CE7AC5">
        <w:t>12-</w:t>
      </w:r>
      <w:r w:rsidR="00CA6BCD">
        <w:t>13% of unique ecosystems</w:t>
      </w:r>
      <w:r w:rsidR="00863035" w:rsidRPr="009C0DD5">
        <w:t xml:space="preserve"> would need to be protected </w:t>
      </w:r>
      <w:r w:rsidR="00CA6BCD" w:rsidRPr="009C0DD5">
        <w:t>for a BCR of 1</w:t>
      </w:r>
      <w:r w:rsidR="00023D2A">
        <w:t>, which are both achievable</w:t>
      </w:r>
      <w:r w:rsidR="00863035" w:rsidRPr="009C0DD5">
        <w:t xml:space="preserve">. If the breakeven benefits for both </w:t>
      </w:r>
      <w:r w:rsidR="00023D2A">
        <w:t xml:space="preserve">of these </w:t>
      </w:r>
      <w:r w:rsidR="00863035" w:rsidRPr="009C0DD5">
        <w:t xml:space="preserve">biodiversity impacts were fully achieved, and only half the breakeven pressure was restored (5.5m), and half the breakeven </w:t>
      </w:r>
      <w:r w:rsidR="00B23DFB" w:rsidRPr="009C0DD5">
        <w:t>number of avoided pumps was</w:t>
      </w:r>
      <w:r w:rsidR="00863035" w:rsidRPr="009C0DD5">
        <w:t xml:space="preserve"> de</w:t>
      </w:r>
      <w:r w:rsidR="001129E4">
        <w:t>livered, the BCR could equal 1.7</w:t>
      </w:r>
      <w:r w:rsidR="00CE7AC5">
        <w:t xml:space="preserve"> (for actual works to June 2013)</w:t>
      </w:r>
      <w:r w:rsidR="00863035" w:rsidRPr="009C0DD5">
        <w:t xml:space="preserve">. </w:t>
      </w:r>
    </w:p>
    <w:p w:rsidR="001129E4" w:rsidRPr="009C0DD5" w:rsidRDefault="001129E4" w:rsidP="001129E4">
      <w:pPr>
        <w:pStyle w:val="Para0"/>
      </w:pPr>
      <w:r>
        <w:t xml:space="preserve">A BCR greater than 1 </w:t>
      </w:r>
      <w:r w:rsidRPr="009C0DD5">
        <w:t>is</w:t>
      </w:r>
      <w:r>
        <w:t xml:space="preserve"> therefore</w:t>
      </w:r>
      <w:r w:rsidRPr="009C0DD5">
        <w:t xml:space="preserve"> considered to be </w:t>
      </w:r>
      <w:r w:rsidR="00190F35">
        <w:t>possible</w:t>
      </w:r>
      <w:r w:rsidRPr="009C0DD5">
        <w:t>, especially giv</w:t>
      </w:r>
      <w:r>
        <w:t>en that some other benefits (e.g.</w:t>
      </w:r>
      <w:r w:rsidRPr="009C0DD5">
        <w:t xml:space="preserve"> tourism, recreation, option value) were not explicitly considered in the analysis</w:t>
      </w:r>
      <w:r>
        <w:t>.</w:t>
      </w:r>
      <w:r w:rsidR="00371BF9">
        <w:t>.</w:t>
      </w:r>
    </w:p>
    <w:p w:rsidR="00960E8A" w:rsidRPr="00BB5ED0" w:rsidRDefault="00960E8A" w:rsidP="0058560F">
      <w:pPr>
        <w:pStyle w:val="Heading2"/>
      </w:pPr>
      <w:bookmarkStart w:id="79" w:name="_Ref375302590"/>
      <w:bookmarkStart w:id="80" w:name="_Toc378163314"/>
      <w:r w:rsidRPr="00BB5ED0">
        <w:t>Cost effectiveness</w:t>
      </w:r>
      <w:bookmarkEnd w:id="79"/>
      <w:bookmarkEnd w:id="80"/>
    </w:p>
    <w:p w:rsidR="00960E8A" w:rsidRPr="00863E1E" w:rsidRDefault="009001B2" w:rsidP="00960E8A">
      <w:pPr>
        <w:pStyle w:val="Para0"/>
      </w:pPr>
      <w:r>
        <w:t xml:space="preserve">During </w:t>
      </w:r>
      <w:r w:rsidR="00960E8A" w:rsidRPr="00863E1E">
        <w:t>SKM’s 2013 mid-term review of the GABSI program</w:t>
      </w:r>
      <w:r>
        <w:t>, some stakeholders</w:t>
      </w:r>
      <w:r w:rsidR="00960E8A" w:rsidRPr="00863E1E">
        <w:t xml:space="preserve"> suggested that the value for money of the GABSI program may be declining as bores that were easy to rehabilitate and contributed large water savi</w:t>
      </w:r>
      <w:r w:rsidR="00A319C6">
        <w:t>ngs had already been completed.</w:t>
      </w:r>
    </w:p>
    <w:p w:rsidR="00960E8A" w:rsidRPr="00863E1E" w:rsidRDefault="00960E8A" w:rsidP="00960E8A">
      <w:pPr>
        <w:pStyle w:val="Para0"/>
      </w:pPr>
      <w:r w:rsidRPr="00863E1E">
        <w:t>A cost-effectiveness analysis (CEA) is a useful tool to compare how the costs of the program are changing over time and to test whether the effectiveness of new expenditure is declining. A CEA is generally used to determine and compare the cost of achieving a given physical target across a number of options. For the purpose of this assessment, the CEA compares the cost of achieving a ML of water saving over the course of the GABSI program</w:t>
      </w:r>
      <w:r w:rsidR="00A319C6">
        <w:t>.</w:t>
      </w:r>
      <w:r w:rsidRPr="00863E1E">
        <w:rPr>
          <w:rStyle w:val="FootnoteReference"/>
        </w:rPr>
        <w:footnoteReference w:id="32"/>
      </w:r>
    </w:p>
    <w:p w:rsidR="00960E8A" w:rsidRPr="00863E1E" w:rsidRDefault="00960E8A" w:rsidP="00960E8A">
      <w:pPr>
        <w:pStyle w:val="Para0"/>
      </w:pPr>
      <w:r w:rsidRPr="0064458C">
        <w:t>It is important to note that a CEA does not quantify the benefit of achieving the physical target (ML saved), and does not consider the full range of benefits that may be achieved. As such, the CEA does not assess</w:t>
      </w:r>
      <w:r w:rsidR="0064458C" w:rsidRPr="0064458C">
        <w:t xml:space="preserve"> the</w:t>
      </w:r>
      <w:r w:rsidRPr="0064458C">
        <w:t xml:space="preserve"> value for money of an investment, but is a useful tool to compare the cost effectiveness of works being undertaken to achieve a common target. Importantly, this framework also enables the cost effectiveness of each phase of the program to be compared to the planned (or targeted) cost-effectiveness when the program was initially </w:t>
      </w:r>
      <w:r w:rsidR="0064458C" w:rsidRPr="0064458C">
        <w:t>established</w:t>
      </w:r>
      <w:r w:rsidRPr="00863E1E">
        <w:t>.</w:t>
      </w:r>
    </w:p>
    <w:p w:rsidR="00960E8A" w:rsidRPr="00863E1E" w:rsidRDefault="0064458C" w:rsidP="0064458C">
      <w:r>
        <w:t xml:space="preserve">The program was initially established through </w:t>
      </w:r>
      <w:r w:rsidRPr="0064458C">
        <w:t>t</w:t>
      </w:r>
      <w:r w:rsidR="00960E8A" w:rsidRPr="0064458C">
        <w:t>he</w:t>
      </w:r>
      <w:r w:rsidR="00960E8A" w:rsidRPr="00863E1E">
        <w:t xml:space="preserve"> GAB Strategic Management Plan (GABCC, 2000)</w:t>
      </w:r>
      <w:r>
        <w:t>. This plan</w:t>
      </w:r>
      <w:r w:rsidR="00960E8A" w:rsidRPr="00863E1E">
        <w:t xml:space="preserve"> estimated that GABSI implementation would cost $286</w:t>
      </w:r>
      <w:r w:rsidR="00B93F47">
        <w:rPr>
          <w:rStyle w:val="FootnoteReference"/>
        </w:rPr>
        <w:footnoteReference w:id="33"/>
      </w:r>
      <w:r w:rsidR="00960E8A" w:rsidRPr="00863E1E">
        <w:t xml:space="preserve"> million (at a minimum) over the 15 year implementation period (or $33</w:t>
      </w:r>
      <w:r w:rsidR="00F47876">
        <w:t>6</w:t>
      </w:r>
      <w:r w:rsidR="00CE7AC5">
        <w:t>.6</w:t>
      </w:r>
      <w:r w:rsidR="00960E8A" w:rsidRPr="00863E1E">
        <w:t xml:space="preserve"> million in 2013 dollars</w:t>
      </w:r>
      <w:r w:rsidR="00960E8A" w:rsidRPr="00863E1E">
        <w:rPr>
          <w:rStyle w:val="FootnoteReference"/>
        </w:rPr>
        <w:footnoteReference w:id="34"/>
      </w:r>
      <w:r w:rsidR="00960E8A" w:rsidRPr="00863E1E">
        <w:t xml:space="preserve">). It was also estimated that this expenditure would lead to annual water saving of approximately 200,000 ML. </w:t>
      </w:r>
      <w:r w:rsidR="00DF7925">
        <w:rPr>
          <w:rStyle w:val="FootnoteReference"/>
        </w:rPr>
        <w:footnoteReference w:id="35"/>
      </w:r>
    </w:p>
    <w:p w:rsidR="00516D07" w:rsidRDefault="00960E8A" w:rsidP="00696F38">
      <w:pPr>
        <w:pStyle w:val="Para0"/>
      </w:pPr>
      <w:r w:rsidRPr="00863E1E">
        <w:t>For the purpose of this assessment, it has been assumed that water saving per dollar of planned investment is constant throughout t</w:t>
      </w:r>
      <w:r w:rsidR="00CE7AC5">
        <w:t>he life of the project, at $1,68</w:t>
      </w:r>
      <w:r w:rsidR="00AB5233">
        <w:t>2</w:t>
      </w:r>
      <w:r w:rsidRPr="00863E1E">
        <w:t>/ML/annum (2013 dollars). This is a simplistic assumption given that, there has been a diminishing return on water savings per dollar invested over the three GABSI phases (discussed in more detail below). However, given the lack of information available on the initi</w:t>
      </w:r>
      <w:r w:rsidR="00CE7AC5">
        <w:t>al GABSI projections, $1,68</w:t>
      </w:r>
      <w:r w:rsidR="00AB5233">
        <w:t>2</w:t>
      </w:r>
      <w:r w:rsidRPr="00863E1E">
        <w:t>/ML/annum is considered to be an appropriate benchmark for assessing the relative performance of GABSI over time.</w:t>
      </w:r>
      <w:r w:rsidR="006768F1" w:rsidRPr="009B4A63">
        <w:fldChar w:fldCharType="begin"/>
      </w:r>
      <w:r w:rsidR="00E467FA" w:rsidRPr="009B4A63">
        <w:instrText xml:space="preserve"> REF _Ref373170984 \h </w:instrText>
      </w:r>
      <w:r w:rsidR="009B4A63">
        <w:instrText xml:space="preserve"> \* MERGEFORMAT </w:instrText>
      </w:r>
      <w:r w:rsidR="006768F1" w:rsidRPr="009B4A63">
        <w:fldChar w:fldCharType="separate"/>
      </w:r>
    </w:p>
    <w:p w:rsidR="00FF6A74" w:rsidRDefault="00516D07" w:rsidP="00960E8A">
      <w:pPr>
        <w:pStyle w:val="Para0"/>
      </w:pPr>
      <w:r w:rsidRPr="00490061">
        <w:rPr>
          <w:noProof/>
        </w:rPr>
        <w:t>Table</w:t>
      </w:r>
      <w:r w:rsidRPr="00490061">
        <w:t xml:space="preserve"> </w:t>
      </w:r>
      <w:r>
        <w:rPr>
          <w:noProof/>
        </w:rPr>
        <w:t>28</w:t>
      </w:r>
      <w:r w:rsidR="006768F1" w:rsidRPr="009B4A63">
        <w:fldChar w:fldCharType="end"/>
      </w:r>
      <w:r w:rsidR="009B4A63" w:rsidRPr="009B4A63">
        <w:t xml:space="preserve"> </w:t>
      </w:r>
      <w:r w:rsidR="00960E8A" w:rsidRPr="009B4A63">
        <w:t>summarises</w:t>
      </w:r>
      <w:r w:rsidR="00960E8A" w:rsidRPr="00863E1E">
        <w:t xml:space="preserve"> the expenditure</w:t>
      </w:r>
      <w:r w:rsidR="009B4A63">
        <w:rPr>
          <w:rStyle w:val="FootnoteReference"/>
        </w:rPr>
        <w:footnoteReference w:id="36"/>
      </w:r>
      <w:r w:rsidR="00960E8A" w:rsidRPr="00863E1E">
        <w:t xml:space="preserve"> and water saving result</w:t>
      </w:r>
      <w:r w:rsidR="00F47876">
        <w:t>s across the three GABSI phases</w:t>
      </w:r>
      <w:r w:rsidR="009B4A63">
        <w:t xml:space="preserve"> and </w:t>
      </w:r>
      <w:r w:rsidR="006768F1">
        <w:fldChar w:fldCharType="begin"/>
      </w:r>
      <w:r w:rsidR="009B4A63">
        <w:instrText xml:space="preserve"> REF _Ref373171192 \h </w:instrText>
      </w:r>
      <w:r w:rsidR="006768F1">
        <w:fldChar w:fldCharType="separate"/>
      </w:r>
      <w:r w:rsidRPr="00B71EB9">
        <w:t xml:space="preserve">Figure </w:t>
      </w:r>
      <w:r>
        <w:rPr>
          <w:noProof/>
        </w:rPr>
        <w:t>14</w:t>
      </w:r>
      <w:r w:rsidR="006768F1">
        <w:fldChar w:fldCharType="end"/>
      </w:r>
      <w:r w:rsidR="009B4A63">
        <w:t xml:space="preserve"> provides a more detailed breakdown by </w:t>
      </w:r>
      <w:r w:rsidR="00F47876">
        <w:t>jurisdiction.</w:t>
      </w:r>
      <w:r w:rsidR="00490061">
        <w:t xml:space="preserve"> The assessment shows that</w:t>
      </w:r>
      <w:r w:rsidR="00E24EF7">
        <w:t>,</w:t>
      </w:r>
      <w:r w:rsidR="00490061">
        <w:t xml:space="preserve"> </w:t>
      </w:r>
      <w:r w:rsidR="00E24EF7">
        <w:t xml:space="preserve">overall, </w:t>
      </w:r>
      <w:r w:rsidR="00490061">
        <w:t xml:space="preserve">GABSI has </w:t>
      </w:r>
      <w:r w:rsidR="00E24EF7">
        <w:t>exceeded its planned performance from a cost effectiveness perspective. However it also indicates that over Phase 3</w:t>
      </w:r>
      <w:r w:rsidR="009001B2">
        <w:t xml:space="preserve"> (including planned works for 2013/14)</w:t>
      </w:r>
      <w:r w:rsidR="00E24EF7">
        <w:t>, the cost effectiveness has started t</w:t>
      </w:r>
      <w:r w:rsidR="00BA5AD7">
        <w:t>o exceed the initial benchmark</w:t>
      </w:r>
      <w:r w:rsidR="001129E4">
        <w:t xml:space="preserve"> cost</w:t>
      </w:r>
      <w:r w:rsidR="00BA5AD7">
        <w:t xml:space="preserve">. </w:t>
      </w:r>
    </w:p>
    <w:p w:rsidR="00696F38" w:rsidRDefault="00BA5AD7" w:rsidP="00696F38">
      <w:pPr>
        <w:pStyle w:val="Para0"/>
      </w:pPr>
      <w:r>
        <w:t xml:space="preserve">This </w:t>
      </w:r>
      <w:r w:rsidR="008B7175">
        <w:t>is</w:t>
      </w:r>
      <w:r w:rsidR="00437094">
        <w:t xml:space="preserve"> </w:t>
      </w:r>
      <w:r>
        <w:t>a result of the jurisdictions’ approaches to prioritising the works. Generally works that had strong landholder contribution (</w:t>
      </w:r>
      <w:r w:rsidR="00691FCA">
        <w:t>noting that landholder contributions were not required in SA</w:t>
      </w:r>
      <w:r>
        <w:t>)</w:t>
      </w:r>
      <w:r w:rsidR="008B7175">
        <w:t xml:space="preserve">, provided the </w:t>
      </w:r>
      <w:r w:rsidR="00691FCA">
        <w:t>greatest</w:t>
      </w:r>
      <w:r w:rsidR="008B7175">
        <w:t xml:space="preserve"> contribution to pressure recovery</w:t>
      </w:r>
      <w:r w:rsidR="00691FCA">
        <w:t>,</w:t>
      </w:r>
      <w:r>
        <w:t xml:space="preserve"> and / or were technically more feasible were undertaken first, with increasingly challenging projects being attempted in Phase 3 (e.g. bores which are capped but fail to be controlled and therefore require significant rework)</w:t>
      </w:r>
      <w:r w:rsidR="008B7175">
        <w:t xml:space="preserve"> or more complex/deeper bore rehabilitation</w:t>
      </w:r>
      <w:r>
        <w:t>.</w:t>
      </w:r>
      <w:r w:rsidR="00FF6A74">
        <w:t xml:space="preserve"> This is particularly prominent in South Australia, where priorities were relatively less driven by landholders and could therefore be primarily based on technical feasibility. This is reflected in South Australia’s sudden increase in cost effectiveness in Phase 3 relative to NSW and Queensland.</w:t>
      </w:r>
      <w:bookmarkStart w:id="81" w:name="_Ref373170984"/>
    </w:p>
    <w:p w:rsidR="00960E8A" w:rsidRPr="00863E1E" w:rsidRDefault="00960E8A" w:rsidP="00960E8A">
      <w:pPr>
        <w:pStyle w:val="Caption"/>
      </w:pPr>
      <w:r w:rsidRPr="00490061">
        <w:t xml:space="preserve">Table </w:t>
      </w:r>
      <w:r w:rsidR="006768F1">
        <w:fldChar w:fldCharType="begin"/>
      </w:r>
      <w:r w:rsidR="00F843FC">
        <w:instrText xml:space="preserve"> SEQ Table \* ARABIC </w:instrText>
      </w:r>
      <w:r w:rsidR="006768F1">
        <w:fldChar w:fldCharType="separate"/>
      </w:r>
      <w:r w:rsidR="00516D07">
        <w:rPr>
          <w:noProof/>
        </w:rPr>
        <w:t>28</w:t>
      </w:r>
      <w:r w:rsidR="006768F1">
        <w:fldChar w:fldCharType="end"/>
      </w:r>
      <w:bookmarkEnd w:id="81"/>
      <w:r w:rsidR="00E467FA" w:rsidRPr="00490061">
        <w:t>: C</w:t>
      </w:r>
      <w:r w:rsidR="00E467FA">
        <w:t>ost effectiveness summary across GABSI phases ($ 2013</w:t>
      </w:r>
      <w:r w:rsidR="00FE7160">
        <w:t>, real</w:t>
      </w:r>
      <w:r w:rsidR="00E467FA">
        <w:t>)</w:t>
      </w:r>
    </w:p>
    <w:tbl>
      <w:tblPr>
        <w:tblW w:w="9781" w:type="dxa"/>
        <w:tblInd w:w="108" w:type="dxa"/>
        <w:tblBorders>
          <w:top w:val="single" w:sz="8" w:space="0" w:color="79746C"/>
          <w:left w:val="single" w:sz="8" w:space="0" w:color="79746C"/>
          <w:bottom w:val="single" w:sz="8" w:space="0" w:color="79746C"/>
          <w:right w:val="single" w:sz="8" w:space="0" w:color="79746C"/>
          <w:insideH w:val="single" w:sz="8" w:space="0" w:color="79746C"/>
          <w:insideV w:val="single" w:sz="8" w:space="0" w:color="79746C"/>
        </w:tblBorders>
        <w:tblLook w:val="00A0"/>
      </w:tblPr>
      <w:tblGrid>
        <w:gridCol w:w="3222"/>
        <w:gridCol w:w="2680"/>
        <w:gridCol w:w="1895"/>
        <w:gridCol w:w="1984"/>
      </w:tblGrid>
      <w:tr w:rsidR="00F669FB" w:rsidRPr="00863E1E" w:rsidTr="002E4907">
        <w:trPr>
          <w:tblHeader/>
        </w:trPr>
        <w:tc>
          <w:tcPr>
            <w:tcW w:w="3222" w:type="dxa"/>
            <w:shd w:val="clear" w:color="auto" w:fill="5185C0"/>
          </w:tcPr>
          <w:p w:rsidR="004E0C69" w:rsidRPr="00863E1E" w:rsidRDefault="004E0C69" w:rsidP="004E0C69">
            <w:pPr>
              <w:pStyle w:val="Tablesmallheading"/>
            </w:pPr>
            <w:r w:rsidRPr="00863E1E">
              <w:t>GABSI Phase</w:t>
            </w:r>
          </w:p>
        </w:tc>
        <w:tc>
          <w:tcPr>
            <w:tcW w:w="2680" w:type="dxa"/>
            <w:shd w:val="clear" w:color="auto" w:fill="5185C0"/>
          </w:tcPr>
          <w:p w:rsidR="004E0C69" w:rsidRPr="00863E1E" w:rsidRDefault="004E0C69" w:rsidP="00F47876">
            <w:pPr>
              <w:pStyle w:val="Tablesmallheading"/>
            </w:pPr>
            <w:r w:rsidRPr="00863E1E">
              <w:t>Expenditure (</w:t>
            </w:r>
            <w:r w:rsidR="00F47876">
              <w:t>real 2013)</w:t>
            </w:r>
          </w:p>
        </w:tc>
        <w:tc>
          <w:tcPr>
            <w:tcW w:w="1895" w:type="dxa"/>
            <w:shd w:val="clear" w:color="auto" w:fill="5185C0"/>
          </w:tcPr>
          <w:p w:rsidR="004E0C69" w:rsidRPr="00863E1E" w:rsidRDefault="004E0C69" w:rsidP="004E0C69">
            <w:pPr>
              <w:pStyle w:val="Tablesmallheading"/>
            </w:pPr>
            <w:r w:rsidRPr="00863E1E">
              <w:t>ML/annum saved</w:t>
            </w:r>
          </w:p>
        </w:tc>
        <w:tc>
          <w:tcPr>
            <w:tcW w:w="1984" w:type="dxa"/>
            <w:shd w:val="clear" w:color="auto" w:fill="5185C0"/>
          </w:tcPr>
          <w:p w:rsidR="004E0C69" w:rsidRPr="00863E1E" w:rsidRDefault="004E0C69" w:rsidP="004E0C69">
            <w:pPr>
              <w:pStyle w:val="Tablesmallheading"/>
            </w:pPr>
            <w:r w:rsidRPr="00863E1E">
              <w:t>$/ML/annum saved</w:t>
            </w:r>
          </w:p>
        </w:tc>
      </w:tr>
      <w:tr w:rsidR="00F669FB" w:rsidRPr="00863E1E" w:rsidTr="002E4907">
        <w:tc>
          <w:tcPr>
            <w:tcW w:w="3222" w:type="dxa"/>
          </w:tcPr>
          <w:p w:rsidR="00F47876" w:rsidRPr="00691FCA" w:rsidRDefault="00F47876" w:rsidP="004E0C69">
            <w:pPr>
              <w:pStyle w:val="Tablesmalltext"/>
              <w:rPr>
                <w:b/>
              </w:rPr>
            </w:pPr>
            <w:r w:rsidRPr="00691FCA">
              <w:rPr>
                <w:b/>
              </w:rPr>
              <w:t>GABSI 1</w:t>
            </w:r>
          </w:p>
        </w:tc>
        <w:tc>
          <w:tcPr>
            <w:tcW w:w="2680" w:type="dxa"/>
            <w:vAlign w:val="center"/>
          </w:tcPr>
          <w:p w:rsidR="00F47876" w:rsidRPr="00F47876" w:rsidRDefault="00F47876" w:rsidP="00F47876">
            <w:pPr>
              <w:pStyle w:val="Tablesmalltext"/>
            </w:pPr>
            <w:r w:rsidRPr="00F47876">
              <w:t>$ 76.65 m</w:t>
            </w:r>
          </w:p>
        </w:tc>
        <w:tc>
          <w:tcPr>
            <w:tcW w:w="1895" w:type="dxa"/>
            <w:vAlign w:val="center"/>
          </w:tcPr>
          <w:p w:rsidR="00F47876" w:rsidRPr="00F47876" w:rsidRDefault="00F47876" w:rsidP="00F47876">
            <w:pPr>
              <w:pStyle w:val="Tablesmalltext"/>
            </w:pPr>
            <w:r w:rsidRPr="00F47876">
              <w:t xml:space="preserve">91,767 </w:t>
            </w:r>
          </w:p>
        </w:tc>
        <w:tc>
          <w:tcPr>
            <w:tcW w:w="1984" w:type="dxa"/>
            <w:vAlign w:val="center"/>
          </w:tcPr>
          <w:p w:rsidR="00F47876" w:rsidRPr="00F47876" w:rsidRDefault="00F47876" w:rsidP="00F47876">
            <w:pPr>
              <w:pStyle w:val="Tablesmalltext"/>
            </w:pPr>
            <w:r w:rsidRPr="00F47876">
              <w:t>$835</w:t>
            </w:r>
          </w:p>
        </w:tc>
      </w:tr>
      <w:tr w:rsidR="00F47876" w:rsidRPr="00863E1E" w:rsidTr="00691FCA">
        <w:tc>
          <w:tcPr>
            <w:tcW w:w="3222" w:type="dxa"/>
          </w:tcPr>
          <w:p w:rsidR="00F47876" w:rsidRPr="00691FCA" w:rsidRDefault="00F47876" w:rsidP="004E0C69">
            <w:pPr>
              <w:pStyle w:val="Tablesmalltext"/>
              <w:rPr>
                <w:b/>
              </w:rPr>
            </w:pPr>
            <w:r w:rsidRPr="00691FCA">
              <w:rPr>
                <w:b/>
              </w:rPr>
              <w:t>GABSI 2</w:t>
            </w:r>
          </w:p>
        </w:tc>
        <w:tc>
          <w:tcPr>
            <w:tcW w:w="2680" w:type="dxa"/>
            <w:vAlign w:val="center"/>
          </w:tcPr>
          <w:p w:rsidR="00F47876" w:rsidRPr="00F47876" w:rsidRDefault="00F47876" w:rsidP="00FE7160">
            <w:pPr>
              <w:pStyle w:val="Tablesmalltext"/>
            </w:pPr>
            <w:r w:rsidRPr="00F47876">
              <w:t xml:space="preserve">$ </w:t>
            </w:r>
            <w:r w:rsidR="00FE7160">
              <w:t>95.95</w:t>
            </w:r>
            <w:r w:rsidRPr="00F47876">
              <w:t xml:space="preserve"> m</w:t>
            </w:r>
          </w:p>
        </w:tc>
        <w:tc>
          <w:tcPr>
            <w:tcW w:w="1895" w:type="dxa"/>
            <w:vAlign w:val="center"/>
          </w:tcPr>
          <w:p w:rsidR="00F47876" w:rsidRPr="00F47876" w:rsidRDefault="00F47876" w:rsidP="00F47876">
            <w:pPr>
              <w:pStyle w:val="Tablesmalltext"/>
            </w:pPr>
            <w:r w:rsidRPr="00F47876">
              <w:t xml:space="preserve">74,984 </w:t>
            </w:r>
          </w:p>
        </w:tc>
        <w:tc>
          <w:tcPr>
            <w:tcW w:w="1984" w:type="dxa"/>
            <w:vAlign w:val="center"/>
          </w:tcPr>
          <w:p w:rsidR="00F47876" w:rsidRPr="00F47876" w:rsidRDefault="00FD4E22" w:rsidP="00F47876">
            <w:pPr>
              <w:pStyle w:val="Tablesmalltext"/>
            </w:pPr>
            <w:r>
              <w:t>$1,280</w:t>
            </w:r>
          </w:p>
        </w:tc>
      </w:tr>
      <w:tr w:rsidR="00F669FB" w:rsidRPr="00863E1E" w:rsidTr="002E4907">
        <w:tc>
          <w:tcPr>
            <w:tcW w:w="3222" w:type="dxa"/>
          </w:tcPr>
          <w:p w:rsidR="00F47876" w:rsidRPr="00691FCA" w:rsidRDefault="00F47876" w:rsidP="004E0C69">
            <w:pPr>
              <w:pStyle w:val="Tablesmalltext"/>
              <w:rPr>
                <w:b/>
              </w:rPr>
            </w:pPr>
            <w:r w:rsidRPr="00691FCA">
              <w:rPr>
                <w:b/>
              </w:rPr>
              <w:t>GABSI 3 (to June 2013)</w:t>
            </w:r>
          </w:p>
        </w:tc>
        <w:tc>
          <w:tcPr>
            <w:tcW w:w="2680" w:type="dxa"/>
            <w:vAlign w:val="center"/>
          </w:tcPr>
          <w:p w:rsidR="00F47876" w:rsidRPr="00F47876" w:rsidRDefault="00F47876" w:rsidP="00FE7160">
            <w:pPr>
              <w:pStyle w:val="Tablesmalltext"/>
            </w:pPr>
            <w:r w:rsidRPr="00F47876">
              <w:t xml:space="preserve">$ </w:t>
            </w:r>
            <w:r w:rsidR="00FE7160">
              <w:t>66.08</w:t>
            </w:r>
            <w:r w:rsidRPr="00F47876">
              <w:t xml:space="preserve"> m</w:t>
            </w:r>
          </w:p>
        </w:tc>
        <w:tc>
          <w:tcPr>
            <w:tcW w:w="1895" w:type="dxa"/>
            <w:vAlign w:val="center"/>
          </w:tcPr>
          <w:p w:rsidR="00F47876" w:rsidRPr="00F47876" w:rsidRDefault="00FE7160" w:rsidP="00F47876">
            <w:pPr>
              <w:pStyle w:val="Tablesmalltext"/>
            </w:pPr>
            <w:r>
              <w:t>37,775</w:t>
            </w:r>
          </w:p>
        </w:tc>
        <w:tc>
          <w:tcPr>
            <w:tcW w:w="1984" w:type="dxa"/>
            <w:vAlign w:val="center"/>
          </w:tcPr>
          <w:p w:rsidR="00F47876" w:rsidRPr="00F47876" w:rsidRDefault="00F47876" w:rsidP="00FD4E22">
            <w:pPr>
              <w:pStyle w:val="Tablesmalltext"/>
            </w:pPr>
            <w:r w:rsidRPr="00F47876">
              <w:t>$1,</w:t>
            </w:r>
            <w:r w:rsidR="00FD4E22">
              <w:t>749</w:t>
            </w:r>
          </w:p>
        </w:tc>
      </w:tr>
      <w:tr w:rsidR="00F47876" w:rsidRPr="00863E1E" w:rsidTr="00691FCA">
        <w:tc>
          <w:tcPr>
            <w:tcW w:w="3222" w:type="dxa"/>
          </w:tcPr>
          <w:p w:rsidR="00F47876" w:rsidRPr="00691FCA" w:rsidRDefault="00F47876" w:rsidP="004E0C69">
            <w:pPr>
              <w:pStyle w:val="Tablesmalltext"/>
              <w:rPr>
                <w:b/>
              </w:rPr>
            </w:pPr>
            <w:r w:rsidRPr="00691FCA">
              <w:rPr>
                <w:b/>
              </w:rPr>
              <w:t>TOTAL to date (actual</w:t>
            </w:r>
            <w:r w:rsidR="009001B2">
              <w:rPr>
                <w:b/>
              </w:rPr>
              <w:t>, to June 2013)</w:t>
            </w:r>
          </w:p>
        </w:tc>
        <w:tc>
          <w:tcPr>
            <w:tcW w:w="2680" w:type="dxa"/>
            <w:vAlign w:val="center"/>
          </w:tcPr>
          <w:p w:rsidR="00F47876" w:rsidRPr="00F47876" w:rsidRDefault="00F47876" w:rsidP="00FE7160">
            <w:pPr>
              <w:pStyle w:val="Tablesmalltext"/>
              <w:rPr>
                <w:b/>
                <w:bCs/>
              </w:rPr>
            </w:pPr>
            <w:r w:rsidRPr="00F47876">
              <w:rPr>
                <w:b/>
                <w:bCs/>
              </w:rPr>
              <w:t xml:space="preserve">$ </w:t>
            </w:r>
            <w:r w:rsidR="00FE7160">
              <w:rPr>
                <w:b/>
                <w:bCs/>
              </w:rPr>
              <w:t>238.68</w:t>
            </w:r>
            <w:r w:rsidRPr="00F47876">
              <w:rPr>
                <w:b/>
                <w:bCs/>
              </w:rPr>
              <w:t xml:space="preserve"> m</w:t>
            </w:r>
          </w:p>
        </w:tc>
        <w:tc>
          <w:tcPr>
            <w:tcW w:w="1895" w:type="dxa"/>
            <w:vAlign w:val="center"/>
          </w:tcPr>
          <w:p w:rsidR="00F47876" w:rsidRPr="00F47876" w:rsidRDefault="00F47876" w:rsidP="00FE7160">
            <w:pPr>
              <w:pStyle w:val="Tablesmalltext"/>
              <w:rPr>
                <w:b/>
                <w:bCs/>
              </w:rPr>
            </w:pPr>
            <w:r w:rsidRPr="00F47876">
              <w:rPr>
                <w:b/>
                <w:bCs/>
              </w:rPr>
              <w:t>20</w:t>
            </w:r>
            <w:r w:rsidR="00FE7160">
              <w:rPr>
                <w:b/>
                <w:bCs/>
              </w:rPr>
              <w:t>4,526</w:t>
            </w:r>
          </w:p>
        </w:tc>
        <w:tc>
          <w:tcPr>
            <w:tcW w:w="1984" w:type="dxa"/>
            <w:vAlign w:val="center"/>
          </w:tcPr>
          <w:p w:rsidR="00F47876" w:rsidRPr="00F47876" w:rsidRDefault="00F47876" w:rsidP="00FD4E22">
            <w:pPr>
              <w:pStyle w:val="Tablesmalltext"/>
              <w:rPr>
                <w:b/>
                <w:bCs/>
              </w:rPr>
            </w:pPr>
            <w:r w:rsidRPr="00F47876">
              <w:rPr>
                <w:b/>
                <w:bCs/>
              </w:rPr>
              <w:t>$1,1</w:t>
            </w:r>
            <w:r w:rsidR="00FD4E22">
              <w:rPr>
                <w:b/>
                <w:bCs/>
              </w:rPr>
              <w:t>67</w:t>
            </w:r>
          </w:p>
        </w:tc>
      </w:tr>
      <w:tr w:rsidR="00F669FB" w:rsidRPr="00863E1E" w:rsidTr="002E4907">
        <w:tc>
          <w:tcPr>
            <w:tcW w:w="3222" w:type="dxa"/>
          </w:tcPr>
          <w:p w:rsidR="00F47876" w:rsidRPr="00691FCA" w:rsidRDefault="00F47876" w:rsidP="004E0C69">
            <w:pPr>
              <w:pStyle w:val="Tablesmalltext"/>
              <w:rPr>
                <w:b/>
                <w:i/>
              </w:rPr>
            </w:pPr>
            <w:r w:rsidRPr="00691FCA">
              <w:rPr>
                <w:b/>
                <w:i/>
              </w:rPr>
              <w:t xml:space="preserve">Program benchmark </w:t>
            </w:r>
          </w:p>
        </w:tc>
        <w:tc>
          <w:tcPr>
            <w:tcW w:w="2680" w:type="dxa"/>
          </w:tcPr>
          <w:p w:rsidR="00F47876" w:rsidRPr="001B1464" w:rsidRDefault="00F47876" w:rsidP="00F47876">
            <w:pPr>
              <w:pStyle w:val="Tablesmalltext"/>
              <w:rPr>
                <w:b/>
                <w:i/>
              </w:rPr>
            </w:pPr>
            <w:r w:rsidRPr="001B1464">
              <w:rPr>
                <w:b/>
                <w:i/>
              </w:rPr>
              <w:t>$ 336.6 m</w:t>
            </w:r>
          </w:p>
        </w:tc>
        <w:tc>
          <w:tcPr>
            <w:tcW w:w="1895" w:type="dxa"/>
          </w:tcPr>
          <w:p w:rsidR="00F47876" w:rsidRPr="001B1464" w:rsidRDefault="00F47876" w:rsidP="00F47876">
            <w:pPr>
              <w:pStyle w:val="Tablesmalltext"/>
              <w:rPr>
                <w:b/>
                <w:i/>
              </w:rPr>
            </w:pPr>
            <w:r w:rsidRPr="001B1464">
              <w:rPr>
                <w:b/>
                <w:i/>
              </w:rPr>
              <w:t xml:space="preserve">200,000 </w:t>
            </w:r>
          </w:p>
        </w:tc>
        <w:tc>
          <w:tcPr>
            <w:tcW w:w="1984" w:type="dxa"/>
            <w:vAlign w:val="center"/>
          </w:tcPr>
          <w:p w:rsidR="00F47876" w:rsidRPr="001B1464" w:rsidRDefault="00F47876" w:rsidP="00F47876">
            <w:pPr>
              <w:pStyle w:val="Tablesmalltext"/>
              <w:rPr>
                <w:b/>
                <w:i/>
              </w:rPr>
            </w:pPr>
            <w:r w:rsidRPr="001B1464">
              <w:rPr>
                <w:b/>
                <w:i/>
              </w:rPr>
              <w:t>$1,68</w:t>
            </w:r>
            <w:r w:rsidR="00AB5233">
              <w:rPr>
                <w:b/>
                <w:i/>
              </w:rPr>
              <w:t>2</w:t>
            </w:r>
          </w:p>
        </w:tc>
      </w:tr>
    </w:tbl>
    <w:p w:rsidR="00F47876" w:rsidRDefault="009B4A63" w:rsidP="00490061">
      <w:pPr>
        <w:pStyle w:val="Caption"/>
      </w:pPr>
      <w:bookmarkStart w:id="82" w:name="_Ref373171192"/>
      <w:r w:rsidRPr="00B71EB9">
        <w:t xml:space="preserve">Figure </w:t>
      </w:r>
      <w:r w:rsidR="006768F1">
        <w:fldChar w:fldCharType="begin"/>
      </w:r>
      <w:r w:rsidR="00DB2AA7">
        <w:instrText xml:space="preserve"> SEQ Figure \* ARABIC </w:instrText>
      </w:r>
      <w:r w:rsidR="006768F1">
        <w:fldChar w:fldCharType="separate"/>
      </w:r>
      <w:r w:rsidR="00516D07">
        <w:rPr>
          <w:noProof/>
        </w:rPr>
        <w:t>14</w:t>
      </w:r>
      <w:r w:rsidR="006768F1">
        <w:fldChar w:fldCharType="end"/>
      </w:r>
      <w:bookmarkEnd w:id="82"/>
      <w:r w:rsidRPr="00B71EB9">
        <w:t xml:space="preserve">: </w:t>
      </w:r>
      <w:r>
        <w:t xml:space="preserve">Cost effectiveness summary by jurisdiction and program phase </w:t>
      </w:r>
    </w:p>
    <w:p w:rsidR="00371BF9" w:rsidRDefault="00FD4E22" w:rsidP="00FD4E22">
      <w:pPr>
        <w:pStyle w:val="Para0bold"/>
        <w:spacing w:before="0"/>
      </w:pPr>
      <w:r>
        <w:rPr>
          <w:noProof/>
          <w:lang w:eastAsia="en-AU"/>
        </w:rPr>
        <w:drawing>
          <wp:inline distT="0" distB="0" distL="0" distR="0">
            <wp:extent cx="5603358" cy="2909754"/>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74"/>
                    <a:stretch/>
                  </pic:blipFill>
                  <pic:spPr bwMode="auto">
                    <a:xfrm>
                      <a:off x="0" y="0"/>
                      <a:ext cx="5611564" cy="2914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0B4B" w:rsidRPr="00863E1E" w:rsidRDefault="00F40B4B" w:rsidP="00F40B4B">
      <w:pPr>
        <w:pStyle w:val="Para0"/>
      </w:pPr>
    </w:p>
    <w:p w:rsidR="00AD4557" w:rsidRDefault="000B7CEA" w:rsidP="000B7CEA">
      <w:pPr>
        <w:pStyle w:val="Heading1"/>
      </w:pPr>
      <w:bookmarkStart w:id="83" w:name="_Toc378163315"/>
      <w:r w:rsidRPr="00863E1E">
        <w:t>Conclusion</w:t>
      </w:r>
      <w:bookmarkEnd w:id="83"/>
    </w:p>
    <w:p w:rsidR="00156CA9" w:rsidRDefault="00156CA9" w:rsidP="00F30ACD">
      <w:pPr>
        <w:pStyle w:val="Para0"/>
      </w:pPr>
      <w:r>
        <w:t xml:space="preserve">A TEV approach was used to assess </w:t>
      </w:r>
      <w:r w:rsidR="00DF02C7">
        <w:t xml:space="preserve">government’s </w:t>
      </w:r>
      <w:r>
        <w:t>VfM of the GABSI program across the three phases between 1999/2000 to 2012/13. Due to limited availability of data, a relatively small proportion of the total TEV could be quantified. The aspects quantified include:</w:t>
      </w:r>
    </w:p>
    <w:p w:rsidR="00156CA9" w:rsidRDefault="00156CA9" w:rsidP="00156CA9">
      <w:pPr>
        <w:pStyle w:val="Para0bullet"/>
      </w:pPr>
      <w:r>
        <w:t>Consumptive benefits from reallocated water</w:t>
      </w:r>
    </w:p>
    <w:p w:rsidR="00156CA9" w:rsidRDefault="00156CA9" w:rsidP="00156CA9">
      <w:pPr>
        <w:pStyle w:val="Para0bullet"/>
      </w:pPr>
      <w:r>
        <w:t>Indirect benefits to rural communities</w:t>
      </w:r>
    </w:p>
    <w:p w:rsidR="00156CA9" w:rsidRDefault="00156CA9" w:rsidP="00156CA9">
      <w:pPr>
        <w:pStyle w:val="Para0bullet"/>
      </w:pPr>
      <w:r>
        <w:t>Greenhouse gas abatement benefits</w:t>
      </w:r>
    </w:p>
    <w:p w:rsidR="007C1C38" w:rsidRDefault="00456201" w:rsidP="00696DCF">
      <w:pPr>
        <w:pStyle w:val="Para0"/>
      </w:pPr>
      <w:r>
        <w:t>Together, these benefits provided $163</w:t>
      </w:r>
      <w:r w:rsidR="00E240DA">
        <w:t xml:space="preserve">.5 </w:t>
      </w:r>
      <w:r>
        <w:t>m in real 2013 dollars or $2</w:t>
      </w:r>
      <w:r w:rsidR="00E240DA">
        <w:t xml:space="preserve">10.4 </w:t>
      </w:r>
      <w:r>
        <w:t xml:space="preserve">m in present value for the full GABSI program until June 2013. This equates to a benefit cost ratio (BCR) of 0.56, which was found to be decreasing between phases over time. </w:t>
      </w:r>
      <w:r w:rsidR="007C1C38">
        <w:t>This reflects the change in priorities of the program and it</w:t>
      </w:r>
      <w:r w:rsidR="00232A10">
        <w:t>s</w:t>
      </w:r>
      <w:r w:rsidR="007C1C38">
        <w:t xml:space="preserve"> </w:t>
      </w:r>
      <w:r w:rsidR="00E240DA">
        <w:t xml:space="preserve">target of 100% rehabilitation. </w:t>
      </w:r>
      <w:r w:rsidR="00696DCF">
        <w:t xml:space="preserve">Critically however, these benefits primarily relate to water saved through GABSI, rather than pressure recovery which is the </w:t>
      </w:r>
      <w:r w:rsidR="00232A10">
        <w:t xml:space="preserve">other key </w:t>
      </w:r>
      <w:r w:rsidR="00696DCF">
        <w:t xml:space="preserve">focus of GABSI. </w:t>
      </w:r>
    </w:p>
    <w:p w:rsidR="00696DCF" w:rsidRDefault="00696DCF" w:rsidP="00696DCF">
      <w:pPr>
        <w:pStyle w:val="Para0"/>
      </w:pPr>
      <w:r>
        <w:t>Benefits related to pressure recovery include:</w:t>
      </w:r>
    </w:p>
    <w:p w:rsidR="00DF02C7" w:rsidRDefault="00DF02C7" w:rsidP="00DF02C7">
      <w:pPr>
        <w:pStyle w:val="Para0bullet"/>
      </w:pPr>
      <w:r>
        <w:t>Consumptive benefits from improved pressure</w:t>
      </w:r>
    </w:p>
    <w:p w:rsidR="00DF02C7" w:rsidRDefault="00DF02C7" w:rsidP="00DF02C7">
      <w:pPr>
        <w:pStyle w:val="Para0bullet"/>
      </w:pPr>
      <w:r>
        <w:t>Tourism, recreation and amenity benefits</w:t>
      </w:r>
    </w:p>
    <w:p w:rsidR="00DF02C7" w:rsidRDefault="00DF02C7" w:rsidP="00DF02C7">
      <w:pPr>
        <w:pStyle w:val="Para0bullet"/>
      </w:pPr>
      <w:r>
        <w:t>Heritage benefits</w:t>
      </w:r>
    </w:p>
    <w:p w:rsidR="00DF02C7" w:rsidRDefault="00DF02C7" w:rsidP="00DF02C7">
      <w:pPr>
        <w:pStyle w:val="Para0bullet"/>
      </w:pPr>
      <w:r>
        <w:t>Option value, bequest / altruism, and stewardship values</w:t>
      </w:r>
    </w:p>
    <w:p w:rsidR="00DF02C7" w:rsidRDefault="00DF02C7" w:rsidP="00DF02C7">
      <w:pPr>
        <w:pStyle w:val="Para0bullet"/>
      </w:pPr>
      <w:r>
        <w:t>Conserving biodiversity</w:t>
      </w:r>
    </w:p>
    <w:p w:rsidR="00DF02C7" w:rsidRDefault="00DF02C7" w:rsidP="00DF02C7">
      <w:pPr>
        <w:pStyle w:val="Para0"/>
      </w:pPr>
      <w:r>
        <w:t xml:space="preserve">These benefits were unable to be quantified given study scope and data constraints, however there is significant qualitative and anecdotal evidence supporting the existence of these benefits associated with GABSI. While funds could be invested in investigations, studies and monitoring programs to quantify some of these benefits, it is questionable as to whether the expenses involved would justify the benefits. </w:t>
      </w:r>
      <w:r w:rsidR="00FC32C6">
        <w:t>The types of considerations that could be taken into account to better quantify the value of GABSI include:</w:t>
      </w:r>
    </w:p>
    <w:p w:rsidR="00FC32C6" w:rsidRDefault="00FC32C6" w:rsidP="00FC32C6">
      <w:pPr>
        <w:pStyle w:val="Para0bullet"/>
      </w:pPr>
      <w:r>
        <w:t>Improved water market information covering a greater period of time and geographic locations, particularly in terms of the direct market value of GAB water</w:t>
      </w:r>
    </w:p>
    <w:p w:rsidR="00FC32C6" w:rsidRDefault="009001B2" w:rsidP="00FC32C6">
      <w:pPr>
        <w:pStyle w:val="Para0bullet"/>
      </w:pPr>
      <w:r>
        <w:t>Data analysis and p</w:t>
      </w:r>
      <w:r w:rsidR="00FC32C6">
        <w:t>ressure modelling of bores and springs to better understand the direct relationship between GABSI and pressure recovery</w:t>
      </w:r>
    </w:p>
    <w:p w:rsidR="00FC32C6" w:rsidRDefault="00FC32C6" w:rsidP="00FC32C6">
      <w:pPr>
        <w:pStyle w:val="Para0bullet"/>
      </w:pPr>
      <w:r>
        <w:t>Investigations to determine the efficiency of water savings achieved through GABSI (e.g. how benefits may be offset by increasing flows from remaining uncontrolled bores and springs).</w:t>
      </w:r>
    </w:p>
    <w:p w:rsidR="00DF02C7" w:rsidRDefault="00FC32C6" w:rsidP="00DF02C7">
      <w:pPr>
        <w:pStyle w:val="Para0"/>
      </w:pPr>
      <w:r>
        <w:t xml:space="preserve">Without such information being currently available, </w:t>
      </w:r>
      <w:r w:rsidR="00DF02C7">
        <w:t xml:space="preserve">three </w:t>
      </w:r>
      <w:r>
        <w:t xml:space="preserve">alternative </w:t>
      </w:r>
      <w:r w:rsidR="00DF02C7">
        <w:t>approaches to viewing the value and performance of GABSI have been applied. These are:</w:t>
      </w:r>
    </w:p>
    <w:p w:rsidR="00DF02C7" w:rsidRPr="00C542BB" w:rsidRDefault="00DF02C7" w:rsidP="00DF02C7">
      <w:pPr>
        <w:pStyle w:val="Para0bullet"/>
        <w:rPr>
          <w:b/>
        </w:rPr>
      </w:pPr>
      <w:r w:rsidRPr="00DF02C7">
        <w:rPr>
          <w:b/>
        </w:rPr>
        <w:t>TEV from alternative water use</w:t>
      </w:r>
      <w:r w:rsidR="00425266">
        <w:rPr>
          <w:b/>
        </w:rPr>
        <w:t xml:space="preserve"> </w:t>
      </w:r>
      <w:r w:rsidR="00425266" w:rsidRPr="00425266">
        <w:t>(refer</w:t>
      </w:r>
      <w:r w:rsidR="00425266">
        <w:t xml:space="preserve"> Section </w:t>
      </w:r>
      <w:r w:rsidR="006768F1">
        <w:fldChar w:fldCharType="begin"/>
      </w:r>
      <w:r w:rsidR="00425266">
        <w:instrText xml:space="preserve"> REF _Ref375302554 \n \h </w:instrText>
      </w:r>
      <w:r w:rsidR="006768F1">
        <w:fldChar w:fldCharType="separate"/>
      </w:r>
      <w:r w:rsidR="00516D07">
        <w:t>6.1</w:t>
      </w:r>
      <w:r w:rsidR="006768F1">
        <w:fldChar w:fldCharType="end"/>
      </w:r>
      <w:r w:rsidR="00425266">
        <w:t>)</w:t>
      </w:r>
      <w:r w:rsidRPr="00425266">
        <w:t>.</w:t>
      </w:r>
      <w:r>
        <w:rPr>
          <w:b/>
        </w:rPr>
        <w:t xml:space="preserve"> </w:t>
      </w:r>
      <w:r w:rsidR="00C542BB" w:rsidRPr="00C542BB">
        <w:t>This</w:t>
      </w:r>
      <w:r w:rsidR="00C542BB">
        <w:t xml:space="preserve"> approach tests the governments’ rationale that benefits of returning saved water to the GAB for the purpose of pressure recovery is greater than (or equal to) the benefits of reallocating that same volume of water for other consumptive purposes by assuming that 100% of the saved water is reallocated for consumptive use (rather than 50% in SA and 30% in Qld and NSW). This approach loses the value of benefits associated with pressure recovery, but </w:t>
      </w:r>
      <w:r w:rsidR="00425266">
        <w:t>achieves an overall BCR of 1.4.</w:t>
      </w:r>
    </w:p>
    <w:p w:rsidR="00C542BB" w:rsidRPr="00C970E4" w:rsidRDefault="00C542BB" w:rsidP="00DF02C7">
      <w:pPr>
        <w:pStyle w:val="Para0bullet"/>
        <w:rPr>
          <w:b/>
        </w:rPr>
      </w:pPr>
      <w:r>
        <w:rPr>
          <w:b/>
        </w:rPr>
        <w:t>Breakeven benefit assessment</w:t>
      </w:r>
      <w:r w:rsidR="00425266">
        <w:rPr>
          <w:b/>
        </w:rPr>
        <w:t xml:space="preserve"> </w:t>
      </w:r>
      <w:r w:rsidR="00425266">
        <w:t xml:space="preserve">(refer Section </w:t>
      </w:r>
      <w:r w:rsidR="006768F1">
        <w:fldChar w:fldCharType="begin"/>
      </w:r>
      <w:r w:rsidR="00425266">
        <w:instrText xml:space="preserve"> REF _Ref373484495 \n \h </w:instrText>
      </w:r>
      <w:r w:rsidR="006768F1">
        <w:fldChar w:fldCharType="separate"/>
      </w:r>
      <w:r w:rsidR="00516D07">
        <w:t>6.2</w:t>
      </w:r>
      <w:r w:rsidR="006768F1">
        <w:fldChar w:fldCharType="end"/>
      </w:r>
      <w:r w:rsidR="00425266">
        <w:t>)</w:t>
      </w:r>
      <w:r>
        <w:rPr>
          <w:b/>
        </w:rPr>
        <w:t xml:space="preserve">. </w:t>
      </w:r>
      <w:r w:rsidR="008C20E0">
        <w:t xml:space="preserve">This assessment considers </w:t>
      </w:r>
      <w:r w:rsidR="003314DB">
        <w:t xml:space="preserve">some of </w:t>
      </w:r>
      <w:r w:rsidR="008C20E0">
        <w:t xml:space="preserve">the benefits </w:t>
      </w:r>
      <w:r w:rsidR="003314DB">
        <w:t xml:space="preserve">not quantified in the TEV approach </w:t>
      </w:r>
      <w:r w:rsidR="008C20E0">
        <w:t>that would be required for the TEV to at least equal the cost (i.e. achieve a BCR of 1).</w:t>
      </w:r>
      <w:r w:rsidR="00A14A9E">
        <w:t xml:space="preserve"> </w:t>
      </w:r>
      <w:r w:rsidR="003314DB">
        <w:t xml:space="preserve">It assesses consumptive benefits from improved pressure (avoided number of pumps and pumping costs), and avoided loss of unique ecosystems and endangered species. Each benefit was considered in isolation, which means that only 0.04 endangered species of 13% of unique ecosystems would need to be protected for a BCR of 1. Similarly, pressure across the GAB would need to recover by 11m on average to breakeven. </w:t>
      </w:r>
      <w:r w:rsidR="009A53F7">
        <w:t>If the breakeven benefits of both biodiversity impacts were fully achieved, and only half the breakeven pressure was restored (5.5m) and half the breakeven number of avoided pumps deliver</w:t>
      </w:r>
      <w:r w:rsidR="005F1E7F">
        <w:t>ed</w:t>
      </w:r>
      <w:r w:rsidR="006A3192">
        <w:t>, the BCR would equal 1.7</w:t>
      </w:r>
      <w:r w:rsidR="009A53F7">
        <w:t>.</w:t>
      </w:r>
    </w:p>
    <w:p w:rsidR="00C10112" w:rsidRPr="00BA61F3" w:rsidRDefault="00B16788" w:rsidP="00F41397">
      <w:pPr>
        <w:pStyle w:val="Para0bullet"/>
        <w:rPr>
          <w:b/>
        </w:rPr>
      </w:pPr>
      <w:r>
        <w:rPr>
          <w:b/>
        </w:rPr>
        <w:t>Cost-effectiveness</w:t>
      </w:r>
      <w:r w:rsidR="00425266">
        <w:rPr>
          <w:b/>
        </w:rPr>
        <w:t xml:space="preserve"> </w:t>
      </w:r>
      <w:r w:rsidR="00425266">
        <w:t xml:space="preserve">(refer Section </w:t>
      </w:r>
      <w:r w:rsidR="006768F1">
        <w:fldChar w:fldCharType="begin"/>
      </w:r>
      <w:r w:rsidR="00425266">
        <w:instrText xml:space="preserve"> REF _Ref375302590 \n \h </w:instrText>
      </w:r>
      <w:r w:rsidR="006768F1">
        <w:fldChar w:fldCharType="separate"/>
      </w:r>
      <w:r w:rsidR="00516D07">
        <w:t>6.3</w:t>
      </w:r>
      <w:r w:rsidR="006768F1">
        <w:fldChar w:fldCharType="end"/>
      </w:r>
      <w:r w:rsidR="00425266">
        <w:t>)</w:t>
      </w:r>
      <w:r>
        <w:rPr>
          <w:b/>
        </w:rPr>
        <w:t xml:space="preserve">. </w:t>
      </w:r>
      <w:r w:rsidR="004F1084">
        <w:t>This analysis compares how the costs of GABSI have changed over time and whether the effectiveness (based on ML saved) of new expenditure is declining. It does not consider the benefits of achieving the ML saved targets, so should not be viewed as a VfM assessment. The initial planned cost-effectiveness as outlined in the GAB Strategic Management Plan can be used as a benchmark for comparis</w:t>
      </w:r>
      <w:r w:rsidR="00CE7AC5">
        <w:t>on purposes, and is set at $1,68</w:t>
      </w:r>
      <w:r w:rsidR="00AB5233">
        <w:t>2</w:t>
      </w:r>
      <w:r w:rsidR="004F1084">
        <w:t xml:space="preserve">/ML/annum (2013 dollars). To date, GABSI has </w:t>
      </w:r>
      <w:r w:rsidR="009D47A8">
        <w:t xml:space="preserve">outperformed well beyond </w:t>
      </w:r>
      <w:r w:rsidR="004F1084">
        <w:t>this benchmark by progressi</w:t>
      </w:r>
      <w:r w:rsidR="00CE7AC5">
        <w:t>ng its program of works at $1,167</w:t>
      </w:r>
      <w:r w:rsidR="004F1084">
        <w:t>/ML/annum</w:t>
      </w:r>
      <w:r w:rsidR="00675F17">
        <w:t>.</w:t>
      </w:r>
    </w:p>
    <w:p w:rsidR="00C65368" w:rsidRDefault="00C65368" w:rsidP="00C65368">
      <w:pPr>
        <w:pStyle w:val="Para0"/>
        <w:spacing w:before="120"/>
      </w:pPr>
      <w:r>
        <w:t>All of the assessment approaches applied in this study suggest that the effectiveness of the outcomes achieved from GABSI over time has gradually declined. This is likely due to governments’ prioritisation of works processes as described earlier, as well as a faster rate of increase in the price of construction and materials relative to consumer price index (CPI) over the period of GABSI (refer</w:t>
      </w:r>
      <w:r w:rsidR="00CD7EB4">
        <w:t xml:space="preserve"> </w:t>
      </w:r>
      <w:r w:rsidR="006768F1">
        <w:fldChar w:fldCharType="begin"/>
      </w:r>
      <w:r w:rsidR="00CD7EB4">
        <w:instrText xml:space="preserve"> REF _Ref375124422 \h </w:instrText>
      </w:r>
      <w:r w:rsidR="006768F1">
        <w:fldChar w:fldCharType="separate"/>
      </w:r>
      <w:r w:rsidR="00516D07">
        <w:t xml:space="preserve">Figure </w:t>
      </w:r>
      <w:r w:rsidR="00516D07">
        <w:rPr>
          <w:noProof/>
        </w:rPr>
        <w:t>15</w:t>
      </w:r>
      <w:r w:rsidR="006768F1">
        <w:fldChar w:fldCharType="end"/>
      </w:r>
      <w:r w:rsidR="00CD7EB4">
        <w:t>)</w:t>
      </w:r>
      <w:r>
        <w:t>.</w:t>
      </w:r>
    </w:p>
    <w:p w:rsidR="00C65368" w:rsidRDefault="00C65368" w:rsidP="00C65368">
      <w:pPr>
        <w:pStyle w:val="Caption"/>
      </w:pPr>
      <w:bookmarkStart w:id="84" w:name="_Ref375124422"/>
      <w:r>
        <w:t xml:space="preserve">Figure </w:t>
      </w:r>
      <w:r w:rsidR="006768F1">
        <w:fldChar w:fldCharType="begin"/>
      </w:r>
      <w:r>
        <w:instrText xml:space="preserve"> SEQ Figure \* ARABIC </w:instrText>
      </w:r>
      <w:r w:rsidR="006768F1">
        <w:fldChar w:fldCharType="separate"/>
      </w:r>
      <w:r w:rsidR="00516D07">
        <w:rPr>
          <w:noProof/>
        </w:rPr>
        <w:t>15</w:t>
      </w:r>
      <w:r w:rsidR="006768F1">
        <w:fldChar w:fldCharType="end"/>
      </w:r>
      <w:bookmarkEnd w:id="84"/>
      <w:r>
        <w:t>: Building price index (BPI) increases relative to CPI over the GABSI period</w:t>
      </w:r>
    </w:p>
    <w:p w:rsidR="00C65368" w:rsidRDefault="00C65368" w:rsidP="00C65368">
      <w:pPr>
        <w:pStyle w:val="Para0"/>
        <w:spacing w:before="120"/>
      </w:pPr>
      <w:r>
        <w:rPr>
          <w:noProof/>
          <w:lang w:eastAsia="en-AU"/>
        </w:rPr>
        <w:drawing>
          <wp:inline distT="0" distB="0" distL="0" distR="0">
            <wp:extent cx="5652654" cy="251824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654" cy="2518249"/>
                    </a:xfrm>
                    <a:prstGeom prst="rect">
                      <a:avLst/>
                    </a:prstGeom>
                    <a:noFill/>
                  </pic:spPr>
                </pic:pic>
              </a:graphicData>
            </a:graphic>
          </wp:inline>
        </w:drawing>
      </w:r>
    </w:p>
    <w:p w:rsidR="00270F01" w:rsidRPr="00270F01" w:rsidRDefault="00425266" w:rsidP="00270F01">
      <w:pPr>
        <w:rPr>
          <w:rFonts w:ascii="Times New Roman" w:hAnsi="Times New Roman"/>
          <w:sz w:val="24"/>
          <w:lang w:eastAsia="en-AU"/>
        </w:rPr>
      </w:pPr>
      <w:r>
        <w:t xml:space="preserve">Furthermore, the aim of GABSI is to rehabilitate 100 per cent of bores nominated under the SMP in order to achieve the greatest pressure savings, so it is </w:t>
      </w:r>
      <w:r w:rsidR="00270F01" w:rsidRPr="00270F01">
        <w:t xml:space="preserve">likely that benefits from previous phases as measured by the current approach would diminish if GABSI is not completed. While it is assumed that all benefits achieved in previous phases are preserved (or do not degrade) over future time, in reality the increased pressure will lead to an incremental increase in losses via other bores. Thus, because the main contribution to overall benefits is the monetary value of the groundwater that is saved and reallocated, later phases of the GABSI program act to preserve these reallocated water benefits. However, in terms of restoring pressure to the aquifer system, previous gains in pressure re-establishment will not erode over time. The BCR for earlier phases may remain stable if pressure is able to be incorporated into the assessment, and the benefits of pressure re-establishment far outweigh those from reallocating saved water. </w:t>
      </w:r>
    </w:p>
    <w:p w:rsidR="00C65368" w:rsidRPr="00675F17" w:rsidRDefault="006768F1" w:rsidP="00431D3D">
      <w:pPr>
        <w:pStyle w:val="Para0"/>
      </w:pPr>
      <w:r>
        <w:fldChar w:fldCharType="begin"/>
      </w:r>
      <w:r w:rsidR="00425266">
        <w:instrText xml:space="preserve"> REF _Ref375302634 \h </w:instrText>
      </w:r>
      <w:r>
        <w:fldChar w:fldCharType="separate"/>
      </w:r>
      <w:r w:rsidR="00516D07">
        <w:t xml:space="preserve">Table </w:t>
      </w:r>
      <w:r w:rsidR="00516D07">
        <w:rPr>
          <w:noProof/>
        </w:rPr>
        <w:t>29</w:t>
      </w:r>
      <w:r>
        <w:fldChar w:fldCharType="end"/>
      </w:r>
      <w:r w:rsidR="00425266">
        <w:t xml:space="preserve"> </w:t>
      </w:r>
      <w:r w:rsidR="00C65368">
        <w:t xml:space="preserve">provides an overview of jurisdictions’ estimates of works under GABSI that will </w:t>
      </w:r>
      <w:r w:rsidR="00FA40E3">
        <w:t>remain</w:t>
      </w:r>
      <w:r w:rsidR="002346EC">
        <w:t xml:space="preserve"> at June 2014. The total expenditure figures include estimated Commonwealth, State, and landholder contributions. </w:t>
      </w:r>
      <w:r w:rsidR="00C65368">
        <w:t>The remaining works have a cos</w:t>
      </w:r>
      <w:r w:rsidR="00282B83">
        <w:t>t-effectiveness figure of $1,</w:t>
      </w:r>
      <w:r w:rsidR="002B020F">
        <w:t>852</w:t>
      </w:r>
      <w:r w:rsidR="00C65368">
        <w:t xml:space="preserve">/ML/annum, which is </w:t>
      </w:r>
      <w:r w:rsidR="00FA40E3">
        <w:t xml:space="preserve">more expensive </w:t>
      </w:r>
      <w:r w:rsidR="00C65368">
        <w:t>than the benchmark discussed above, but also consistent with the view that the works to be completed in later stages are potentially more technically challenging, may be less likely to contribute directly to continued pressure recovery, or they may be on properties where the landholders are le</w:t>
      </w:r>
      <w:r w:rsidR="00FA40E3">
        <w:t>ss / unwilling to participate.</w:t>
      </w:r>
      <w:r w:rsidR="002346EC">
        <w:t xml:space="preserve"> Furthermore</w:t>
      </w:r>
      <w:r w:rsidR="002346EC" w:rsidRPr="007D70C5">
        <w:t>, when viewing the program as a whole the cost-effectiveness of completing GABSI would be $1,430/ML/annum, which is still lower than the initial benchmark of $1,682/ML/annum.</w:t>
      </w:r>
      <w:r w:rsidR="00214B8D">
        <w:t xml:space="preserve"> However, as per the comment above, cost-effectiveness does not consider the benefits of achieving the ML saved targets, so should not be viewed as a VfM assessment. </w:t>
      </w:r>
    </w:p>
    <w:p w:rsidR="00425266" w:rsidRDefault="00425266">
      <w:pPr>
        <w:spacing w:after="0" w:line="240" w:lineRule="auto"/>
        <w:rPr>
          <w:rFonts w:ascii="Arial Narrow" w:hAnsi="Arial Narrow"/>
          <w:b/>
        </w:rPr>
      </w:pPr>
      <w:bookmarkStart w:id="85" w:name="_Ref373405059"/>
      <w:r>
        <w:br w:type="page"/>
      </w:r>
    </w:p>
    <w:p w:rsidR="006272BE" w:rsidRDefault="006272BE" w:rsidP="006272BE">
      <w:pPr>
        <w:pStyle w:val="Caption"/>
      </w:pPr>
      <w:bookmarkStart w:id="86" w:name="_Ref375302634"/>
      <w:r>
        <w:t xml:space="preserve">Table </w:t>
      </w:r>
      <w:r w:rsidR="006768F1">
        <w:fldChar w:fldCharType="begin"/>
      </w:r>
      <w:r w:rsidR="00F843FC">
        <w:instrText xml:space="preserve"> SEQ Table \* ARABIC </w:instrText>
      </w:r>
      <w:r w:rsidR="006768F1">
        <w:fldChar w:fldCharType="separate"/>
      </w:r>
      <w:r w:rsidR="00516D07">
        <w:rPr>
          <w:noProof/>
        </w:rPr>
        <w:t>29</w:t>
      </w:r>
      <w:r w:rsidR="006768F1">
        <w:fldChar w:fldCharType="end"/>
      </w:r>
      <w:bookmarkEnd w:id="85"/>
      <w:bookmarkEnd w:id="86"/>
      <w:r>
        <w:t>: Estimated extension of GABSI required post-2013/14 (these are based on indicative estimates provided by jurisdictions and have not been further validated)</w:t>
      </w:r>
    </w:p>
    <w:tbl>
      <w:tblPr>
        <w:tblW w:w="9923" w:type="dxa"/>
        <w:tblInd w:w="108" w:type="dxa"/>
        <w:tblBorders>
          <w:top w:val="single" w:sz="8" w:space="0" w:color="79746C"/>
          <w:left w:val="single" w:sz="8" w:space="0" w:color="79746C"/>
          <w:bottom w:val="single" w:sz="8" w:space="0" w:color="79746C"/>
          <w:right w:val="single" w:sz="8" w:space="0" w:color="79746C"/>
          <w:insideH w:val="single" w:sz="8" w:space="0" w:color="79746C"/>
          <w:insideV w:val="single" w:sz="8" w:space="0" w:color="79746C"/>
        </w:tblBorders>
        <w:tblLook w:val="00A0"/>
      </w:tblPr>
      <w:tblGrid>
        <w:gridCol w:w="2552"/>
        <w:gridCol w:w="1701"/>
        <w:gridCol w:w="1984"/>
        <w:gridCol w:w="1843"/>
        <w:gridCol w:w="1843"/>
      </w:tblGrid>
      <w:tr w:rsidR="00F669FB" w:rsidRPr="00863E1E" w:rsidTr="002E4907">
        <w:trPr>
          <w:tblHeader/>
        </w:trPr>
        <w:tc>
          <w:tcPr>
            <w:tcW w:w="2552" w:type="dxa"/>
            <w:shd w:val="clear" w:color="auto" w:fill="5185C0"/>
          </w:tcPr>
          <w:p w:rsidR="00F309DF" w:rsidRPr="00863E1E" w:rsidRDefault="00F309DF" w:rsidP="006272BE">
            <w:pPr>
              <w:pStyle w:val="Tablesmallheading"/>
            </w:pPr>
            <w:r>
              <w:t>Estimated remaining works post-2013/14</w:t>
            </w:r>
          </w:p>
        </w:tc>
        <w:tc>
          <w:tcPr>
            <w:tcW w:w="1701" w:type="dxa"/>
            <w:shd w:val="clear" w:color="auto" w:fill="5185C0"/>
            <w:vAlign w:val="center"/>
          </w:tcPr>
          <w:p w:rsidR="00F309DF" w:rsidRPr="00863E1E" w:rsidRDefault="00F309DF" w:rsidP="006272BE">
            <w:pPr>
              <w:pStyle w:val="Tablesmallheading"/>
              <w:jc w:val="center"/>
            </w:pPr>
            <w:r>
              <w:t>SA</w:t>
            </w:r>
          </w:p>
        </w:tc>
        <w:tc>
          <w:tcPr>
            <w:tcW w:w="1984" w:type="dxa"/>
            <w:shd w:val="clear" w:color="auto" w:fill="5185C0"/>
            <w:vAlign w:val="center"/>
          </w:tcPr>
          <w:p w:rsidR="00F309DF" w:rsidRPr="00863E1E" w:rsidRDefault="00F309DF" w:rsidP="006272BE">
            <w:pPr>
              <w:pStyle w:val="Tablesmallheading"/>
              <w:jc w:val="center"/>
            </w:pPr>
            <w:r>
              <w:t>NSW</w:t>
            </w:r>
          </w:p>
        </w:tc>
        <w:tc>
          <w:tcPr>
            <w:tcW w:w="1843" w:type="dxa"/>
            <w:shd w:val="clear" w:color="auto" w:fill="5185C0"/>
            <w:vAlign w:val="center"/>
          </w:tcPr>
          <w:p w:rsidR="00F309DF" w:rsidRPr="00863E1E" w:rsidRDefault="00F309DF" w:rsidP="006272BE">
            <w:pPr>
              <w:pStyle w:val="Tablesmallheading"/>
              <w:jc w:val="center"/>
            </w:pPr>
            <w:r>
              <w:t>Queensland</w:t>
            </w:r>
          </w:p>
        </w:tc>
        <w:tc>
          <w:tcPr>
            <w:tcW w:w="1843" w:type="dxa"/>
            <w:shd w:val="clear" w:color="auto" w:fill="5185C0"/>
            <w:vAlign w:val="center"/>
          </w:tcPr>
          <w:p w:rsidR="00F309DF" w:rsidRPr="00F309DF" w:rsidRDefault="00F309DF" w:rsidP="00F309DF">
            <w:pPr>
              <w:pStyle w:val="Tablesmallheading"/>
              <w:jc w:val="center"/>
            </w:pPr>
            <w:r w:rsidRPr="00F309DF">
              <w:t>Total</w:t>
            </w:r>
          </w:p>
        </w:tc>
      </w:tr>
      <w:tr w:rsidR="00F669FB" w:rsidRPr="00863E1E" w:rsidTr="002E4907">
        <w:tc>
          <w:tcPr>
            <w:tcW w:w="2552" w:type="dxa"/>
          </w:tcPr>
          <w:p w:rsidR="00F309DF" w:rsidRPr="00DB78A5" w:rsidRDefault="00F309DF" w:rsidP="00564782">
            <w:pPr>
              <w:pStyle w:val="Tablesmalltext"/>
              <w:rPr>
                <w:b/>
              </w:rPr>
            </w:pPr>
            <w:r w:rsidRPr="00DB78A5">
              <w:rPr>
                <w:b/>
              </w:rPr>
              <w:t>Number of bores to be controlled</w:t>
            </w:r>
          </w:p>
        </w:tc>
        <w:tc>
          <w:tcPr>
            <w:tcW w:w="1701" w:type="dxa"/>
            <w:vAlign w:val="center"/>
          </w:tcPr>
          <w:p w:rsidR="00F309DF" w:rsidRPr="00F47876" w:rsidRDefault="00F309DF" w:rsidP="006272BE">
            <w:pPr>
              <w:pStyle w:val="Tablesmalltext"/>
              <w:jc w:val="center"/>
            </w:pPr>
            <w:r>
              <w:t>&lt;30</w:t>
            </w:r>
          </w:p>
        </w:tc>
        <w:tc>
          <w:tcPr>
            <w:tcW w:w="1984" w:type="dxa"/>
            <w:vAlign w:val="center"/>
          </w:tcPr>
          <w:p w:rsidR="00F309DF" w:rsidRPr="00F47876" w:rsidRDefault="002B020F" w:rsidP="006272BE">
            <w:pPr>
              <w:pStyle w:val="Tablesmalltext"/>
              <w:jc w:val="center"/>
            </w:pPr>
            <w:r>
              <w:t>238</w:t>
            </w:r>
          </w:p>
        </w:tc>
        <w:tc>
          <w:tcPr>
            <w:tcW w:w="1843" w:type="dxa"/>
            <w:vAlign w:val="center"/>
          </w:tcPr>
          <w:p w:rsidR="00F309DF" w:rsidRPr="00F47876" w:rsidRDefault="00F309DF" w:rsidP="006272BE">
            <w:pPr>
              <w:pStyle w:val="Tablesmalltext"/>
              <w:jc w:val="center"/>
            </w:pPr>
            <w:r>
              <w:t>215</w:t>
            </w:r>
          </w:p>
        </w:tc>
        <w:tc>
          <w:tcPr>
            <w:tcW w:w="1843" w:type="dxa"/>
            <w:vAlign w:val="center"/>
          </w:tcPr>
          <w:p w:rsidR="00F309DF" w:rsidRPr="00F309DF" w:rsidRDefault="00F309DF" w:rsidP="00F309DF">
            <w:pPr>
              <w:pStyle w:val="Tablesmalltext"/>
              <w:jc w:val="center"/>
              <w:rPr>
                <w:b/>
              </w:rPr>
            </w:pPr>
            <w:r w:rsidRPr="00F309DF">
              <w:rPr>
                <w:b/>
              </w:rPr>
              <w:t>483</w:t>
            </w:r>
          </w:p>
        </w:tc>
      </w:tr>
      <w:tr w:rsidR="00F309DF" w:rsidRPr="00863E1E" w:rsidTr="00DB78A5">
        <w:tc>
          <w:tcPr>
            <w:tcW w:w="2552" w:type="dxa"/>
          </w:tcPr>
          <w:p w:rsidR="00F309DF" w:rsidRPr="00DB78A5" w:rsidRDefault="00F309DF" w:rsidP="006272BE">
            <w:pPr>
              <w:pStyle w:val="Tablesmalltext"/>
              <w:rPr>
                <w:b/>
              </w:rPr>
            </w:pPr>
            <w:r w:rsidRPr="00DB78A5">
              <w:rPr>
                <w:b/>
              </w:rPr>
              <w:t>Kilometres of bore drains to be deleted</w:t>
            </w:r>
          </w:p>
        </w:tc>
        <w:tc>
          <w:tcPr>
            <w:tcW w:w="1701" w:type="dxa"/>
            <w:vAlign w:val="center"/>
          </w:tcPr>
          <w:p w:rsidR="00F309DF" w:rsidRPr="00F47876" w:rsidRDefault="00F309DF" w:rsidP="006272BE">
            <w:pPr>
              <w:pStyle w:val="Tablesmalltext"/>
              <w:jc w:val="center"/>
            </w:pPr>
            <w:r>
              <w:t>0</w:t>
            </w:r>
          </w:p>
        </w:tc>
        <w:tc>
          <w:tcPr>
            <w:tcW w:w="1984" w:type="dxa"/>
            <w:vAlign w:val="center"/>
          </w:tcPr>
          <w:p w:rsidR="00F309DF" w:rsidRPr="00F47876" w:rsidRDefault="002B020F" w:rsidP="006272BE">
            <w:pPr>
              <w:pStyle w:val="Tablesmalltext"/>
              <w:jc w:val="center"/>
            </w:pPr>
            <w:r>
              <w:t>1,150</w:t>
            </w:r>
          </w:p>
        </w:tc>
        <w:tc>
          <w:tcPr>
            <w:tcW w:w="1843" w:type="dxa"/>
            <w:vAlign w:val="center"/>
          </w:tcPr>
          <w:p w:rsidR="00F309DF" w:rsidRPr="00F47876" w:rsidRDefault="00F309DF" w:rsidP="006272BE">
            <w:pPr>
              <w:pStyle w:val="Tablesmalltext"/>
              <w:jc w:val="center"/>
            </w:pPr>
            <w:r>
              <w:t>5,540</w:t>
            </w:r>
          </w:p>
        </w:tc>
        <w:tc>
          <w:tcPr>
            <w:tcW w:w="1843" w:type="dxa"/>
            <w:vAlign w:val="center"/>
          </w:tcPr>
          <w:p w:rsidR="00F309DF" w:rsidRPr="00F309DF" w:rsidRDefault="00F309DF" w:rsidP="002B020F">
            <w:pPr>
              <w:pStyle w:val="Tablesmalltext"/>
              <w:jc w:val="center"/>
              <w:rPr>
                <w:b/>
              </w:rPr>
            </w:pPr>
            <w:r>
              <w:rPr>
                <w:b/>
              </w:rPr>
              <w:t>6,</w:t>
            </w:r>
            <w:r w:rsidR="002B020F">
              <w:rPr>
                <w:b/>
              </w:rPr>
              <w:t>690</w:t>
            </w:r>
          </w:p>
        </w:tc>
      </w:tr>
      <w:tr w:rsidR="00F669FB" w:rsidRPr="00863E1E" w:rsidTr="002E4907">
        <w:tc>
          <w:tcPr>
            <w:tcW w:w="2552" w:type="dxa"/>
          </w:tcPr>
          <w:p w:rsidR="00F309DF" w:rsidRPr="00DB78A5" w:rsidRDefault="00F309DF" w:rsidP="00564782">
            <w:pPr>
              <w:pStyle w:val="Tablesmalltext"/>
              <w:rPr>
                <w:b/>
              </w:rPr>
            </w:pPr>
            <w:r w:rsidRPr="00DB78A5">
              <w:rPr>
                <w:b/>
              </w:rPr>
              <w:t>Water saved</w:t>
            </w:r>
            <w:r w:rsidR="00DC7D6D" w:rsidRPr="00DB78A5">
              <w:rPr>
                <w:b/>
              </w:rPr>
              <w:t xml:space="preserve"> (ML)</w:t>
            </w:r>
          </w:p>
        </w:tc>
        <w:tc>
          <w:tcPr>
            <w:tcW w:w="1701" w:type="dxa"/>
            <w:vAlign w:val="center"/>
          </w:tcPr>
          <w:p w:rsidR="00F309DF" w:rsidRPr="00F47876" w:rsidRDefault="00F309DF" w:rsidP="006272BE">
            <w:pPr>
              <w:pStyle w:val="Tablesmalltext"/>
              <w:jc w:val="center"/>
            </w:pPr>
            <w:r>
              <w:t>365</w:t>
            </w:r>
          </w:p>
        </w:tc>
        <w:tc>
          <w:tcPr>
            <w:tcW w:w="1984" w:type="dxa"/>
            <w:vAlign w:val="center"/>
          </w:tcPr>
          <w:p w:rsidR="00F309DF" w:rsidRPr="00F47876" w:rsidRDefault="002B020F" w:rsidP="006272BE">
            <w:pPr>
              <w:pStyle w:val="Tablesmalltext"/>
              <w:jc w:val="center"/>
            </w:pPr>
            <w:r>
              <w:t>26,600</w:t>
            </w:r>
          </w:p>
        </w:tc>
        <w:tc>
          <w:tcPr>
            <w:tcW w:w="1843" w:type="dxa"/>
            <w:vAlign w:val="center"/>
          </w:tcPr>
          <w:p w:rsidR="00F309DF" w:rsidRPr="00F47876" w:rsidRDefault="00F309DF" w:rsidP="006272BE">
            <w:pPr>
              <w:pStyle w:val="Tablesmalltext"/>
              <w:jc w:val="center"/>
            </w:pPr>
            <w:r>
              <w:t>80,633</w:t>
            </w:r>
          </w:p>
        </w:tc>
        <w:tc>
          <w:tcPr>
            <w:tcW w:w="1843" w:type="dxa"/>
            <w:vAlign w:val="center"/>
          </w:tcPr>
          <w:p w:rsidR="00F309DF" w:rsidRPr="00F309DF" w:rsidRDefault="002B020F" w:rsidP="00F309DF">
            <w:pPr>
              <w:pStyle w:val="Tablesmalltext"/>
              <w:jc w:val="center"/>
              <w:rPr>
                <w:b/>
              </w:rPr>
            </w:pPr>
            <w:r>
              <w:rPr>
                <w:b/>
              </w:rPr>
              <w:t>107,598</w:t>
            </w:r>
          </w:p>
        </w:tc>
      </w:tr>
      <w:tr w:rsidR="00F309DF" w:rsidRPr="00863E1E" w:rsidTr="00DB78A5">
        <w:tc>
          <w:tcPr>
            <w:tcW w:w="2552" w:type="dxa"/>
          </w:tcPr>
          <w:p w:rsidR="00F309DF" w:rsidRPr="00DB78A5" w:rsidRDefault="002346EC" w:rsidP="002346EC">
            <w:pPr>
              <w:pStyle w:val="Tablesmalltext"/>
              <w:rPr>
                <w:b/>
              </w:rPr>
            </w:pPr>
            <w:r>
              <w:rPr>
                <w:b/>
              </w:rPr>
              <w:t>Total e</w:t>
            </w:r>
            <w:r w:rsidR="007A5327">
              <w:rPr>
                <w:b/>
              </w:rPr>
              <w:t xml:space="preserve">xpenditure – including Commonwealth, State, and landholder contributions </w:t>
            </w:r>
            <w:r w:rsidR="00F309DF" w:rsidRPr="00DB78A5">
              <w:rPr>
                <w:b/>
              </w:rPr>
              <w:t>($m)</w:t>
            </w:r>
          </w:p>
        </w:tc>
        <w:tc>
          <w:tcPr>
            <w:tcW w:w="1701" w:type="dxa"/>
            <w:vAlign w:val="center"/>
          </w:tcPr>
          <w:p w:rsidR="00F309DF" w:rsidRPr="006272BE" w:rsidRDefault="00F309DF" w:rsidP="006272BE">
            <w:pPr>
              <w:pStyle w:val="Tablesmalltext"/>
              <w:jc w:val="center"/>
              <w:rPr>
                <w:bCs/>
              </w:rPr>
            </w:pPr>
            <w:r w:rsidRPr="006272BE">
              <w:rPr>
                <w:bCs/>
              </w:rPr>
              <w:t>1.2</w:t>
            </w:r>
            <w:r>
              <w:rPr>
                <w:bCs/>
              </w:rPr>
              <w:t>5</w:t>
            </w:r>
          </w:p>
        </w:tc>
        <w:tc>
          <w:tcPr>
            <w:tcW w:w="1984" w:type="dxa"/>
            <w:vAlign w:val="center"/>
          </w:tcPr>
          <w:p w:rsidR="00F309DF" w:rsidRPr="006272BE" w:rsidRDefault="002B020F" w:rsidP="006272BE">
            <w:pPr>
              <w:pStyle w:val="Tablesmalltext"/>
              <w:jc w:val="center"/>
              <w:rPr>
                <w:bCs/>
              </w:rPr>
            </w:pPr>
            <w:r>
              <w:rPr>
                <w:bCs/>
              </w:rPr>
              <w:t>114</w:t>
            </w:r>
          </w:p>
        </w:tc>
        <w:tc>
          <w:tcPr>
            <w:tcW w:w="1843" w:type="dxa"/>
            <w:vAlign w:val="center"/>
          </w:tcPr>
          <w:p w:rsidR="00F309DF" w:rsidRPr="006272BE" w:rsidRDefault="00F309DF" w:rsidP="006272BE">
            <w:pPr>
              <w:pStyle w:val="Tablesmalltext"/>
              <w:jc w:val="center"/>
              <w:rPr>
                <w:bCs/>
              </w:rPr>
            </w:pPr>
            <w:r w:rsidRPr="006272BE">
              <w:rPr>
                <w:bCs/>
              </w:rPr>
              <w:t>84</w:t>
            </w:r>
          </w:p>
        </w:tc>
        <w:tc>
          <w:tcPr>
            <w:tcW w:w="1843" w:type="dxa"/>
            <w:vAlign w:val="center"/>
          </w:tcPr>
          <w:p w:rsidR="00F309DF" w:rsidRPr="00F309DF" w:rsidRDefault="002B020F" w:rsidP="00F309DF">
            <w:pPr>
              <w:pStyle w:val="Tablesmalltext"/>
              <w:jc w:val="center"/>
              <w:rPr>
                <w:b/>
                <w:bCs/>
              </w:rPr>
            </w:pPr>
            <w:r>
              <w:rPr>
                <w:b/>
                <w:bCs/>
              </w:rPr>
              <w:t>199</w:t>
            </w:r>
            <w:r w:rsidR="00F309DF">
              <w:rPr>
                <w:b/>
                <w:bCs/>
              </w:rPr>
              <w:t>.</w:t>
            </w:r>
            <w:r w:rsidR="00F1402C">
              <w:rPr>
                <w:b/>
                <w:bCs/>
              </w:rPr>
              <w:t>25</w:t>
            </w:r>
          </w:p>
        </w:tc>
      </w:tr>
      <w:tr w:rsidR="00F1402C" w:rsidRPr="00863E1E" w:rsidTr="00DB78A5">
        <w:tc>
          <w:tcPr>
            <w:tcW w:w="2552" w:type="dxa"/>
          </w:tcPr>
          <w:p w:rsidR="00F1402C" w:rsidRPr="00DB78A5" w:rsidRDefault="00F1402C" w:rsidP="00564782">
            <w:pPr>
              <w:pStyle w:val="Tablesmalltext"/>
              <w:rPr>
                <w:b/>
              </w:rPr>
            </w:pPr>
            <w:r>
              <w:rPr>
                <w:b/>
              </w:rPr>
              <w:t>Cost-effectiveness ($/ML/annum)</w:t>
            </w:r>
          </w:p>
        </w:tc>
        <w:tc>
          <w:tcPr>
            <w:tcW w:w="1701" w:type="dxa"/>
            <w:vAlign w:val="center"/>
          </w:tcPr>
          <w:p w:rsidR="00F1402C" w:rsidRPr="006272BE" w:rsidRDefault="00F1402C" w:rsidP="006272BE">
            <w:pPr>
              <w:pStyle w:val="Tablesmalltext"/>
              <w:jc w:val="center"/>
              <w:rPr>
                <w:bCs/>
              </w:rPr>
            </w:pPr>
            <w:r>
              <w:rPr>
                <w:bCs/>
              </w:rPr>
              <w:t>3,425</w:t>
            </w:r>
          </w:p>
        </w:tc>
        <w:tc>
          <w:tcPr>
            <w:tcW w:w="1984" w:type="dxa"/>
            <w:vAlign w:val="center"/>
          </w:tcPr>
          <w:p w:rsidR="00F1402C" w:rsidRPr="006272BE" w:rsidRDefault="002B020F" w:rsidP="006272BE">
            <w:pPr>
              <w:pStyle w:val="Tablesmalltext"/>
              <w:jc w:val="center"/>
              <w:rPr>
                <w:bCs/>
              </w:rPr>
            </w:pPr>
            <w:r>
              <w:rPr>
                <w:bCs/>
              </w:rPr>
              <w:t>4,286</w:t>
            </w:r>
          </w:p>
        </w:tc>
        <w:tc>
          <w:tcPr>
            <w:tcW w:w="1843" w:type="dxa"/>
            <w:vAlign w:val="center"/>
          </w:tcPr>
          <w:p w:rsidR="00F1402C" w:rsidRPr="006272BE" w:rsidRDefault="00F1402C" w:rsidP="006272BE">
            <w:pPr>
              <w:pStyle w:val="Tablesmalltext"/>
              <w:jc w:val="center"/>
              <w:rPr>
                <w:bCs/>
              </w:rPr>
            </w:pPr>
            <w:r>
              <w:rPr>
                <w:bCs/>
              </w:rPr>
              <w:t>1,042</w:t>
            </w:r>
          </w:p>
        </w:tc>
        <w:tc>
          <w:tcPr>
            <w:tcW w:w="1843" w:type="dxa"/>
            <w:vAlign w:val="center"/>
          </w:tcPr>
          <w:p w:rsidR="00F1402C" w:rsidRDefault="00A442EC" w:rsidP="002B020F">
            <w:pPr>
              <w:pStyle w:val="Tablesmalltext"/>
              <w:jc w:val="center"/>
              <w:rPr>
                <w:b/>
                <w:bCs/>
              </w:rPr>
            </w:pPr>
            <w:r>
              <w:rPr>
                <w:b/>
                <w:bCs/>
              </w:rPr>
              <w:t>$1,</w:t>
            </w:r>
            <w:r w:rsidR="002B020F">
              <w:rPr>
                <w:b/>
                <w:bCs/>
              </w:rPr>
              <w:t>852</w:t>
            </w:r>
          </w:p>
        </w:tc>
      </w:tr>
    </w:tbl>
    <w:p w:rsidR="009460BB" w:rsidRDefault="009460BB" w:rsidP="0007513D">
      <w:pPr>
        <w:pStyle w:val="Heading9"/>
      </w:pPr>
      <w:bookmarkStart w:id="87" w:name="_Toc373397899"/>
      <w:bookmarkStart w:id="88" w:name="_Toc373405155"/>
      <w:bookmarkStart w:id="89" w:name="_Toc373485388"/>
      <w:bookmarkStart w:id="90" w:name="_Toc373486632"/>
      <w:bookmarkStart w:id="91" w:name="_Toc373486635"/>
      <w:bookmarkStart w:id="92" w:name="_Toc373498974"/>
      <w:bookmarkStart w:id="93" w:name="_Toc373502846"/>
      <w:bookmarkStart w:id="94" w:name="_Toc374975077"/>
      <w:bookmarkStart w:id="95" w:name="_Toc375124158"/>
      <w:bookmarkStart w:id="96" w:name="_Toc375307319"/>
      <w:bookmarkStart w:id="97" w:name="_Toc378163316"/>
      <w:bookmarkStart w:id="98" w:name="_Toc372105103"/>
      <w:bookmarkStart w:id="99" w:name="_Toc372126089"/>
      <w:bookmarkStart w:id="100" w:name="_Toc372189664"/>
      <w:bookmarkStart w:id="101" w:name="_Toc372634522"/>
      <w:bookmarkStart w:id="102" w:name="_Toc373171014"/>
      <w:bookmarkStart w:id="103" w:name="_Toc373234023"/>
      <w:bookmarkStart w:id="104" w:name="_Toc373258799"/>
      <w:bookmarkStart w:id="105" w:name="_Toc373359733"/>
      <w:r>
        <w:t>References</w:t>
      </w:r>
      <w:bookmarkEnd w:id="87"/>
      <w:bookmarkEnd w:id="88"/>
      <w:bookmarkEnd w:id="89"/>
      <w:bookmarkEnd w:id="90"/>
      <w:bookmarkEnd w:id="91"/>
      <w:bookmarkEnd w:id="92"/>
      <w:bookmarkEnd w:id="93"/>
      <w:bookmarkEnd w:id="94"/>
      <w:bookmarkEnd w:id="95"/>
      <w:bookmarkEnd w:id="96"/>
      <w:bookmarkEnd w:id="97"/>
    </w:p>
    <w:p w:rsidR="001A3BC8" w:rsidRPr="00BD1659" w:rsidRDefault="001A3BC8" w:rsidP="001A3BC8">
      <w:pPr>
        <w:rPr>
          <w:rStyle w:val="Hyperlink"/>
          <w:rFonts w:cs="Arial"/>
          <w:color w:val="auto"/>
          <w:szCs w:val="20"/>
          <w:u w:val="none"/>
        </w:rPr>
      </w:pPr>
      <w:bookmarkStart w:id="106" w:name="_Ref372124427"/>
      <w:bookmarkStart w:id="107" w:name="_Toc372126092"/>
      <w:bookmarkStart w:id="108" w:name="_Toc372189667"/>
      <w:bookmarkStart w:id="109" w:name="_Toc372634525"/>
      <w:bookmarkStart w:id="110" w:name="_Toc373171017"/>
      <w:bookmarkStart w:id="111" w:name="_Toc373234026"/>
      <w:bookmarkStart w:id="112" w:name="_Toc373258802"/>
      <w:bookmarkStart w:id="113" w:name="_Toc373359736"/>
      <w:bookmarkStart w:id="114" w:name="_Toc373397900"/>
      <w:bookmarkStart w:id="115" w:name="_Toc373405156"/>
      <w:bookmarkStart w:id="116" w:name="_Toc373485389"/>
      <w:bookmarkStart w:id="117" w:name="_Toc373486633"/>
      <w:bookmarkStart w:id="118" w:name="_Toc373486636"/>
      <w:bookmarkStart w:id="119" w:name="_Toc373498975"/>
      <w:bookmarkStart w:id="120" w:name="_Toc373502847"/>
      <w:bookmarkStart w:id="121" w:name="_Toc374975078"/>
      <w:bookmarkStart w:id="122" w:name="_Toc375124159"/>
      <w:bookmarkEnd w:id="98"/>
      <w:bookmarkEnd w:id="99"/>
      <w:bookmarkEnd w:id="100"/>
      <w:bookmarkEnd w:id="101"/>
      <w:bookmarkEnd w:id="102"/>
      <w:bookmarkEnd w:id="103"/>
      <w:bookmarkEnd w:id="104"/>
      <w:bookmarkEnd w:id="105"/>
      <w:r w:rsidRPr="00BD1659">
        <w:t>Australian Bureau of Statistics 2013, 6401.0 Consumer Price Index, Australia, Sep 2013, Australian Bureau of Statistics, &lt;</w:t>
      </w:r>
      <w:hyperlink r:id="rId39" w:history="1">
        <w:r w:rsidRPr="00BD1659">
          <w:rPr>
            <w:rStyle w:val="Hyperlink"/>
            <w:rFonts w:cs="Arial"/>
            <w:color w:val="auto"/>
            <w:szCs w:val="20"/>
            <w:u w:val="none"/>
          </w:rPr>
          <w:t>http://www.abs.gov.au/AUSSTATS/abs@.nsf/DetailsPage/6401.0Sep%202013?OpenDocument</w:t>
        </w:r>
      </w:hyperlink>
      <w:r w:rsidRPr="00BD1659">
        <w:rPr>
          <w:rStyle w:val="Hyperlink"/>
          <w:rFonts w:cs="Arial"/>
          <w:color w:val="auto"/>
          <w:szCs w:val="20"/>
          <w:u w:val="none"/>
        </w:rPr>
        <w:t>&gt; (accessed 17 October 2013)</w:t>
      </w:r>
    </w:p>
    <w:p w:rsidR="001A3BC8" w:rsidRPr="00BD1659" w:rsidRDefault="001A3BC8" w:rsidP="001A3BC8">
      <w:pPr>
        <w:rPr>
          <w:rStyle w:val="Hyperlink"/>
          <w:rFonts w:cs="Arial"/>
          <w:color w:val="auto"/>
          <w:szCs w:val="20"/>
          <w:u w:val="none"/>
        </w:rPr>
      </w:pPr>
      <w:r w:rsidRPr="00BD1659">
        <w:rPr>
          <w:rStyle w:val="Hyperlink"/>
          <w:rFonts w:cs="Arial"/>
          <w:color w:val="auto"/>
          <w:szCs w:val="20"/>
          <w:u w:val="none"/>
        </w:rPr>
        <w:t>Bush Heritage Australia 2013, Edgbaston Reserve: Hope springs eternal, Bush Heritage Australia, &lt;</w:t>
      </w:r>
      <w:r w:rsidRPr="00BD1659">
        <w:t xml:space="preserve"> </w:t>
      </w:r>
      <w:hyperlink r:id="rId40" w:history="1">
        <w:r w:rsidRPr="00BD1659">
          <w:rPr>
            <w:rStyle w:val="Hyperlink"/>
            <w:rFonts w:cs="Arial"/>
            <w:color w:val="auto"/>
            <w:szCs w:val="20"/>
            <w:u w:val="none"/>
          </w:rPr>
          <w:t>http://www.bushheritage.org.au/places-we-protect/state_queensland/edgbaston</w:t>
        </w:r>
      </w:hyperlink>
      <w:r w:rsidRPr="00BD1659">
        <w:rPr>
          <w:rStyle w:val="Hyperlink"/>
          <w:rFonts w:cs="Arial"/>
          <w:color w:val="auto"/>
          <w:szCs w:val="20"/>
          <w:u w:val="none"/>
        </w:rPr>
        <w:t>&gt; (accessed 31 October 2013)</w:t>
      </w:r>
    </w:p>
    <w:p w:rsidR="001A3BC8" w:rsidRPr="00BD1659" w:rsidRDefault="001A3BC8" w:rsidP="001A3BC8">
      <w:r w:rsidRPr="00BD1659">
        <w:t xml:space="preserve">Centre for International Economics and Resource and Policy Management 2003, Farm costs, benefits and risks from bore capping and piping in the GAB: Consultant’s report, Centre for International Economics, Canberra. </w:t>
      </w:r>
    </w:p>
    <w:p w:rsidR="001A3BC8" w:rsidRPr="00BD1659" w:rsidRDefault="001A3BC8" w:rsidP="001A3BC8">
      <w:r w:rsidRPr="00BD1659">
        <w:t>Centre of international Economics 2003, Landholder contributions to the GABSI: Review and recommendations, Department of Agriculture, Fisheries and Forestry, Canberra.</w:t>
      </w:r>
    </w:p>
    <w:p w:rsidR="001A3BC8" w:rsidRPr="00BD1659" w:rsidRDefault="001A3BC8" w:rsidP="001A3BC8">
      <w:r w:rsidRPr="00BD1659">
        <w:rPr>
          <w:rStyle w:val="Hyperlink"/>
          <w:rFonts w:cs="Arial"/>
          <w:color w:val="auto"/>
          <w:szCs w:val="20"/>
          <w:u w:val="none"/>
        </w:rPr>
        <w:t>Commonwealth Department of Finance and Administration 2006, Handbook of cost-benefit analysis, Department of Finance and Administration, &lt;</w:t>
      </w:r>
      <w:hyperlink r:id="rId41" w:history="1">
        <w:r w:rsidRPr="00BD1659">
          <w:rPr>
            <w:rStyle w:val="Hyperlink"/>
            <w:rFonts w:cs="Arial"/>
            <w:color w:val="auto"/>
            <w:szCs w:val="20"/>
            <w:u w:val="none"/>
          </w:rPr>
          <w:t>http://www.finance.gov.au/publications/finance-circulars/2006/docs/Handbook_of_CB_analysis.pdf</w:t>
        </w:r>
      </w:hyperlink>
      <w:r w:rsidRPr="00BD1659">
        <w:rPr>
          <w:rStyle w:val="Hyperlink"/>
          <w:rFonts w:cs="Arial"/>
          <w:color w:val="auto"/>
          <w:szCs w:val="20"/>
          <w:u w:val="none"/>
        </w:rPr>
        <w:t>&gt; (accessed 17 October 2013)</w:t>
      </w:r>
    </w:p>
    <w:p w:rsidR="001A3BC8" w:rsidRPr="00BD1659" w:rsidRDefault="001A3BC8" w:rsidP="001A3BC8">
      <w:pPr>
        <w:rPr>
          <w:rStyle w:val="Hyperlink"/>
          <w:rFonts w:cs="Arial"/>
          <w:color w:val="auto"/>
          <w:szCs w:val="20"/>
          <w:u w:val="none"/>
        </w:rPr>
      </w:pPr>
      <w:r w:rsidRPr="00BD1659">
        <w:t>Commonwealth Department of the Environment 2013, The community of native species dependent on natural discharge of groundwater from the Great Artesian Basin, Department of the Environment &lt;</w:t>
      </w:r>
      <w:hyperlink r:id="rId42" w:history="1">
        <w:r w:rsidRPr="00BD1659">
          <w:rPr>
            <w:rStyle w:val="Hyperlink"/>
            <w:rFonts w:cs="Arial"/>
            <w:color w:val="auto"/>
            <w:szCs w:val="20"/>
            <w:u w:val="none"/>
          </w:rPr>
          <w:t>http://www.environment.gov.au/cgi-bin/sprat/public/publicshowcommunity.pl?id=26&amp;status=Endangered</w:t>
        </w:r>
      </w:hyperlink>
      <w:r w:rsidRPr="00BD1659">
        <w:rPr>
          <w:rStyle w:val="Hyperlink"/>
          <w:rFonts w:cs="Arial"/>
          <w:color w:val="auto"/>
          <w:szCs w:val="20"/>
          <w:u w:val="none"/>
        </w:rPr>
        <w:t>&gt; (accessed 31 October 2013)</w:t>
      </w:r>
    </w:p>
    <w:p w:rsidR="001A3BC8" w:rsidRPr="00BD1659" w:rsidRDefault="001A3BC8" w:rsidP="001A3BC8">
      <w:r w:rsidRPr="00BD1659">
        <w:t>Commonwealth Office of Best Practice Regulation 2013, Commonwealth Guidance Note: Cost benefit analysis in regulatory impact assessments, Department of Finance, Canberra.</w:t>
      </w:r>
    </w:p>
    <w:p w:rsidR="001A3BC8" w:rsidRPr="00BD1659" w:rsidRDefault="001A3BC8" w:rsidP="001A3BC8">
      <w:r w:rsidRPr="00BD1659">
        <w:t>Council of Australian Governments 2010, National Partnership Agreement on the GABSI, Standing Council on Federal Financial Relations, Canberra.</w:t>
      </w:r>
    </w:p>
    <w:p w:rsidR="001A3BC8" w:rsidRPr="00BD1659" w:rsidRDefault="001A3BC8" w:rsidP="001A3BC8">
      <w:r w:rsidRPr="00BD1659">
        <w:t>Deloitte Access Economics 2013, Economic value of groundwater in Australia, National Centre for Groundwater Research and Training.</w:t>
      </w:r>
    </w:p>
    <w:p w:rsidR="001A3BC8" w:rsidRPr="00BD1659" w:rsidRDefault="001A3BC8" w:rsidP="001A3BC8">
      <w:r w:rsidRPr="00BD1659">
        <w:t>Destination NSW nd, ‘Facts &amp; Figures’, NSW Government, &lt;http://www.destinationnsw.com.au/tourism/facts-and-figures&gt; (accessed 31 October 2013)</w:t>
      </w:r>
    </w:p>
    <w:p w:rsidR="001A3BC8" w:rsidRPr="00BD1659" w:rsidRDefault="001A3BC8" w:rsidP="001A3BC8">
      <w:pPr>
        <w:rPr>
          <w:rStyle w:val="Hyperlink"/>
          <w:rFonts w:cs="Arial"/>
          <w:color w:val="auto"/>
          <w:szCs w:val="20"/>
          <w:u w:val="none"/>
        </w:rPr>
      </w:pPr>
      <w:r w:rsidRPr="00BD1659">
        <w:t xml:space="preserve">Fraenkel PL 2013, </w:t>
      </w:r>
      <w:r w:rsidRPr="00BD1659">
        <w:rPr>
          <w:rStyle w:val="Hyperlink"/>
          <w:rFonts w:cs="Arial"/>
          <w:color w:val="auto"/>
          <w:szCs w:val="20"/>
          <w:u w:val="none"/>
        </w:rPr>
        <w:t xml:space="preserve">“Water lifting for irrigation”, </w:t>
      </w:r>
      <w:hyperlink r:id="rId43" w:history="1">
        <w:r w:rsidRPr="00BD1659">
          <w:rPr>
            <w:rStyle w:val="Hyperlink"/>
            <w:rFonts w:cs="Arial"/>
            <w:color w:val="auto"/>
            <w:szCs w:val="20"/>
            <w:u w:val="none"/>
          </w:rPr>
          <w:t>Natural</w:t>
        </w:r>
      </w:hyperlink>
      <w:r w:rsidRPr="00BD1659">
        <w:rPr>
          <w:rStyle w:val="Hyperlink"/>
          <w:rFonts w:cs="Arial"/>
          <w:color w:val="auto"/>
          <w:szCs w:val="20"/>
          <w:u w:val="none"/>
        </w:rPr>
        <w:t xml:space="preserve"> Resources Management and Environment Department, Food and Agricultural Organization of the United Nations, Rome.</w:t>
      </w:r>
    </w:p>
    <w:p w:rsidR="001A3BC8" w:rsidRPr="00BD1659" w:rsidRDefault="001A3BC8" w:rsidP="001A3BC8">
      <w:r w:rsidRPr="00BD1659">
        <w:t>GABCC 2000, GAB Strategic Management Plan, GABCC, Canberra.</w:t>
      </w:r>
    </w:p>
    <w:p w:rsidR="001A3BC8" w:rsidRPr="00BD1659" w:rsidRDefault="001A3BC8" w:rsidP="001A3BC8">
      <w:r w:rsidRPr="00BD1659">
        <w:t>Hassall &amp; Associates Pty Ltd 2003, Review of the Great Artesian Basin Sustainability Initiative, Department of Agriculture, Fisheries and Forestry, Sydney.</w:t>
      </w:r>
    </w:p>
    <w:p w:rsidR="001A3BC8" w:rsidRPr="00BD1659" w:rsidRDefault="001A3BC8" w:rsidP="001A3BC8">
      <w:r w:rsidRPr="00BD1659">
        <w:t>Marsden Jacob Associates 2012, Assessing the value of groundwater: Waterlines Report Series No 89, National Water Commission, Canberra.</w:t>
      </w:r>
    </w:p>
    <w:p w:rsidR="001A3BC8" w:rsidRPr="00BD1659" w:rsidRDefault="00D174DD" w:rsidP="001A3BC8">
      <w:r>
        <w:t xml:space="preserve">Hill CM, Flavel N &amp; Eigeland 2010, </w:t>
      </w:r>
      <w:r w:rsidR="001A3BC8" w:rsidRPr="00BD1659">
        <w:t xml:space="preserve">Economic analysis of landholder water management under Cap &amp; Pipe the Bores program: case studies in the NSW Great Artesian Basin, </w:t>
      </w:r>
      <w:r>
        <w:t xml:space="preserve">NSW </w:t>
      </w:r>
      <w:r w:rsidR="001A3BC8" w:rsidRPr="00BD1659">
        <w:t>54</w:t>
      </w:r>
      <w:r w:rsidR="001A3BC8" w:rsidRPr="00BD1659">
        <w:rPr>
          <w:vertAlign w:val="superscript"/>
        </w:rPr>
        <w:t>th</w:t>
      </w:r>
      <w:r w:rsidR="001A3BC8" w:rsidRPr="00BD1659">
        <w:t xml:space="preserve"> Annual Conference </w:t>
      </w:r>
      <w:r>
        <w:t xml:space="preserve">of the </w:t>
      </w:r>
      <w:r w:rsidR="001A3BC8" w:rsidRPr="00BD1659">
        <w:t xml:space="preserve">Australian Agricultural and Resource Economics Society, </w:t>
      </w:r>
      <w:r>
        <w:t>Adelaide, February.</w:t>
      </w:r>
    </w:p>
    <w:p w:rsidR="001A3BC8" w:rsidRPr="00BD1659" w:rsidRDefault="001A3BC8" w:rsidP="001A3BC8">
      <w:r w:rsidRPr="00BD1659">
        <w:t>NSW Office of Water 2010, NSW Great Artesian Basin water auction 2009: Final report, NSW Office of Water, Sydney.</w:t>
      </w:r>
    </w:p>
    <w:p w:rsidR="001A3BC8" w:rsidRPr="00BD1659" w:rsidRDefault="001A3BC8" w:rsidP="001A3BC8">
      <w:pPr>
        <w:rPr>
          <w:rStyle w:val="Hyperlink"/>
          <w:rFonts w:cs="Arial"/>
          <w:color w:val="auto"/>
          <w:szCs w:val="20"/>
          <w:u w:val="none"/>
        </w:rPr>
      </w:pPr>
      <w:r w:rsidRPr="00BD1659">
        <w:rPr>
          <w:rStyle w:val="Hyperlink"/>
          <w:rFonts w:cs="Arial"/>
          <w:color w:val="auto"/>
          <w:szCs w:val="20"/>
          <w:u w:val="none"/>
        </w:rPr>
        <w:t>Outback 2011, “Bore baths, artesian spa, hot springs, the Great Artesian Basin, hot spots!”, Outback Now, &lt;</w:t>
      </w:r>
      <w:r w:rsidRPr="00BD1659">
        <w:t xml:space="preserve"> </w:t>
      </w:r>
      <w:hyperlink r:id="rId44" w:history="1">
        <w:r w:rsidRPr="00BD1659">
          <w:rPr>
            <w:rStyle w:val="Hyperlink"/>
            <w:rFonts w:cs="Arial"/>
            <w:color w:val="auto"/>
            <w:szCs w:val="20"/>
            <w:u w:val="none"/>
          </w:rPr>
          <w:t>http://www.outbacknow.com.au/index.php/articles/outback_itineries/bore_baths_artesian_spa_hot_springs_hot_spots</w:t>
        </w:r>
      </w:hyperlink>
      <w:r w:rsidRPr="00BD1659">
        <w:rPr>
          <w:rStyle w:val="Hyperlink"/>
          <w:rFonts w:cs="Arial"/>
          <w:color w:val="auto"/>
          <w:szCs w:val="20"/>
          <w:u w:val="none"/>
        </w:rPr>
        <w:t>&gt; (accessed 31 October 2013)</w:t>
      </w:r>
    </w:p>
    <w:p w:rsidR="001A3BC8" w:rsidRPr="00BD1659" w:rsidRDefault="001A3BC8" w:rsidP="001A3BC8">
      <w:r w:rsidRPr="00BD1659">
        <w:t>Pallaser RJ &amp; Alder D 2000, Greenhouse gas emissions from the Great Artesian Basin within New South Wales: Potential for reducing the atmospheric carbon budget, Proceedings 5th International Conference on Greenhouse Gas Control Technologies (13-16 August 2000), Cairns.</w:t>
      </w:r>
    </w:p>
    <w:p w:rsidR="001A3BC8" w:rsidRPr="00BD1659" w:rsidRDefault="001A3BC8" w:rsidP="001A3BC8">
      <w:r w:rsidRPr="00BD1659">
        <w:t>Paroo Shire Council nd, Artesian Time Tunnel, Paroo Shire Council, &lt; http://www.paroo.qld.gov.au/artesian-time-tunnel&gt; (accessed 31 October 2013)</w:t>
      </w:r>
    </w:p>
    <w:p w:rsidR="001A3BC8" w:rsidRPr="00BD1659" w:rsidRDefault="001A3BC8" w:rsidP="001A3BC8">
      <w:r w:rsidRPr="00BD1659">
        <w:t xml:space="preserve">Queensland Department of Natural Resources and Mines 2012, Great Artesian Basin Water Resource Plan: Five year review, Queensland Department of Natural </w:t>
      </w:r>
      <w:r w:rsidR="00193853">
        <w:t>Resources and Mines, Queensland, &lt;</w:t>
      </w:r>
      <w:hyperlink r:id="rId45" w:history="1">
        <w:r w:rsidR="00193853" w:rsidRPr="00193853">
          <w:t>http://www.dnrm.qld.gov.au/__data/assets/pdf_file/0018/106029/5year-wrp-review.pdf</w:t>
        </w:r>
      </w:hyperlink>
      <w:r w:rsidR="00193853" w:rsidRPr="00193853">
        <w:t>&gt; (accessed 17 October 2013)</w:t>
      </w:r>
    </w:p>
    <w:p w:rsidR="001A3BC8" w:rsidRPr="00BD1659" w:rsidRDefault="001A3BC8" w:rsidP="001A3BC8">
      <w:r w:rsidRPr="00BD1659">
        <w:t>Queensland Environmental Protection Authority (EPA) 2005, Wetland management profile: Great Artesian Basin spring wetlands, Ecosystem Conse</w:t>
      </w:r>
      <w:r w:rsidR="00193853">
        <w:t>rvation Branch, EPA, Queensland, &lt;</w:t>
      </w:r>
      <w:hyperlink r:id="rId46" w:history="1">
        <w:r w:rsidR="00193853" w:rsidRPr="00193853">
          <w:t>http://wetlandinfo.ehp.qld.gov.au/resources/static/pdf/resources/fact-sheets/profiles/p01718aa.pdf</w:t>
        </w:r>
      </w:hyperlink>
      <w:r w:rsidR="00193853" w:rsidRPr="00193853">
        <w:t>&gt; (accessed 17 October 2013)</w:t>
      </w:r>
    </w:p>
    <w:p w:rsidR="001A3BC8" w:rsidRPr="00BD1659" w:rsidRDefault="001A3BC8" w:rsidP="001A3BC8">
      <w:r w:rsidRPr="00BD1659">
        <w:t>Rolfe J 2008, Associated off-farm economic values of saving water and restoring pressure in the Great Artesian Basin, Department of the Environment, Water, Heritage and the Arts.</w:t>
      </w:r>
    </w:p>
    <w:p w:rsidR="00D174DD" w:rsidRDefault="00D174DD" w:rsidP="001A3BC8">
      <w:r>
        <w:t>Schalk T, Hill CM, Flavel N 2010, NSW Great Artesian Basin water market assessment pre and post action, 54</w:t>
      </w:r>
      <w:r w:rsidRPr="00D174DD">
        <w:rPr>
          <w:vertAlign w:val="superscript"/>
        </w:rPr>
        <w:t>th</w:t>
      </w:r>
      <w:r>
        <w:t xml:space="preserve"> Annual Conference of the Australian Conference of the Australian Agricultural and Resource Economics Society, Adelaide, February.</w:t>
      </w:r>
    </w:p>
    <w:p w:rsidR="001A3BC8" w:rsidRPr="00BD1659" w:rsidRDefault="001A3BC8" w:rsidP="001A3BC8">
      <w:r w:rsidRPr="00BD1659">
        <w:t>Sinclair Knight Merz 2008, Great Artesian Basin Sustainability Initiative: Mid-term review of phase 2, Department of the Environment and Water Resources, Brisbane.</w:t>
      </w:r>
    </w:p>
    <w:p w:rsidR="001A3BC8" w:rsidRPr="00BD1659" w:rsidRDefault="001A3BC8" w:rsidP="001A3BC8">
      <w:r w:rsidRPr="00BD1659">
        <w:t>Sinclair Knight Merz 2013, Great Artesian Basin Sustainability Initiative Phase 3: Mid-term Review, Department of Environment, Canberra.</w:t>
      </w:r>
    </w:p>
    <w:p w:rsidR="001A3BC8" w:rsidRPr="00BD1659" w:rsidRDefault="001A3BC8" w:rsidP="001A3BC8">
      <w:r w:rsidRPr="00BD1659">
        <w:t>Smerdon BD, Ransley TR, Radke BM &amp; Kellett JR 2012, Water resource assessment for the Great Artesian Basin: A report to the Australian Government from the CSIRO Great Artesian Basin Water Resource Assessment, CSIRO Water for a Healthy Country Flagship, Australia.</w:t>
      </w:r>
    </w:p>
    <w:p w:rsidR="001A3BC8" w:rsidRPr="00BD1659" w:rsidRDefault="001A3BC8" w:rsidP="001A3BC8">
      <w:r w:rsidRPr="00BD1659">
        <w:t>South Australian Tourism Commission 2012, Flinders Ranges and Outback: Regional tourism profile June 2010-2012, South Australian Tourism Commission.</w:t>
      </w:r>
    </w:p>
    <w:p w:rsidR="001A3BC8" w:rsidRPr="00BD1659" w:rsidRDefault="001A3BC8" w:rsidP="001A3BC8">
      <w:r w:rsidRPr="00BD1659">
        <w:t>Tourism Research Australia 2011, The economic importance of tourism in Australia’s regions, Department of Resources, Energy and Tourism, Canberra.</w:t>
      </w:r>
    </w:p>
    <w:p w:rsidR="00960E8A" w:rsidRPr="00863E1E" w:rsidRDefault="00975382" w:rsidP="00975382">
      <w:pPr>
        <w:pStyle w:val="Heading9"/>
      </w:pPr>
      <w:bookmarkStart w:id="123" w:name="_Toc375307320"/>
      <w:bookmarkStart w:id="124" w:name="_Toc378163317"/>
      <w:r w:rsidRPr="00863E1E">
        <w:t>Deprival method values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975382" w:rsidRPr="00863E1E" w:rsidRDefault="00975382" w:rsidP="00975382">
      <w:pPr>
        <w:pStyle w:val="Caption"/>
        <w:rPr>
          <w:b w:val="0"/>
        </w:rPr>
      </w:pPr>
      <w:bookmarkStart w:id="125" w:name="_Ref372022761"/>
      <w:r w:rsidRPr="00863E1E">
        <w:t xml:space="preserve">Table </w:t>
      </w:r>
      <w:r w:rsidR="006768F1">
        <w:fldChar w:fldCharType="begin"/>
      </w:r>
      <w:r w:rsidR="00F843FC">
        <w:instrText xml:space="preserve"> SEQ Table \* ARABIC </w:instrText>
      </w:r>
      <w:r w:rsidR="006768F1">
        <w:fldChar w:fldCharType="separate"/>
      </w:r>
      <w:r w:rsidR="00516D07">
        <w:rPr>
          <w:noProof/>
        </w:rPr>
        <w:t>30</w:t>
      </w:r>
      <w:r w:rsidR="006768F1">
        <w:fldChar w:fldCharType="end"/>
      </w:r>
      <w:bookmarkEnd w:id="125"/>
      <w:r w:rsidRPr="00863E1E">
        <w:t>: Direct use value estimates from previous studies</w:t>
      </w:r>
    </w:p>
    <w:tbl>
      <w:tblPr>
        <w:tblW w:w="0" w:type="auto"/>
        <w:tblInd w:w="108" w:type="dxa"/>
        <w:tblBorders>
          <w:top w:val="single" w:sz="8" w:space="0" w:color="79746C"/>
          <w:left w:val="single" w:sz="8" w:space="0" w:color="79746C"/>
          <w:bottom w:val="single" w:sz="8" w:space="0" w:color="79746C"/>
          <w:right w:val="single" w:sz="8" w:space="0" w:color="79746C"/>
          <w:insideH w:val="single" w:sz="8" w:space="0" w:color="79746C"/>
          <w:insideV w:val="single" w:sz="8" w:space="0" w:color="79746C"/>
        </w:tblBorders>
        <w:tblLook w:val="00A0"/>
      </w:tblPr>
      <w:tblGrid>
        <w:gridCol w:w="1097"/>
        <w:gridCol w:w="850"/>
        <w:gridCol w:w="1701"/>
        <w:gridCol w:w="6133"/>
      </w:tblGrid>
      <w:tr w:rsidR="00F669FB" w:rsidRPr="00863E1E" w:rsidTr="002E4907">
        <w:trPr>
          <w:tblHeader/>
        </w:trPr>
        <w:tc>
          <w:tcPr>
            <w:tcW w:w="1097" w:type="dxa"/>
            <w:shd w:val="clear" w:color="auto" w:fill="5185C0"/>
          </w:tcPr>
          <w:p w:rsidR="00975382" w:rsidRPr="00863E1E" w:rsidRDefault="00975382" w:rsidP="008D73BA">
            <w:pPr>
              <w:pStyle w:val="Tablesmallheading"/>
            </w:pPr>
            <w:r w:rsidRPr="00863E1E">
              <w:t>Sector</w:t>
            </w:r>
          </w:p>
        </w:tc>
        <w:tc>
          <w:tcPr>
            <w:tcW w:w="850" w:type="dxa"/>
            <w:shd w:val="clear" w:color="auto" w:fill="5185C0"/>
          </w:tcPr>
          <w:p w:rsidR="00975382" w:rsidRPr="00863E1E" w:rsidRDefault="00975382" w:rsidP="008D73BA">
            <w:pPr>
              <w:pStyle w:val="Tablesmallheading"/>
            </w:pPr>
            <w:r w:rsidRPr="00863E1E">
              <w:t>$/ML</w:t>
            </w:r>
          </w:p>
        </w:tc>
        <w:tc>
          <w:tcPr>
            <w:tcW w:w="1701" w:type="dxa"/>
            <w:shd w:val="clear" w:color="auto" w:fill="5185C0"/>
          </w:tcPr>
          <w:p w:rsidR="00975382" w:rsidRPr="00863E1E" w:rsidRDefault="00975382" w:rsidP="008D73BA">
            <w:pPr>
              <w:pStyle w:val="Tablesmallheading"/>
            </w:pPr>
            <w:r w:rsidRPr="00863E1E">
              <w:t xml:space="preserve">Approach/ Reference </w:t>
            </w:r>
          </w:p>
        </w:tc>
        <w:tc>
          <w:tcPr>
            <w:tcW w:w="6133" w:type="dxa"/>
            <w:shd w:val="clear" w:color="auto" w:fill="5185C0"/>
          </w:tcPr>
          <w:p w:rsidR="00975382" w:rsidRPr="00863E1E" w:rsidRDefault="00975382" w:rsidP="008D73BA">
            <w:pPr>
              <w:pStyle w:val="Tablesmallheading"/>
            </w:pPr>
            <w:r w:rsidRPr="00863E1E">
              <w:t>Discussion</w:t>
            </w:r>
          </w:p>
        </w:tc>
      </w:tr>
      <w:tr w:rsidR="00F669FB" w:rsidRPr="00863E1E" w:rsidTr="002E4907">
        <w:tc>
          <w:tcPr>
            <w:tcW w:w="1097" w:type="dxa"/>
          </w:tcPr>
          <w:p w:rsidR="00975382" w:rsidRPr="00DB78A5" w:rsidRDefault="00975382" w:rsidP="008D73BA">
            <w:pPr>
              <w:pStyle w:val="Tablesmalltext"/>
              <w:rPr>
                <w:b/>
              </w:rPr>
            </w:pPr>
            <w:r w:rsidRPr="00DB78A5">
              <w:rPr>
                <w:b/>
              </w:rPr>
              <w:t>Irrigation</w:t>
            </w:r>
          </w:p>
        </w:tc>
        <w:tc>
          <w:tcPr>
            <w:tcW w:w="850" w:type="dxa"/>
          </w:tcPr>
          <w:p w:rsidR="00975382" w:rsidRPr="00863E1E" w:rsidRDefault="00975382" w:rsidP="008D73BA">
            <w:pPr>
              <w:pStyle w:val="Tablesmalltext"/>
            </w:pPr>
            <w:r w:rsidRPr="00863E1E">
              <w:t>200</w:t>
            </w:r>
          </w:p>
        </w:tc>
        <w:tc>
          <w:tcPr>
            <w:tcW w:w="1701" w:type="dxa"/>
          </w:tcPr>
          <w:p w:rsidR="00975382" w:rsidRPr="00863E1E" w:rsidRDefault="00975382" w:rsidP="008D73BA">
            <w:pPr>
              <w:pStyle w:val="Tablesmalltext"/>
            </w:pPr>
            <w:r w:rsidRPr="00863E1E">
              <w:t xml:space="preserve">Deloitte Access Economics, 2013 </w:t>
            </w:r>
          </w:p>
        </w:tc>
        <w:tc>
          <w:tcPr>
            <w:tcW w:w="6133" w:type="dxa"/>
          </w:tcPr>
          <w:p w:rsidR="00975382" w:rsidRPr="00863E1E" w:rsidRDefault="00975382" w:rsidP="008D73BA">
            <w:pPr>
              <w:pStyle w:val="Tablesmalltext"/>
              <w:rPr>
                <w:color w:val="FF0000"/>
              </w:rPr>
            </w:pPr>
            <w:r w:rsidRPr="00863E1E">
              <w:t>This value assumed that most irrigation enterprises using groundwater would also have access to surface water. The deprival value has been estimated as the average market price for surface water allocation trades in the Murray Darling Basin.</w:t>
            </w:r>
          </w:p>
        </w:tc>
      </w:tr>
      <w:tr w:rsidR="00975382" w:rsidRPr="00863E1E" w:rsidTr="00DB78A5">
        <w:tc>
          <w:tcPr>
            <w:tcW w:w="1097" w:type="dxa"/>
          </w:tcPr>
          <w:p w:rsidR="00975382" w:rsidRPr="00DB78A5" w:rsidRDefault="00975382" w:rsidP="008D73BA">
            <w:pPr>
              <w:pStyle w:val="Tablesmalltext"/>
              <w:rPr>
                <w:b/>
              </w:rPr>
            </w:pPr>
            <w:r w:rsidRPr="00DB78A5">
              <w:rPr>
                <w:b/>
              </w:rPr>
              <w:t>Stock and Domestic*</w:t>
            </w:r>
          </w:p>
        </w:tc>
        <w:tc>
          <w:tcPr>
            <w:tcW w:w="850" w:type="dxa"/>
          </w:tcPr>
          <w:p w:rsidR="00975382" w:rsidRPr="00863E1E" w:rsidRDefault="00975382" w:rsidP="008D73BA">
            <w:pPr>
              <w:pStyle w:val="Tablesmalltext"/>
            </w:pPr>
            <w:r w:rsidRPr="00863E1E">
              <w:t>$1,278*</w:t>
            </w:r>
          </w:p>
        </w:tc>
        <w:tc>
          <w:tcPr>
            <w:tcW w:w="1701" w:type="dxa"/>
          </w:tcPr>
          <w:p w:rsidR="00975382" w:rsidRPr="00863E1E" w:rsidRDefault="00975382" w:rsidP="008D73BA">
            <w:pPr>
              <w:pStyle w:val="Tablesmalltext"/>
            </w:pPr>
            <w:r w:rsidRPr="00863E1E">
              <w:t>RMCG (2008)</w:t>
            </w:r>
          </w:p>
        </w:tc>
        <w:tc>
          <w:tcPr>
            <w:tcW w:w="6133" w:type="dxa"/>
          </w:tcPr>
          <w:p w:rsidR="00975382" w:rsidRPr="00863E1E" w:rsidRDefault="00975382" w:rsidP="008D73BA">
            <w:pPr>
              <w:pStyle w:val="Tablesmalltext"/>
            </w:pPr>
            <w:r w:rsidRPr="00863E1E">
              <w:t>This deprival value was based on the cost of small scale desalination of saline groundwater as a standard alternative source of supply that was considered to be widely applicable in Victoria.</w:t>
            </w:r>
          </w:p>
          <w:p w:rsidR="00975382" w:rsidRPr="00863E1E" w:rsidRDefault="00975382" w:rsidP="008D73BA">
            <w:pPr>
              <w:pStyle w:val="Tablesmalltext"/>
            </w:pPr>
            <w:r w:rsidRPr="00863E1E">
              <w:t xml:space="preserve">Desalination is not considered to be applicable for the GAB. The cost of the next best water supply alternative for Stock and Domestic agriculture is expected to vary significantly depending on the location. As such, this deprival estimate is not considered to be applicable to the GAB. </w:t>
            </w:r>
          </w:p>
          <w:p w:rsidR="00975382" w:rsidRPr="00863E1E" w:rsidRDefault="00975382" w:rsidP="008D73BA">
            <w:pPr>
              <w:pStyle w:val="Tablesmalltext"/>
              <w:rPr>
                <w:highlight w:val="yellow"/>
              </w:rPr>
            </w:pPr>
            <w:r w:rsidRPr="00863E1E">
              <w:t>No other studies estimate the value per ML of water for the stock and domestic sector.</w:t>
            </w:r>
          </w:p>
        </w:tc>
      </w:tr>
      <w:tr w:rsidR="00F669FB" w:rsidRPr="00863E1E" w:rsidTr="002E4907">
        <w:tc>
          <w:tcPr>
            <w:tcW w:w="1097" w:type="dxa"/>
          </w:tcPr>
          <w:p w:rsidR="00975382" w:rsidRPr="00DB78A5" w:rsidRDefault="00975382" w:rsidP="008D73BA">
            <w:pPr>
              <w:pStyle w:val="Tablesmalltext"/>
              <w:rPr>
                <w:b/>
              </w:rPr>
            </w:pPr>
            <w:r w:rsidRPr="00DB78A5">
              <w:rPr>
                <w:b/>
              </w:rPr>
              <w:t xml:space="preserve">Mining </w:t>
            </w:r>
          </w:p>
        </w:tc>
        <w:tc>
          <w:tcPr>
            <w:tcW w:w="850" w:type="dxa"/>
          </w:tcPr>
          <w:p w:rsidR="00975382" w:rsidRPr="00863E1E" w:rsidRDefault="00975382" w:rsidP="008D73BA">
            <w:pPr>
              <w:pStyle w:val="Tablesmalltext"/>
            </w:pPr>
            <w:r w:rsidRPr="00863E1E">
              <w:t>$2,750</w:t>
            </w:r>
          </w:p>
        </w:tc>
        <w:tc>
          <w:tcPr>
            <w:tcW w:w="1701" w:type="dxa"/>
          </w:tcPr>
          <w:p w:rsidR="00975382" w:rsidRPr="00863E1E" w:rsidRDefault="00975382" w:rsidP="008D73BA">
            <w:pPr>
              <w:pStyle w:val="Tablesmalltext"/>
            </w:pPr>
            <w:r w:rsidRPr="00863E1E">
              <w:t xml:space="preserve">Deloitte Access Economics, 2013 and MJA (2012) </w:t>
            </w:r>
          </w:p>
        </w:tc>
        <w:tc>
          <w:tcPr>
            <w:tcW w:w="6133" w:type="dxa"/>
          </w:tcPr>
          <w:p w:rsidR="00975382" w:rsidRPr="00863E1E" w:rsidRDefault="00975382" w:rsidP="008D73BA">
            <w:pPr>
              <w:pStyle w:val="Tablesmalltext"/>
              <w:rPr>
                <w:highlight w:val="yellow"/>
              </w:rPr>
            </w:pPr>
            <w:r w:rsidRPr="00863E1E">
              <w:t xml:space="preserve">Based on the cost range of piping water from short and long distances if groundwater is not available. </w:t>
            </w:r>
          </w:p>
        </w:tc>
      </w:tr>
      <w:tr w:rsidR="00975382" w:rsidRPr="00863E1E" w:rsidTr="00DB78A5">
        <w:tc>
          <w:tcPr>
            <w:tcW w:w="1097" w:type="dxa"/>
          </w:tcPr>
          <w:p w:rsidR="00975382" w:rsidRPr="00DB78A5" w:rsidRDefault="00975382" w:rsidP="008D73BA">
            <w:pPr>
              <w:pStyle w:val="Tablesmalltext"/>
              <w:rPr>
                <w:b/>
              </w:rPr>
            </w:pPr>
            <w:r w:rsidRPr="00DB78A5">
              <w:rPr>
                <w:b/>
              </w:rPr>
              <w:t xml:space="preserve">Urban Water </w:t>
            </w:r>
          </w:p>
        </w:tc>
        <w:tc>
          <w:tcPr>
            <w:tcW w:w="850" w:type="dxa"/>
          </w:tcPr>
          <w:p w:rsidR="00975382" w:rsidRPr="00863E1E" w:rsidRDefault="00975382" w:rsidP="008D73BA">
            <w:pPr>
              <w:pStyle w:val="Tablesmalltext"/>
            </w:pPr>
            <w:r w:rsidRPr="00863E1E">
              <w:t>$2,000</w:t>
            </w:r>
          </w:p>
        </w:tc>
        <w:tc>
          <w:tcPr>
            <w:tcW w:w="1701" w:type="dxa"/>
          </w:tcPr>
          <w:p w:rsidR="00975382" w:rsidRPr="00863E1E" w:rsidRDefault="00975382" w:rsidP="008D73BA">
            <w:pPr>
              <w:pStyle w:val="Tablesmalltext"/>
              <w:rPr>
                <w:color w:val="FF0000"/>
              </w:rPr>
            </w:pPr>
            <w:r w:rsidRPr="00863E1E">
              <w:t>Deloitte Access Economics, 2013</w:t>
            </w:r>
          </w:p>
        </w:tc>
        <w:tc>
          <w:tcPr>
            <w:tcW w:w="6133" w:type="dxa"/>
          </w:tcPr>
          <w:p w:rsidR="00975382" w:rsidRPr="00863E1E" w:rsidRDefault="00975382" w:rsidP="008D73BA">
            <w:pPr>
              <w:pStyle w:val="Tablesmalltext"/>
            </w:pPr>
            <w:r w:rsidRPr="00863E1E">
              <w:t xml:space="preserve">Based on publically available figures regarding the most likely alternative for urban water supply including demand management, purchase of temporary water (where available) or short distance pipelines. </w:t>
            </w:r>
          </w:p>
        </w:tc>
      </w:tr>
      <w:tr w:rsidR="00F669FB" w:rsidRPr="00863E1E" w:rsidTr="002E4907">
        <w:tc>
          <w:tcPr>
            <w:tcW w:w="1097" w:type="dxa"/>
          </w:tcPr>
          <w:p w:rsidR="00975382" w:rsidRPr="00DB78A5" w:rsidRDefault="00975382" w:rsidP="008D73BA">
            <w:pPr>
              <w:pStyle w:val="Tablesmalltext"/>
              <w:rPr>
                <w:b/>
              </w:rPr>
            </w:pPr>
            <w:r w:rsidRPr="00DB78A5">
              <w:rPr>
                <w:b/>
              </w:rPr>
              <w:t>Other Industries</w:t>
            </w:r>
          </w:p>
        </w:tc>
        <w:tc>
          <w:tcPr>
            <w:tcW w:w="850" w:type="dxa"/>
          </w:tcPr>
          <w:p w:rsidR="00975382" w:rsidRPr="00863E1E" w:rsidRDefault="00975382" w:rsidP="008D73BA">
            <w:pPr>
              <w:pStyle w:val="Tablesmalltext"/>
            </w:pPr>
            <w:r w:rsidRPr="00863E1E">
              <w:t>$2,000</w:t>
            </w:r>
          </w:p>
        </w:tc>
        <w:tc>
          <w:tcPr>
            <w:tcW w:w="1701" w:type="dxa"/>
          </w:tcPr>
          <w:p w:rsidR="00975382" w:rsidRPr="00863E1E" w:rsidRDefault="00975382" w:rsidP="008D73BA">
            <w:pPr>
              <w:pStyle w:val="Tablesmalltext"/>
              <w:rPr>
                <w:color w:val="FF0000"/>
              </w:rPr>
            </w:pPr>
            <w:r w:rsidRPr="00863E1E">
              <w:t>Deloitte Access Economics, 2013</w:t>
            </w:r>
          </w:p>
        </w:tc>
        <w:tc>
          <w:tcPr>
            <w:tcW w:w="6133" w:type="dxa"/>
          </w:tcPr>
          <w:p w:rsidR="00975382" w:rsidRPr="00863E1E" w:rsidRDefault="00975382" w:rsidP="008D73BA">
            <w:pPr>
              <w:pStyle w:val="Tablesmalltext"/>
            </w:pPr>
            <w:r w:rsidRPr="00863E1E">
              <w:t xml:space="preserve">Assumed to be the same as urban water supply. </w:t>
            </w:r>
          </w:p>
        </w:tc>
      </w:tr>
    </w:tbl>
    <w:p w:rsidR="00975382" w:rsidRPr="00863E1E" w:rsidRDefault="00975382" w:rsidP="005E74CB">
      <w:pPr>
        <w:pStyle w:val="Tablebullet"/>
        <w:numPr>
          <w:ilvl w:val="0"/>
          <w:numId w:val="0"/>
        </w:numPr>
        <w:ind w:left="284"/>
      </w:pPr>
      <w:r w:rsidRPr="00863E1E">
        <w:t>*Value adjusted to 2013 dollars</w:t>
      </w:r>
    </w:p>
    <w:p w:rsidR="009D43D1" w:rsidRDefault="00187007" w:rsidP="009D43D1">
      <w:pPr>
        <w:pStyle w:val="Para0"/>
      </w:pPr>
      <w:r w:rsidRPr="00187007">
        <w:t xml:space="preserve"> </w:t>
      </w:r>
    </w:p>
    <w:p w:rsidR="009D43D1" w:rsidRDefault="009D43D1" w:rsidP="009D43D1">
      <w:pPr>
        <w:pStyle w:val="Para0"/>
      </w:pPr>
    </w:p>
    <w:p w:rsidR="009D43D1" w:rsidRDefault="00187007" w:rsidP="009D43D1">
      <w:pPr>
        <w:pStyle w:val="Para0"/>
      </w:pPr>
      <w:r w:rsidRPr="00187007">
        <w:t xml:space="preserve"> </w:t>
      </w:r>
    </w:p>
    <w:p w:rsidR="009D43D1" w:rsidRDefault="009D43D1" w:rsidP="009D43D1">
      <w:pPr>
        <w:pStyle w:val="Para0"/>
      </w:pPr>
    </w:p>
    <w:p w:rsidR="009D43D1" w:rsidRDefault="009D43D1" w:rsidP="009D43D1">
      <w:pPr>
        <w:pStyle w:val="Para0"/>
      </w:pPr>
    </w:p>
    <w:p w:rsidR="009D43D1" w:rsidRPr="009D43D1" w:rsidRDefault="009D43D1" w:rsidP="009D43D1">
      <w:pPr>
        <w:pStyle w:val="Para0"/>
      </w:pPr>
    </w:p>
    <w:p w:rsidR="00777B8B" w:rsidRDefault="00777B8B" w:rsidP="00777B8B">
      <w:pPr>
        <w:pStyle w:val="Heading9"/>
      </w:pPr>
      <w:bookmarkStart w:id="126" w:name="_Ref373344472"/>
      <w:bookmarkStart w:id="127" w:name="_Toc373359737"/>
      <w:bookmarkStart w:id="128" w:name="_Toc373397901"/>
      <w:bookmarkStart w:id="129" w:name="_Toc373405157"/>
      <w:bookmarkStart w:id="130" w:name="_Toc373442117"/>
      <w:bookmarkStart w:id="131" w:name="_Toc373486634"/>
      <w:bookmarkStart w:id="132" w:name="_Toc373486637"/>
      <w:bookmarkStart w:id="133" w:name="_Toc373498976"/>
      <w:bookmarkStart w:id="134" w:name="_Toc373502848"/>
      <w:bookmarkStart w:id="135" w:name="_Toc374975079"/>
      <w:bookmarkStart w:id="136" w:name="_Toc375124160"/>
      <w:bookmarkStart w:id="137" w:name="_Toc375307321"/>
      <w:bookmarkStart w:id="138" w:name="_Toc378163318"/>
      <w:r>
        <w:t>Quantified Value for Money Summary</w:t>
      </w:r>
      <w:bookmarkEnd w:id="126"/>
      <w:bookmarkEnd w:id="127"/>
      <w:bookmarkEnd w:id="128"/>
      <w:bookmarkEnd w:id="129"/>
      <w:bookmarkEnd w:id="130"/>
      <w:bookmarkEnd w:id="131"/>
      <w:bookmarkEnd w:id="132"/>
      <w:bookmarkEnd w:id="133"/>
      <w:bookmarkEnd w:id="134"/>
      <w:bookmarkEnd w:id="135"/>
      <w:bookmarkEnd w:id="136"/>
      <w:bookmarkEnd w:id="137"/>
      <w:bookmarkEnd w:id="138"/>
      <w:r>
        <w:t xml:space="preserve"> </w:t>
      </w:r>
    </w:p>
    <w:p w:rsidR="00777B8B" w:rsidRDefault="00777B8B" w:rsidP="00777B8B">
      <w:pPr>
        <w:pStyle w:val="Para0"/>
      </w:pPr>
      <w:r w:rsidRPr="0034207E">
        <w:t xml:space="preserve">  </w:t>
      </w:r>
      <w:r w:rsidR="00E55E17">
        <w:rPr>
          <w:noProof/>
          <w:lang w:eastAsia="en-AU"/>
        </w:rPr>
        <w:drawing>
          <wp:inline distT="0" distB="0" distL="0" distR="0">
            <wp:extent cx="6171565" cy="81807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1565" cy="8180705"/>
                    </a:xfrm>
                    <a:prstGeom prst="rect">
                      <a:avLst/>
                    </a:prstGeom>
                    <a:noFill/>
                  </pic:spPr>
                </pic:pic>
              </a:graphicData>
            </a:graphic>
          </wp:inline>
        </w:drawing>
      </w:r>
    </w:p>
    <w:p w:rsidR="00777B8B" w:rsidRPr="00863E1E" w:rsidRDefault="00E55E17" w:rsidP="00777B8B">
      <w:pPr>
        <w:pStyle w:val="Para0"/>
      </w:pPr>
      <w:r>
        <w:rPr>
          <w:noProof/>
          <w:lang w:eastAsia="en-AU"/>
        </w:rPr>
        <w:drawing>
          <wp:inline distT="0" distB="0" distL="0" distR="0">
            <wp:extent cx="5866765" cy="87522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765" cy="8752205"/>
                    </a:xfrm>
                    <a:prstGeom prst="rect">
                      <a:avLst/>
                    </a:prstGeom>
                    <a:noFill/>
                  </pic:spPr>
                </pic:pic>
              </a:graphicData>
            </a:graphic>
          </wp:inline>
        </w:drawing>
      </w:r>
    </w:p>
    <w:sectPr w:rsidR="00777B8B" w:rsidRPr="00863E1E" w:rsidSect="005B6BEE">
      <w:headerReference w:type="first" r:id="rId49"/>
      <w:footerReference w:type="first" r:id="rId50"/>
      <w:pgSz w:w="11901" w:h="16840" w:code="9"/>
      <w:pgMar w:top="567" w:right="851" w:bottom="851" w:left="1134" w:header="567" w:footer="369" w:gutter="0"/>
      <w:pgNumType w:start="1"/>
      <w:cols w:space="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8B1" w:rsidRDefault="00C768B1" w:rsidP="00EA3E55">
      <w:pPr>
        <w:spacing w:after="0" w:line="240" w:lineRule="auto"/>
      </w:pPr>
      <w:r>
        <w:separator/>
      </w:r>
    </w:p>
  </w:endnote>
  <w:endnote w:type="continuationSeparator" w:id="0">
    <w:p w:rsidR="00C768B1" w:rsidRDefault="00C768B1" w:rsidP="00EA3E55">
      <w:pPr>
        <w:spacing w:after="0" w:line="240" w:lineRule="auto"/>
      </w:pPr>
      <w:r>
        <w:continuationSeparator/>
      </w:r>
    </w:p>
  </w:endnote>
  <w:endnote w:type="continuationNotice" w:id="1">
    <w:p w:rsidR="00C768B1" w:rsidRDefault="00C768B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27" w:rsidRPr="00395E6D" w:rsidRDefault="007A5327" w:rsidP="00C41B5E">
    <w:pPr>
      <w:pStyle w:val="Footer"/>
    </w:pPr>
    <w:r w:rsidRPr="001B5766">
      <w:t>www.globalskm.com</w:t>
    </w:r>
    <w:r>
      <w:tab/>
    </w:r>
    <w:r>
      <w:tab/>
    </w:r>
    <w:r>
      <w:tab/>
    </w:r>
    <w:r w:rsidRPr="003672A2">
      <w:t xml:space="preserve">PAGE </w:t>
    </w:r>
    <w:r w:rsidR="006768F1">
      <w:fldChar w:fldCharType="begin"/>
    </w:r>
    <w:r>
      <w:instrText xml:space="preserve"> PAGE   \* MERGEFORMAT </w:instrText>
    </w:r>
    <w:r w:rsidR="006768F1">
      <w:fldChar w:fldCharType="separate"/>
    </w:r>
    <w:r>
      <w:rPr>
        <w:noProof/>
      </w:rPr>
      <w:t>51</w:t>
    </w:r>
    <w:r w:rsidR="006768F1">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27" w:rsidRPr="00BB6A40" w:rsidRDefault="007A5327" w:rsidP="00515948">
    <w:pPr>
      <w:pStyle w:val="Footer"/>
      <w:rPr>
        <w:lang w:val="es-ES"/>
      </w:rPr>
    </w:pPr>
    <w:r w:rsidRPr="0000408D">
      <w:rPr>
        <w:lang w:val="es-ES"/>
      </w:rPr>
      <w:t>Document</w:t>
    </w:r>
    <w:r w:rsidRPr="00BB6A40">
      <w:rPr>
        <w:lang w:val="es-ES"/>
      </w:rPr>
      <w:t xml:space="preserve"> no.: SB20354, FINAL</w:t>
    </w:r>
    <w:r w:rsidRPr="00BB6A40">
      <w:rPr>
        <w:lang w:val="es-ES"/>
      </w:rPr>
      <w:tab/>
      <w:t xml:space="preserve">PAGE </w:t>
    </w:r>
    <w:r w:rsidR="006768F1">
      <w:fldChar w:fldCharType="begin"/>
    </w:r>
    <w:r w:rsidRPr="00BB6A40">
      <w:rPr>
        <w:lang w:val="es-ES"/>
      </w:rPr>
      <w:instrText xml:space="preserve"> PAGE   \* MERGEFORMAT </w:instrText>
    </w:r>
    <w:r w:rsidR="006768F1">
      <w:fldChar w:fldCharType="separate"/>
    </w:r>
    <w:r w:rsidR="0036739B">
      <w:rPr>
        <w:noProof/>
        <w:lang w:val="es-ES"/>
      </w:rPr>
      <w:t>52</w:t>
    </w:r>
    <w:r w:rsidR="006768F1">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27" w:rsidRDefault="007A5327" w:rsidP="00035F1E">
    <w:pPr>
      <w:pStyle w:val="Footer"/>
    </w:pPr>
    <w:r>
      <w:t>Document no.: SB20354, FINAL</w:t>
    </w:r>
    <w:r>
      <w:tab/>
    </w:r>
    <w:r w:rsidRPr="003672A2">
      <w:t xml:space="preserve">PAGE </w:t>
    </w:r>
    <w:r w:rsidR="006768F1">
      <w:fldChar w:fldCharType="begin"/>
    </w:r>
    <w:r>
      <w:instrText xml:space="preserve"> PAGE   \* MERGEFORMAT </w:instrText>
    </w:r>
    <w:r w:rsidR="006768F1">
      <w:fldChar w:fldCharType="separate"/>
    </w:r>
    <w:r w:rsidR="0036739B">
      <w:rPr>
        <w:noProof/>
      </w:rPr>
      <w:t>i</w:t>
    </w:r>
    <w:r w:rsidR="006768F1">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27" w:rsidRDefault="007A5327" w:rsidP="00035F1E">
    <w:pPr>
      <w:pStyle w:val="Footer"/>
    </w:pPr>
    <w:r>
      <w:t>Document no.: SB20354, FINAL</w:t>
    </w:r>
    <w:r>
      <w:tab/>
    </w:r>
    <w:r>
      <w:tab/>
    </w:r>
    <w:r w:rsidRPr="003672A2">
      <w:t xml:space="preserve">PAGE </w:t>
    </w:r>
    <w:r w:rsidR="006768F1">
      <w:fldChar w:fldCharType="begin"/>
    </w:r>
    <w:r>
      <w:instrText xml:space="preserve"> PAGE   \* MERGEFORMAT </w:instrText>
    </w:r>
    <w:r w:rsidR="006768F1">
      <w:fldChar w:fldCharType="separate"/>
    </w:r>
    <w:r w:rsidR="0036739B">
      <w:rPr>
        <w:noProof/>
      </w:rPr>
      <w:t>v</w:t>
    </w:r>
    <w:r w:rsidR="006768F1">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27" w:rsidRDefault="007A5327" w:rsidP="00035F1E">
    <w:pPr>
      <w:pStyle w:val="Footer"/>
    </w:pPr>
    <w:r>
      <w:t>Document no.: SB20354, FINAL</w:t>
    </w:r>
    <w:r>
      <w:tab/>
    </w:r>
    <w:r w:rsidRPr="003672A2">
      <w:t xml:space="preserve">PAGE </w:t>
    </w:r>
    <w:r w:rsidR="006768F1">
      <w:fldChar w:fldCharType="begin"/>
    </w:r>
    <w:r>
      <w:instrText xml:space="preserve"> PAGE   \* MERGEFORMAT </w:instrText>
    </w:r>
    <w:r w:rsidR="006768F1">
      <w:fldChar w:fldCharType="separate"/>
    </w:r>
    <w:r w:rsidR="0036739B">
      <w:rPr>
        <w:noProof/>
      </w:rPr>
      <w:t>vi</w:t>
    </w:r>
    <w:r w:rsidR="006768F1">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27" w:rsidRDefault="007A5327" w:rsidP="00035F1E">
    <w:pPr>
      <w:pStyle w:val="Footer"/>
    </w:pPr>
    <w:r>
      <w:t>Document no.: SB20354, FINAL</w:t>
    </w:r>
    <w:r>
      <w:tab/>
    </w:r>
    <w:r w:rsidRPr="003672A2">
      <w:t xml:space="preserve">PAGE </w:t>
    </w:r>
    <w:r w:rsidR="006768F1">
      <w:fldChar w:fldCharType="begin"/>
    </w:r>
    <w:r>
      <w:instrText xml:space="preserve"> PAGE   \* MERGEFORMAT </w:instrText>
    </w:r>
    <w:r w:rsidR="006768F1">
      <w:fldChar w:fldCharType="separate"/>
    </w:r>
    <w:r w:rsidR="0036739B">
      <w:rPr>
        <w:noProof/>
      </w:rPr>
      <w:t>1</w:t>
    </w:r>
    <w:r w:rsidR="006768F1">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8B1" w:rsidRDefault="00C768B1" w:rsidP="00EA3E55">
      <w:pPr>
        <w:spacing w:after="0" w:line="240" w:lineRule="auto"/>
      </w:pPr>
      <w:r>
        <w:separator/>
      </w:r>
    </w:p>
  </w:footnote>
  <w:footnote w:type="continuationSeparator" w:id="0">
    <w:p w:rsidR="00C768B1" w:rsidRDefault="00C768B1" w:rsidP="00EA3E55">
      <w:pPr>
        <w:spacing w:after="0" w:line="240" w:lineRule="auto"/>
      </w:pPr>
      <w:r>
        <w:continuationSeparator/>
      </w:r>
    </w:p>
  </w:footnote>
  <w:footnote w:type="continuationNotice" w:id="1">
    <w:p w:rsidR="00C768B1" w:rsidRDefault="00C768B1">
      <w:pPr>
        <w:spacing w:after="0" w:line="240" w:lineRule="auto"/>
      </w:pPr>
    </w:p>
  </w:footnote>
  <w:footnote w:id="2">
    <w:p w:rsidR="007A5327" w:rsidRDefault="007A5327" w:rsidP="00270F01">
      <w:pPr>
        <w:pStyle w:val="FootnoteText"/>
      </w:pPr>
      <w:r>
        <w:rPr>
          <w:rStyle w:val="FootnoteReference"/>
        </w:rPr>
        <w:footnoteRef/>
      </w:r>
      <w:r>
        <w:t xml:space="preserve"> Northern Territory was involved in the monitoring network aspect of the program rather than infrastructure renewal (capping and piping of bores) and has therefore not been included in this VfM Review.</w:t>
      </w:r>
    </w:p>
  </w:footnote>
  <w:footnote w:id="3">
    <w:p w:rsidR="007A5327" w:rsidRDefault="007A5327">
      <w:pPr>
        <w:pStyle w:val="FootnoteText"/>
      </w:pPr>
      <w:r>
        <w:rPr>
          <w:rStyle w:val="FootnoteReference"/>
        </w:rPr>
        <w:footnoteRef/>
      </w:r>
      <w:r>
        <w:t xml:space="preserve"> The data contained in these tables for Phase 3 and 2012/13 achievements was provided directly by jurisdictions and was accurate as of 29 November 2013.</w:t>
      </w:r>
    </w:p>
  </w:footnote>
  <w:footnote w:id="4">
    <w:p w:rsidR="007A5327" w:rsidRDefault="007A5327" w:rsidP="006D39BF">
      <w:r>
        <w:rPr>
          <w:rStyle w:val="FootnoteReference"/>
        </w:rPr>
        <w:footnoteRef/>
      </w:r>
      <w:r>
        <w:t xml:space="preserve"> </w:t>
      </w:r>
      <w:r w:rsidRPr="00E44B6B">
        <w:rPr>
          <w:b/>
          <w:sz w:val="18"/>
        </w:rPr>
        <w:t>Commonwealth Guidance Note: Cost benefit analysis in regulatory impact assessments (2013)</w:t>
      </w:r>
      <w:r w:rsidRPr="00E44B6B">
        <w:rPr>
          <w:sz w:val="18"/>
        </w:rPr>
        <w:t xml:space="preserve"> - </w:t>
      </w:r>
      <w:r w:rsidRPr="00E44B6B">
        <w:rPr>
          <w:rFonts w:cs="Arial"/>
          <w:sz w:val="18"/>
        </w:rPr>
        <w:t>The OBPR requires calculation of net present values at an annual real discount rate of 7 per cent</w:t>
      </w:r>
      <w:r w:rsidRPr="00E44B6B">
        <w:rPr>
          <w:sz w:val="18"/>
          <w:vertAlign w:val="superscript"/>
        </w:rPr>
        <w:footnoteRef/>
      </w:r>
      <w:r w:rsidRPr="00E44B6B">
        <w:rPr>
          <w:rFonts w:cs="Arial"/>
          <w:sz w:val="18"/>
        </w:rPr>
        <w:t>. (</w:t>
      </w:r>
      <w:hyperlink r:id="rId1" w:anchor="CBA_Guidance_Notes" w:history="1">
        <w:r w:rsidRPr="00E44B6B">
          <w:rPr>
            <w:rStyle w:val="Hyperlink"/>
            <w:rFonts w:cs="Arial"/>
            <w:sz w:val="18"/>
          </w:rPr>
          <w:t>http://www.finance.gov.au/obpr/cost-benefit-analysis.html#CBA_Guidance_Notes</w:t>
        </w:r>
      </w:hyperlink>
      <w:r>
        <w:rPr>
          <w:rFonts w:cs="Arial"/>
          <w:sz w:val="18"/>
        </w:rPr>
        <w:t>)</w:t>
      </w:r>
    </w:p>
  </w:footnote>
  <w:footnote w:id="5">
    <w:p w:rsidR="007A5327" w:rsidRDefault="007A5327" w:rsidP="00A10E54">
      <w:pPr>
        <w:pStyle w:val="FootnoteText"/>
      </w:pPr>
      <w:r>
        <w:rPr>
          <w:rStyle w:val="FootnoteReference"/>
        </w:rPr>
        <w:footnoteRef/>
      </w:r>
      <w:r>
        <w:t xml:space="preserve"> i.e. they estimate </w:t>
      </w:r>
      <w:r w:rsidRPr="0094487A">
        <w:t xml:space="preserve">the cost (or opportunity cost) that would be incurred if 100% of the groundwater was no longer available to water users (MJA, 2012) </w:t>
      </w:r>
    </w:p>
  </w:footnote>
  <w:footnote w:id="6">
    <w:p w:rsidR="007A5327" w:rsidRDefault="007A5327">
      <w:pPr>
        <w:pStyle w:val="FootnoteText"/>
      </w:pPr>
      <w:r>
        <w:rPr>
          <w:rStyle w:val="FootnoteReference"/>
        </w:rPr>
        <w:footnoteRef/>
      </w:r>
      <w:r>
        <w:t xml:space="preserve"> Data received from Frontier Economics (peer reviewers for the Review) via Queensland Department of Natural Resources and Mines.</w:t>
      </w:r>
    </w:p>
  </w:footnote>
  <w:footnote w:id="7">
    <w:p w:rsidR="007A5327" w:rsidRDefault="007A5327" w:rsidP="00431688">
      <w:pPr>
        <w:pStyle w:val="FootnoteText"/>
      </w:pPr>
      <w:r>
        <w:rPr>
          <w:rStyle w:val="FootnoteReference"/>
        </w:rPr>
        <w:footnoteRef/>
      </w:r>
      <w:r>
        <w:t xml:space="preserve">Landowners opposed the NSW auctions and demonstrated on the day. The market price may therefore not represent the willingness to pay by that sector. </w:t>
      </w:r>
    </w:p>
  </w:footnote>
  <w:footnote w:id="8">
    <w:p w:rsidR="007A5327" w:rsidRDefault="007A5327">
      <w:pPr>
        <w:pStyle w:val="FootnoteText"/>
      </w:pPr>
      <w:r>
        <w:rPr>
          <w:rStyle w:val="FootnoteReference"/>
        </w:rPr>
        <w:footnoteRef/>
      </w:r>
      <w:r>
        <w:t xml:space="preserve"> </w:t>
      </w:r>
      <w:r w:rsidRPr="009E7500">
        <w:t xml:space="preserve">Breakdown provided by jurisdiction in </w:t>
      </w:r>
      <w:fldSimple w:instr=" REF _Ref373396991 \h  \* MERGEFORMAT ">
        <w:r w:rsidR="00516D07" w:rsidRPr="00863E1E">
          <w:t xml:space="preserve">Table </w:t>
        </w:r>
        <w:r w:rsidR="00516D07">
          <w:t>5</w:t>
        </w:r>
      </w:fldSimple>
      <w:r w:rsidRPr="009E7500">
        <w:t>.</w:t>
      </w:r>
    </w:p>
  </w:footnote>
  <w:footnote w:id="9">
    <w:p w:rsidR="007A5327" w:rsidRDefault="007A5327">
      <w:pPr>
        <w:pStyle w:val="FootnoteText"/>
      </w:pPr>
      <w:r w:rsidRPr="007A1CFD">
        <w:rPr>
          <w:rStyle w:val="FootnoteReference"/>
          <w:sz w:val="15"/>
        </w:rPr>
        <w:footnoteRef/>
      </w:r>
      <w:r w:rsidRPr="007A1CFD">
        <w:rPr>
          <w:sz w:val="15"/>
        </w:rPr>
        <w:t xml:space="preserve"> The medium cost is based on the medium flow rate, which is not necessarily based on the median. </w:t>
      </w:r>
    </w:p>
  </w:footnote>
  <w:footnote w:id="10">
    <w:p w:rsidR="007A5327" w:rsidRPr="00CA5B42" w:rsidRDefault="007A5327" w:rsidP="00102107">
      <w:r>
        <w:rPr>
          <w:rStyle w:val="FootnoteReference"/>
        </w:rPr>
        <w:footnoteRef/>
      </w:r>
      <w:r>
        <w:t xml:space="preserve"> </w:t>
      </w:r>
      <w:hyperlink r:id="rId2" w:history="1">
        <w:r w:rsidRPr="00F66AD7">
          <w:rPr>
            <w:rStyle w:val="Hyperlink"/>
            <w:sz w:val="16"/>
          </w:rPr>
          <w:t>http://www.fao.org/docrep/010/ah810e/ah810e04.htm</w:t>
        </w:r>
      </w:hyperlink>
    </w:p>
  </w:footnote>
  <w:footnote w:id="11">
    <w:p w:rsidR="007A5327" w:rsidRDefault="007A5327">
      <w:pPr>
        <w:pStyle w:val="FootnoteText"/>
      </w:pPr>
      <w:r>
        <w:rPr>
          <w:rStyle w:val="FootnoteReference"/>
        </w:rPr>
        <w:footnoteRef/>
      </w:r>
      <w:r>
        <w:t xml:space="preserve"> GABtran is the only contemporary groundflow model covering the majority of the study area</w:t>
      </w:r>
    </w:p>
  </w:footnote>
  <w:footnote w:id="12">
    <w:p w:rsidR="007A5327" w:rsidRPr="00DE1329" w:rsidRDefault="007A5327" w:rsidP="00C47D21">
      <w:pPr>
        <w:pStyle w:val="Para0"/>
      </w:pPr>
      <w:r>
        <w:rPr>
          <w:rStyle w:val="FootnoteReference"/>
        </w:rPr>
        <w:footnoteRef/>
      </w:r>
      <w:r>
        <w:t xml:space="preserve"> </w:t>
      </w:r>
      <w:r w:rsidRPr="008A03C0">
        <w:rPr>
          <w:sz w:val="17"/>
          <w:szCs w:val="17"/>
        </w:rPr>
        <w:t>Two types of pressure change data were provided in the report – one type was a series of maps showing pressure surfaces on roughly 20 year intervals, and the other type was times series graphs of pressure changes for selected bores.</w:t>
      </w:r>
    </w:p>
    <w:p w:rsidR="007A5327" w:rsidRDefault="007A5327" w:rsidP="00F669FB">
      <w:pPr>
        <w:pStyle w:val="FootnoteText"/>
      </w:pPr>
    </w:p>
  </w:footnote>
  <w:footnote w:id="13">
    <w:p w:rsidR="007A5327" w:rsidRDefault="007A5327" w:rsidP="00CB5C5F">
      <w:pPr>
        <w:pStyle w:val="FootnoteText"/>
      </w:pPr>
      <w:r>
        <w:rPr>
          <w:rStyle w:val="FootnoteReference"/>
        </w:rPr>
        <w:footnoteRef/>
      </w:r>
      <w:r>
        <w:t xml:space="preserve"> Based on GABWRA data supplied by Brian Smerdon, CSIRO, November 2013</w:t>
      </w:r>
    </w:p>
  </w:footnote>
  <w:footnote w:id="14">
    <w:p w:rsidR="007A5327" w:rsidRDefault="007A5327" w:rsidP="000B5AAB">
      <w:pPr>
        <w:pStyle w:val="FootnoteText"/>
      </w:pPr>
      <w:r w:rsidRPr="00D21D9F">
        <w:rPr>
          <w:rStyle w:val="FootnoteReference"/>
        </w:rPr>
        <w:footnoteRef/>
      </w:r>
      <w:r>
        <w:t xml:space="preserve"> Note:</w:t>
      </w:r>
      <w:r w:rsidRPr="00D21D9F">
        <w:t xml:space="preserve"> </w:t>
      </w:r>
      <w:r>
        <w:t>these include</w:t>
      </w:r>
      <w:r w:rsidRPr="00D21D9F">
        <w:t xml:space="preserve"> consumptive </w:t>
      </w:r>
      <w:r>
        <w:t>and</w:t>
      </w:r>
      <w:r w:rsidRPr="00D21D9F">
        <w:t xml:space="preserve"> non-consumptive</w:t>
      </w:r>
      <w:r>
        <w:t xml:space="preserve"> benefits</w:t>
      </w:r>
      <w:r w:rsidRPr="00D21D9F">
        <w:t>, but have been considered as a group.</w:t>
      </w:r>
    </w:p>
  </w:footnote>
  <w:footnote w:id="15">
    <w:p w:rsidR="007A5327" w:rsidRDefault="007A5327">
      <w:pPr>
        <w:pStyle w:val="FootnoteText"/>
      </w:pPr>
      <w:r w:rsidRPr="003447E7">
        <w:rPr>
          <w:rStyle w:val="FootnoteReference"/>
        </w:rPr>
        <w:footnoteRef/>
      </w:r>
      <w:r w:rsidRPr="003447E7">
        <w:t xml:space="preserve"> This is based on data provided by the jurisdictions. Some of the data is incomplete.</w:t>
      </w:r>
    </w:p>
  </w:footnote>
  <w:footnote w:id="16">
    <w:p w:rsidR="007A5327" w:rsidRDefault="007A5327">
      <w:pPr>
        <w:pStyle w:val="FootnoteText"/>
      </w:pPr>
      <w:r>
        <w:rPr>
          <w:rStyle w:val="FootnoteReference"/>
        </w:rPr>
        <w:footnoteRef/>
      </w:r>
      <w:r>
        <w:t xml:space="preserve"> Centre for International Economics and Resource Policy and Management (2003).</w:t>
      </w:r>
    </w:p>
  </w:footnote>
  <w:footnote w:id="17">
    <w:p w:rsidR="007A5327" w:rsidRDefault="007A5327" w:rsidP="00156C5E">
      <w:pPr>
        <w:pStyle w:val="FootnoteText"/>
      </w:pPr>
      <w:r>
        <w:rPr>
          <w:rStyle w:val="FootnoteReference"/>
        </w:rPr>
        <w:footnoteRef/>
      </w:r>
      <w:r>
        <w:t xml:space="preserve"> Centre for International Economics and Resource Policy and Management (2003).</w:t>
      </w:r>
    </w:p>
  </w:footnote>
  <w:footnote w:id="18">
    <w:p w:rsidR="007A5327" w:rsidRDefault="007A5327" w:rsidP="00D37AE0">
      <w:pPr>
        <w:pStyle w:val="FootnoteText"/>
      </w:pPr>
      <w:r>
        <w:rPr>
          <w:rStyle w:val="FootnoteReference"/>
        </w:rPr>
        <w:footnoteRef/>
      </w:r>
      <w:r>
        <w:t xml:space="preserve"> Figures quoted directly from Rolfe (2008) have not been escalated to 2013 dollars.</w:t>
      </w:r>
    </w:p>
  </w:footnote>
  <w:footnote w:id="19">
    <w:p w:rsidR="007A5327" w:rsidRDefault="007A5327" w:rsidP="00C5206E">
      <w:pPr>
        <w:pStyle w:val="FootnoteText"/>
      </w:pPr>
      <w:r>
        <w:rPr>
          <w:rStyle w:val="FootnoteReference"/>
        </w:rPr>
        <w:footnoteRef/>
      </w:r>
      <w:r>
        <w:t xml:space="preserve"> Total tourism expenditure is obtained from DRET (2011), and is based on 2007/08 data. Basic price is defined as “The amount receivable by the producer from the purchaser for a unit of a good or service produced as output, minus any tax payable plus any subsidy receivable, on that unit as a consequence of its production or sale. It excludes any transport charges invoiced separately by the producer.”</w:t>
      </w:r>
    </w:p>
  </w:footnote>
  <w:footnote w:id="20">
    <w:p w:rsidR="007A5327" w:rsidRDefault="007A5327">
      <w:pPr>
        <w:pStyle w:val="FootnoteText"/>
      </w:pPr>
      <w:r>
        <w:rPr>
          <w:rStyle w:val="FootnoteReference"/>
        </w:rPr>
        <w:footnoteRef/>
      </w:r>
      <w:r>
        <w:t xml:space="preserve"> Tourism NSW</w:t>
      </w:r>
    </w:p>
  </w:footnote>
  <w:footnote w:id="21">
    <w:p w:rsidR="007A5327" w:rsidRDefault="007A5327">
      <w:pPr>
        <w:pStyle w:val="FootnoteText"/>
      </w:pPr>
      <w:r>
        <w:rPr>
          <w:rStyle w:val="FootnoteReference"/>
        </w:rPr>
        <w:footnoteRef/>
      </w:r>
      <w:r>
        <w:t xml:space="preserve"> ‘Basic price’ refers to the amount receivable by the producer from the purchaser, minus tax and plus subsidy. Transport charges are excluded.</w:t>
      </w:r>
    </w:p>
  </w:footnote>
  <w:footnote w:id="22">
    <w:p w:rsidR="007A5327" w:rsidRDefault="007A5327">
      <w:pPr>
        <w:pStyle w:val="FootnoteText"/>
      </w:pPr>
      <w:r>
        <w:rPr>
          <w:rStyle w:val="FootnoteReference"/>
        </w:rPr>
        <w:footnoteRef/>
      </w:r>
      <w:r>
        <w:t xml:space="preserve"> South Australian Tourism Commission (2012)</w:t>
      </w:r>
    </w:p>
  </w:footnote>
  <w:footnote w:id="23">
    <w:p w:rsidR="007A5327" w:rsidRDefault="007A5327" w:rsidP="000B5AAB">
      <w:pPr>
        <w:pStyle w:val="FootnoteText"/>
      </w:pPr>
      <w:r>
        <w:rPr>
          <w:rStyle w:val="FootnoteReference"/>
        </w:rPr>
        <w:footnoteRef/>
      </w:r>
      <w:r>
        <w:t xml:space="preserve"> CBA concepts and practice text book</w:t>
      </w:r>
    </w:p>
  </w:footnote>
  <w:footnote w:id="24">
    <w:p w:rsidR="007A5327" w:rsidRDefault="007A5327">
      <w:pPr>
        <w:pStyle w:val="FootnoteText"/>
      </w:pPr>
      <w:r>
        <w:rPr>
          <w:rStyle w:val="FootnoteReference"/>
        </w:rPr>
        <w:footnoteRef/>
      </w:r>
      <w:r>
        <w:t xml:space="preserve"> </w:t>
      </w:r>
      <w:r w:rsidRPr="00AE77AB">
        <w:t>http://www.finance.gov.au/publications/finance-circulars/2006/docs/Handbook_of_CB_analysis.pdf</w:t>
      </w:r>
    </w:p>
  </w:footnote>
  <w:footnote w:id="25">
    <w:p w:rsidR="007A5327" w:rsidRDefault="007A5327" w:rsidP="00CB632F">
      <w:pPr>
        <w:pStyle w:val="FootnoteText"/>
      </w:pPr>
      <w:r>
        <w:rPr>
          <w:rStyle w:val="FootnoteReference"/>
        </w:rPr>
        <w:footnoteRef/>
      </w:r>
      <w:r>
        <w:t xml:space="preserve"> It is noted that the definition of spring complexes is not consistent across jurisdictions.</w:t>
      </w:r>
    </w:p>
  </w:footnote>
  <w:footnote w:id="26">
    <w:p w:rsidR="007A5327" w:rsidRDefault="007A5327" w:rsidP="00102107">
      <w:pPr>
        <w:pStyle w:val="FootnoteText"/>
      </w:pPr>
      <w:r>
        <w:rPr>
          <w:rStyle w:val="FootnoteReference"/>
        </w:rPr>
        <w:footnoteRef/>
      </w:r>
      <w:r>
        <w:t xml:space="preserve"> For some complexes in SA and NSW, data was not available, and these were excluded from the analysis.</w:t>
      </w:r>
    </w:p>
  </w:footnote>
  <w:footnote w:id="27">
    <w:p w:rsidR="007A5327" w:rsidRDefault="007A5327" w:rsidP="00BB136E">
      <w:pPr>
        <w:pStyle w:val="FootnoteText"/>
      </w:pPr>
      <w:r>
        <w:rPr>
          <w:rStyle w:val="FootnoteReference"/>
        </w:rPr>
        <w:footnoteRef/>
      </w:r>
      <w:r>
        <w:t xml:space="preserve"> </w:t>
      </w:r>
      <w:r w:rsidRPr="00FF0EB0">
        <w:t>http://www.environment.gov.au/cgi-bin/sprat/public/publicshowcommunity.pl?id=26&amp;status=Endangered</w:t>
      </w:r>
    </w:p>
  </w:footnote>
  <w:footnote w:id="28">
    <w:p w:rsidR="007A5327" w:rsidRDefault="007A5327">
      <w:pPr>
        <w:pStyle w:val="FootnoteText"/>
      </w:pPr>
      <w:r>
        <w:rPr>
          <w:rStyle w:val="FootnoteReference"/>
        </w:rPr>
        <w:footnoteRef/>
      </w:r>
      <w:r>
        <w:t xml:space="preserve"> Refer to section </w:t>
      </w:r>
      <w:r w:rsidR="006768F1">
        <w:fldChar w:fldCharType="begin"/>
      </w:r>
      <w:r>
        <w:instrText xml:space="preserve"> REF _Ref373233967 \n \h </w:instrText>
      </w:r>
      <w:r w:rsidR="006768F1">
        <w:fldChar w:fldCharType="separate"/>
      </w:r>
      <w:r w:rsidR="00516D07">
        <w:t>4.1.2</w:t>
      </w:r>
      <w:r w:rsidR="006768F1">
        <w:fldChar w:fldCharType="end"/>
      </w:r>
      <w:r>
        <w:t xml:space="preserve"> for assumptions and approach</w:t>
      </w:r>
    </w:p>
  </w:footnote>
  <w:footnote w:id="29">
    <w:p w:rsidR="007A5327" w:rsidRDefault="007A5327">
      <w:pPr>
        <w:pStyle w:val="FootnoteText"/>
      </w:pPr>
      <w:r>
        <w:rPr>
          <w:rStyle w:val="FootnoteReference"/>
        </w:rPr>
        <w:footnoteRef/>
      </w:r>
      <w:r>
        <w:t xml:space="preserve"> Refer to section </w:t>
      </w:r>
      <w:r w:rsidR="006768F1">
        <w:fldChar w:fldCharType="begin"/>
      </w:r>
      <w:r>
        <w:instrText xml:space="preserve"> REF _Ref373233967 \n \h </w:instrText>
      </w:r>
      <w:r w:rsidR="006768F1">
        <w:fldChar w:fldCharType="separate"/>
      </w:r>
      <w:r w:rsidR="00516D07">
        <w:t>4.1.2</w:t>
      </w:r>
      <w:r w:rsidR="006768F1">
        <w:fldChar w:fldCharType="end"/>
      </w:r>
      <w:r>
        <w:t xml:space="preserve"> for assumptions and approach</w:t>
      </w:r>
    </w:p>
  </w:footnote>
  <w:footnote w:id="30">
    <w:p w:rsidR="007A5327" w:rsidRDefault="007A5327">
      <w:pPr>
        <w:pStyle w:val="FootnoteText"/>
      </w:pPr>
      <w:r>
        <w:rPr>
          <w:rStyle w:val="FootnoteReference"/>
        </w:rPr>
        <w:footnoteRef/>
      </w:r>
      <w:r>
        <w:t xml:space="preserve"> Refer to section </w:t>
      </w:r>
      <w:r w:rsidR="006768F1">
        <w:fldChar w:fldCharType="begin"/>
      </w:r>
      <w:r>
        <w:instrText xml:space="preserve"> REF _Ref373402926 \n \h </w:instrText>
      </w:r>
      <w:r w:rsidR="006768F1">
        <w:fldChar w:fldCharType="separate"/>
      </w:r>
      <w:r w:rsidR="00516D07">
        <w:t>4.5.1</w:t>
      </w:r>
      <w:r w:rsidR="006768F1">
        <w:fldChar w:fldCharType="end"/>
      </w:r>
      <w:r>
        <w:t xml:space="preserve"> for assumptions and approach</w:t>
      </w:r>
    </w:p>
  </w:footnote>
  <w:footnote w:id="31">
    <w:p w:rsidR="007A5327" w:rsidRDefault="007A5327">
      <w:pPr>
        <w:pStyle w:val="FootnoteText"/>
      </w:pPr>
      <w:r>
        <w:rPr>
          <w:rStyle w:val="FootnoteReference"/>
        </w:rPr>
        <w:footnoteRef/>
      </w:r>
      <w:r>
        <w:t xml:space="preserve"> Refer to section </w:t>
      </w:r>
      <w:r w:rsidR="006768F1">
        <w:fldChar w:fldCharType="begin"/>
      </w:r>
      <w:r>
        <w:instrText xml:space="preserve"> REF _Ref373402926 \n \h </w:instrText>
      </w:r>
      <w:r w:rsidR="006768F1">
        <w:fldChar w:fldCharType="separate"/>
      </w:r>
      <w:r w:rsidR="00516D07">
        <w:t>4.5.1</w:t>
      </w:r>
      <w:r w:rsidR="006768F1">
        <w:fldChar w:fldCharType="end"/>
      </w:r>
      <w:r>
        <w:t xml:space="preserve"> for assumptions and approach</w:t>
      </w:r>
    </w:p>
  </w:footnote>
  <w:footnote w:id="32">
    <w:p w:rsidR="007A5327" w:rsidRDefault="007A5327" w:rsidP="00960E8A">
      <w:pPr>
        <w:pStyle w:val="FootnoteText"/>
      </w:pPr>
      <w:r>
        <w:rPr>
          <w:rStyle w:val="FootnoteReference"/>
        </w:rPr>
        <w:footnoteRef/>
      </w:r>
      <w:r>
        <w:t xml:space="preserve"> Whilst not the direct objective of the GABSI, the program delivers water savings, of which at least half is returned to the basin to restore </w:t>
      </w:r>
      <w:r w:rsidRPr="005B56F1">
        <w:t xml:space="preserve">pressure. </w:t>
      </w:r>
      <w:r>
        <w:t>The remaining water saved can be re-allocated for consumptive use by the jurisdictions.</w:t>
      </w:r>
    </w:p>
  </w:footnote>
  <w:footnote w:id="33">
    <w:p w:rsidR="007A5327" w:rsidRDefault="007A5327">
      <w:pPr>
        <w:pStyle w:val="FootnoteText"/>
      </w:pPr>
      <w:r>
        <w:rPr>
          <w:rStyle w:val="FootnoteReference"/>
        </w:rPr>
        <w:footnoteRef/>
      </w:r>
      <w:r>
        <w:t xml:space="preserve"> Note that this figure also included costs for achieving communication, social, environmental, heritage and research objectives.</w:t>
      </w:r>
    </w:p>
  </w:footnote>
  <w:footnote w:id="34">
    <w:p w:rsidR="007A5327" w:rsidRDefault="007A5327" w:rsidP="00960E8A">
      <w:pPr>
        <w:pStyle w:val="FootnoteText"/>
      </w:pPr>
      <w:r>
        <w:rPr>
          <w:rStyle w:val="FootnoteReference"/>
        </w:rPr>
        <w:footnoteRef/>
      </w:r>
      <w:r>
        <w:t xml:space="preserve"> It is assumed that the initial estimate was estimated in nominal dollars from 2000-2015. This has been escalated to 2013 dollars based on annual escalation (</w:t>
      </w:r>
      <w:hyperlink r:id="rId3" w:history="1">
        <w:r w:rsidRPr="009350E8">
          <w:rPr>
            <w:rStyle w:val="Hyperlink"/>
          </w:rPr>
          <w:t>http://www.abs.gov.au/AUSSTATS/abs@.nsf/DetailsPage/6401.0Sep%202013?OpenDocument</w:t>
        </w:r>
      </w:hyperlink>
      <w:r>
        <w:rPr>
          <w:rStyle w:val="Hyperlink"/>
        </w:rPr>
        <w:t>)</w:t>
      </w:r>
    </w:p>
  </w:footnote>
  <w:footnote w:id="35">
    <w:p w:rsidR="00DF7925" w:rsidRDefault="00DF7925">
      <w:pPr>
        <w:pStyle w:val="FootnoteText"/>
      </w:pPr>
      <w:r>
        <w:rPr>
          <w:rStyle w:val="FootnoteReference"/>
        </w:rPr>
        <w:footnoteRef/>
      </w:r>
      <w:r>
        <w:t xml:space="preserve"> Refer pages 19-20 of the GAB Strategic Management Plan for more detail on the basis of these figures.</w:t>
      </w:r>
    </w:p>
  </w:footnote>
  <w:footnote w:id="36">
    <w:p w:rsidR="007A5327" w:rsidRDefault="007A5327">
      <w:pPr>
        <w:pStyle w:val="FootnoteText"/>
      </w:pPr>
      <w:r>
        <w:rPr>
          <w:rStyle w:val="FootnoteReference"/>
        </w:rPr>
        <w:footnoteRef/>
      </w:r>
      <w:r>
        <w:t xml:space="preserve"> </w:t>
      </w:r>
      <w:r w:rsidRPr="00863E1E">
        <w:t>The expenditure included only refers to capital expenditure</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7343"/>
      <w:gridCol w:w="3424"/>
    </w:tblGrid>
    <w:tr w:rsidR="007A5327" w:rsidRPr="00037461" w:rsidTr="00B40DFB">
      <w:trPr>
        <w:cantSplit/>
        <w:trHeight w:hRule="exact" w:val="1134"/>
      </w:trPr>
      <w:tc>
        <w:tcPr>
          <w:tcW w:w="3410" w:type="pct"/>
          <w:shd w:val="clear" w:color="auto" w:fill="E6E5E3"/>
          <w:vAlign w:val="center"/>
        </w:tcPr>
        <w:p w:rsidR="007A5327" w:rsidRPr="00037461" w:rsidRDefault="007A5327" w:rsidP="009B180F">
          <w:pPr>
            <w:pStyle w:val="Header"/>
          </w:pPr>
          <w:r>
            <w:rPr>
              <w:noProof/>
              <w:lang w:eastAsia="en-AU"/>
            </w:rPr>
            <w:drawing>
              <wp:anchor distT="0" distB="0" distL="114300" distR="114300" simplePos="0" relativeHeight="251661312" behindDoc="0" locked="1" layoutInCell="0" allowOverlap="0">
                <wp:simplePos x="0" y="0"/>
                <wp:positionH relativeFrom="page">
                  <wp:posOffset>5040630</wp:posOffset>
                </wp:positionH>
                <wp:positionV relativeFrom="page">
                  <wp:posOffset>360045</wp:posOffset>
                </wp:positionV>
                <wp:extent cx="1981200" cy="718820"/>
                <wp:effectExtent l="0" t="0" r="0" b="5080"/>
                <wp:wrapNone/>
                <wp:docPr id="10"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 portrait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18820"/>
                        </a:xfrm>
                        <a:prstGeom prst="rect">
                          <a:avLst/>
                        </a:prstGeom>
                        <a:solidFill>
                          <a:srgbClr val="E6E5E3"/>
                        </a:solidFill>
                      </pic:spPr>
                    </pic:pic>
                  </a:graphicData>
                </a:graphic>
              </wp:anchor>
            </w:drawing>
          </w:r>
          <w:r w:rsidRPr="00171500">
            <w:rPr>
              <w:noProof/>
              <w:lang w:eastAsia="en-AU"/>
            </w:rPr>
            <w:drawing>
              <wp:anchor distT="0" distB="0" distL="114300" distR="114300" simplePos="0" relativeHeight="251656192" behindDoc="0" locked="1" layoutInCell="0" allowOverlap="0">
                <wp:simplePos x="0" y="0"/>
                <wp:positionH relativeFrom="page">
                  <wp:posOffset>5040630</wp:posOffset>
                </wp:positionH>
                <wp:positionV relativeFrom="page">
                  <wp:posOffset>360045</wp:posOffset>
                </wp:positionV>
                <wp:extent cx="1981200" cy="718820"/>
                <wp:effectExtent l="19050" t="0" r="0" b="0"/>
                <wp:wrapNone/>
                <wp:docPr id="11" name="skm portra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981200" cy="718820"/>
                        </a:xfrm>
                        <a:prstGeom prst="rect">
                          <a:avLst/>
                        </a:prstGeom>
                        <a:solidFill>
                          <a:srgbClr val="E6E5E3"/>
                        </a:solidFill>
                      </pic:spPr>
                    </pic:pic>
                  </a:graphicData>
                </a:graphic>
              </wp:anchor>
            </w:drawing>
          </w:r>
          <w:fldSimple w:instr=" STYLEREF  &quot;Document Title&quot;  \* MERGEFORMAT ">
            <w:r w:rsidR="00516D07">
              <w:rPr>
                <w:noProof/>
              </w:rPr>
              <w:t>GABSI Value for Money Review</w:t>
            </w:r>
          </w:fldSimple>
        </w:p>
      </w:tc>
      <w:tc>
        <w:tcPr>
          <w:tcW w:w="1590" w:type="pct"/>
          <w:shd w:val="clear" w:color="auto" w:fill="E6E5E3"/>
          <w:vAlign w:val="center"/>
        </w:tcPr>
        <w:p w:rsidR="007A5327" w:rsidRPr="00037461" w:rsidRDefault="007A5327" w:rsidP="009B180F">
          <w:pPr>
            <w:spacing w:line="240" w:lineRule="auto"/>
          </w:pPr>
        </w:p>
      </w:tc>
    </w:tr>
  </w:tbl>
  <w:p w:rsidR="007A5327" w:rsidRDefault="007A53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7A5327" w:rsidRPr="00037461" w:rsidTr="00B40DFB">
      <w:trPr>
        <w:cantSplit/>
        <w:trHeight w:hRule="exact" w:val="1134"/>
      </w:trPr>
      <w:tc>
        <w:tcPr>
          <w:tcW w:w="3410" w:type="pct"/>
          <w:shd w:val="clear" w:color="auto" w:fill="E6E5E3"/>
          <w:vAlign w:val="center"/>
        </w:tcPr>
        <w:p w:rsidR="007A5327" w:rsidRPr="00037461" w:rsidRDefault="006768F1" w:rsidP="009B180F">
          <w:pPr>
            <w:pStyle w:val="Header"/>
          </w:pPr>
          <w:fldSimple w:instr=" STYLEREF  &quot;Document Title&quot;  \* MERGEFORMAT ">
            <w:r w:rsidR="0036739B">
              <w:rPr>
                <w:noProof/>
              </w:rPr>
              <w:t>GABSI Value for Money Review</w:t>
            </w:r>
          </w:fldSimple>
        </w:p>
      </w:tc>
      <w:tc>
        <w:tcPr>
          <w:tcW w:w="1590" w:type="pct"/>
          <w:shd w:val="clear" w:color="auto" w:fill="E6E5E3"/>
          <w:vAlign w:val="center"/>
        </w:tcPr>
        <w:p w:rsidR="007A5327" w:rsidRPr="00037461" w:rsidRDefault="007A5327" w:rsidP="009B180F">
          <w:pPr>
            <w:spacing w:line="240" w:lineRule="auto"/>
          </w:pPr>
          <w:r>
            <w:rPr>
              <w:noProof/>
              <w:lang w:eastAsia="en-AU"/>
            </w:rPr>
            <w:drawing>
              <wp:anchor distT="0" distB="0" distL="114300" distR="114300" simplePos="0" relativeHeight="251677696" behindDoc="0" locked="1" layoutInCell="0" allowOverlap="0">
                <wp:simplePos x="0" y="0"/>
                <wp:positionH relativeFrom="page">
                  <wp:posOffset>5033010</wp:posOffset>
                </wp:positionH>
                <wp:positionV relativeFrom="page">
                  <wp:posOffset>363220</wp:posOffset>
                </wp:positionV>
                <wp:extent cx="1981200" cy="7188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18820"/>
                        </a:xfrm>
                        <a:prstGeom prst="rect">
                          <a:avLst/>
                        </a:prstGeom>
                        <a:solidFill>
                          <a:srgbClr val="E6E5E3"/>
                        </a:solidFill>
                      </pic:spPr>
                    </pic:pic>
                  </a:graphicData>
                </a:graphic>
              </wp:anchor>
            </w:drawing>
          </w:r>
        </w:p>
      </w:tc>
    </w:tr>
  </w:tbl>
  <w:p w:rsidR="007A5327" w:rsidRDefault="007A532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574" w:type="pct"/>
      <w:tblCellMar>
        <w:left w:w="0" w:type="dxa"/>
        <w:right w:w="0" w:type="dxa"/>
      </w:tblCellMar>
      <w:tblLook w:val="04A0"/>
    </w:tblPr>
    <w:tblGrid>
      <w:gridCol w:w="7088"/>
    </w:tblGrid>
    <w:tr w:rsidR="007A5327" w:rsidRPr="00037461" w:rsidTr="00AC4AA0">
      <w:trPr>
        <w:cantSplit/>
        <w:trHeight w:hRule="exact" w:val="1134"/>
      </w:trPr>
      <w:tc>
        <w:tcPr>
          <w:tcW w:w="5000" w:type="pct"/>
          <w:shd w:val="clear" w:color="auto" w:fill="E6E5E3"/>
          <w:vAlign w:val="center"/>
        </w:tcPr>
        <w:p w:rsidR="007A5327" w:rsidRPr="00037461" w:rsidRDefault="007A5327" w:rsidP="00D82B1A">
          <w:pPr>
            <w:pStyle w:val="Header"/>
          </w:pPr>
          <w:r>
            <w:rPr>
              <w:noProof/>
              <w:lang w:eastAsia="en-AU"/>
            </w:rPr>
            <w:drawing>
              <wp:anchor distT="0" distB="0" distL="114300" distR="114300" simplePos="0" relativeHeight="251675648" behindDoc="0" locked="1" layoutInCell="0" allowOverlap="0">
                <wp:simplePos x="0" y="0"/>
                <wp:positionH relativeFrom="page">
                  <wp:posOffset>5040630</wp:posOffset>
                </wp:positionH>
                <wp:positionV relativeFrom="page">
                  <wp:posOffset>360045</wp:posOffset>
                </wp:positionV>
                <wp:extent cx="1981200" cy="7188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18820"/>
                        </a:xfrm>
                        <a:prstGeom prst="rect">
                          <a:avLst/>
                        </a:prstGeom>
                        <a:solidFill>
                          <a:srgbClr val="E6E5E3"/>
                        </a:solidFill>
                      </pic:spPr>
                    </pic:pic>
                  </a:graphicData>
                </a:graphic>
              </wp:anchor>
            </w:drawing>
          </w:r>
          <w:fldSimple w:instr=" STYLEREF  &quot;Document Title&quot;  \* MERGEFORMAT ">
            <w:r w:rsidR="0036739B">
              <w:rPr>
                <w:noProof/>
              </w:rPr>
              <w:t>GABSI Value for Money Review</w:t>
            </w:r>
          </w:fldSimple>
        </w:p>
      </w:tc>
    </w:tr>
  </w:tbl>
  <w:p w:rsidR="007A5327" w:rsidRDefault="007A53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2" w:type="pct"/>
      <w:tblCellMar>
        <w:left w:w="0" w:type="dxa"/>
        <w:right w:w="0" w:type="dxa"/>
      </w:tblCellMar>
      <w:tblLook w:val="04A0"/>
    </w:tblPr>
    <w:tblGrid>
      <w:gridCol w:w="15027"/>
    </w:tblGrid>
    <w:tr w:rsidR="007A5327" w:rsidRPr="00037461" w:rsidTr="00FF01ED">
      <w:trPr>
        <w:cantSplit/>
        <w:trHeight w:hRule="exact" w:val="1134"/>
      </w:trPr>
      <w:tc>
        <w:tcPr>
          <w:tcW w:w="5000" w:type="pct"/>
          <w:shd w:val="clear" w:color="auto" w:fill="E6E5E3"/>
          <w:vAlign w:val="center"/>
        </w:tcPr>
        <w:p w:rsidR="007A5327" w:rsidRPr="00037461" w:rsidRDefault="007A5327" w:rsidP="00D82B1A">
          <w:pPr>
            <w:pStyle w:val="Header"/>
          </w:pPr>
          <w:r>
            <w:rPr>
              <w:noProof/>
              <w:lang w:eastAsia="en-AU"/>
            </w:rPr>
            <w:drawing>
              <wp:anchor distT="0" distB="0" distL="114300" distR="114300" simplePos="0" relativeHeight="251673600" behindDoc="0" locked="1" layoutInCell="0" allowOverlap="0">
                <wp:simplePos x="0" y="0"/>
                <wp:positionH relativeFrom="page">
                  <wp:posOffset>8102600</wp:posOffset>
                </wp:positionH>
                <wp:positionV relativeFrom="page">
                  <wp:posOffset>360045</wp:posOffset>
                </wp:positionV>
                <wp:extent cx="1981200" cy="7188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18820"/>
                        </a:xfrm>
                        <a:prstGeom prst="rect">
                          <a:avLst/>
                        </a:prstGeom>
                        <a:solidFill>
                          <a:srgbClr val="E6E5E3"/>
                        </a:solidFill>
                      </pic:spPr>
                    </pic:pic>
                  </a:graphicData>
                </a:graphic>
              </wp:anchor>
            </w:drawing>
          </w:r>
          <w:fldSimple w:instr=" STYLEREF  &quot;Document Title&quot;  \* MERGEFORMAT ">
            <w:r w:rsidR="0036739B">
              <w:rPr>
                <w:noProof/>
              </w:rPr>
              <w:t>GABSI Value for Money Review</w:t>
            </w:r>
          </w:fldSimple>
        </w:p>
      </w:tc>
    </w:tr>
  </w:tbl>
  <w:p w:rsidR="007A5327" w:rsidRDefault="007A532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574" w:type="pct"/>
      <w:tblCellMar>
        <w:left w:w="0" w:type="dxa"/>
        <w:right w:w="0" w:type="dxa"/>
      </w:tblCellMar>
      <w:tblLook w:val="04A0"/>
    </w:tblPr>
    <w:tblGrid>
      <w:gridCol w:w="7088"/>
    </w:tblGrid>
    <w:tr w:rsidR="007A5327" w:rsidRPr="00037461" w:rsidTr="00AC4AA0">
      <w:trPr>
        <w:cantSplit/>
        <w:trHeight w:hRule="exact" w:val="1134"/>
      </w:trPr>
      <w:tc>
        <w:tcPr>
          <w:tcW w:w="5000" w:type="pct"/>
          <w:shd w:val="clear" w:color="auto" w:fill="E6E5E3"/>
          <w:vAlign w:val="center"/>
        </w:tcPr>
        <w:p w:rsidR="007A5327" w:rsidRPr="00037461" w:rsidRDefault="007A5327" w:rsidP="00D82B1A">
          <w:pPr>
            <w:pStyle w:val="Header"/>
          </w:pPr>
          <w:r>
            <w:rPr>
              <w:noProof/>
              <w:lang w:eastAsia="en-AU"/>
            </w:rPr>
            <w:drawing>
              <wp:anchor distT="0" distB="0" distL="114300" distR="114300" simplePos="0" relativeHeight="251671552" behindDoc="0" locked="1" layoutInCell="0" allowOverlap="0">
                <wp:simplePos x="0" y="0"/>
                <wp:positionH relativeFrom="page">
                  <wp:posOffset>5040630</wp:posOffset>
                </wp:positionH>
                <wp:positionV relativeFrom="page">
                  <wp:posOffset>360045</wp:posOffset>
                </wp:positionV>
                <wp:extent cx="1981200" cy="7188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18820"/>
                        </a:xfrm>
                        <a:prstGeom prst="rect">
                          <a:avLst/>
                        </a:prstGeom>
                        <a:solidFill>
                          <a:srgbClr val="E6E5E3"/>
                        </a:solidFill>
                      </pic:spPr>
                    </pic:pic>
                  </a:graphicData>
                </a:graphic>
              </wp:anchor>
            </w:drawing>
          </w:r>
          <w:fldSimple w:instr=" STYLEREF  &quot;Document Title&quot;  \* MERGEFORMAT ">
            <w:r w:rsidR="0036739B">
              <w:rPr>
                <w:noProof/>
              </w:rPr>
              <w:t>GABSI Value for Money Review</w:t>
            </w:r>
          </w:fldSimple>
        </w:p>
      </w:tc>
    </w:tr>
  </w:tbl>
  <w:p w:rsidR="007A5327" w:rsidRDefault="007A532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6763"/>
      <w:gridCol w:w="3153"/>
    </w:tblGrid>
    <w:tr w:rsidR="007A5327" w:rsidRPr="00037461" w:rsidTr="00403244">
      <w:trPr>
        <w:cantSplit/>
        <w:trHeight w:hRule="exact" w:val="1134"/>
      </w:trPr>
      <w:tc>
        <w:tcPr>
          <w:tcW w:w="3410" w:type="pct"/>
          <w:shd w:val="clear" w:color="auto" w:fill="E6E5E3"/>
          <w:vAlign w:val="center"/>
        </w:tcPr>
        <w:p w:rsidR="007A5327" w:rsidRPr="00037461" w:rsidRDefault="007A5327" w:rsidP="00403244">
          <w:pPr>
            <w:pStyle w:val="Header"/>
          </w:pPr>
          <w:r>
            <w:rPr>
              <w:noProof/>
              <w:lang w:eastAsia="en-AU"/>
            </w:rPr>
            <w:drawing>
              <wp:anchor distT="0" distB="0" distL="114300" distR="114300" simplePos="0" relativeHeight="251665408" behindDoc="0" locked="1" layoutInCell="0" allowOverlap="0">
                <wp:simplePos x="0" y="0"/>
                <wp:positionH relativeFrom="page">
                  <wp:posOffset>5040630</wp:posOffset>
                </wp:positionH>
                <wp:positionV relativeFrom="page">
                  <wp:posOffset>360045</wp:posOffset>
                </wp:positionV>
                <wp:extent cx="1981200" cy="718820"/>
                <wp:effectExtent l="0" t="0" r="0" b="508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18820"/>
                        </a:xfrm>
                        <a:prstGeom prst="rect">
                          <a:avLst/>
                        </a:prstGeom>
                        <a:solidFill>
                          <a:srgbClr val="E6E5E3"/>
                        </a:solidFill>
                      </pic:spPr>
                    </pic:pic>
                  </a:graphicData>
                </a:graphic>
              </wp:anchor>
            </w:drawing>
          </w:r>
          <w:fldSimple w:instr=" STYLEREF  &quot;Document Title&quot;  \* MERGEFORMAT ">
            <w:r w:rsidR="0036739B">
              <w:rPr>
                <w:noProof/>
              </w:rPr>
              <w:t>GABSI Value for Money Review</w:t>
            </w:r>
          </w:fldSimple>
        </w:p>
      </w:tc>
      <w:tc>
        <w:tcPr>
          <w:tcW w:w="1590" w:type="pct"/>
          <w:shd w:val="clear" w:color="auto" w:fill="E6E5E3"/>
          <w:vAlign w:val="center"/>
        </w:tcPr>
        <w:p w:rsidR="007A5327" w:rsidRPr="00037461" w:rsidRDefault="007A5327" w:rsidP="00403244">
          <w:pPr>
            <w:spacing w:line="240" w:lineRule="auto"/>
          </w:pPr>
        </w:p>
      </w:tc>
    </w:tr>
  </w:tbl>
  <w:p w:rsidR="007A5327" w:rsidRDefault="007A53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669E8C"/>
    <w:lvl w:ilvl="0">
      <w:start w:val="1"/>
      <w:numFmt w:val="bullet"/>
      <w:lvlText w:val=""/>
      <w:lvlJc w:val="left"/>
      <w:pPr>
        <w:tabs>
          <w:tab w:val="num" w:pos="360"/>
        </w:tabs>
        <w:ind w:left="360" w:hanging="360"/>
      </w:pPr>
      <w:rPr>
        <w:rFonts w:ascii="Symbol" w:hAnsi="Symbol" w:hint="default"/>
      </w:rPr>
    </w:lvl>
  </w:abstractNum>
  <w:abstractNum w:abstractNumId="1">
    <w:nsid w:val="009574DE"/>
    <w:multiLevelType w:val="hybridMultilevel"/>
    <w:tmpl w:val="6A14EC84"/>
    <w:lvl w:ilvl="0" w:tplc="23CA8436">
      <w:start w:val="1"/>
      <w:numFmt w:val="decimal"/>
      <w:pStyle w:val="Para1number"/>
      <w:lvlText w:val="%1)"/>
      <w:lvlJc w:val="left"/>
      <w:pPr>
        <w:ind w:left="785" w:hanging="360"/>
      </w:pPr>
    </w:lvl>
    <w:lvl w:ilvl="1" w:tplc="0C090019">
      <w:start w:val="1"/>
      <w:numFmt w:val="lowerLetter"/>
      <w:pStyle w:val="Para1numb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
    <w:nsid w:val="05D44D75"/>
    <w:multiLevelType w:val="multilevel"/>
    <w:tmpl w:val="FDAEC1E8"/>
    <w:styleLink w:val="SKMNumberedList2"/>
    <w:lvl w:ilvl="0">
      <w:start w:val="1"/>
      <w:numFmt w:val="lowerLetter"/>
      <w:pStyle w:val="Para0letter"/>
      <w:lvlText w:val="%1)"/>
      <w:lvlJc w:val="left"/>
      <w:pPr>
        <w:ind w:left="425" w:hanging="425"/>
      </w:pPr>
      <w:rPr>
        <w:rFonts w:hint="default"/>
      </w:rPr>
    </w:lvl>
    <w:lvl w:ilvl="1">
      <w:start w:val="1"/>
      <w:numFmt w:val="lowerRoman"/>
      <w:pStyle w:val="Para1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nsid w:val="09CF0B20"/>
    <w:multiLevelType w:val="hybridMultilevel"/>
    <w:tmpl w:val="54BADBDC"/>
    <w:lvl w:ilvl="0" w:tplc="5EE28D14">
      <w:start w:val="1"/>
      <w:numFmt w:val="bullet"/>
      <w:pStyle w:val="ContentBulletsArrow"/>
      <w:lvlText w:val="&gt;"/>
      <w:lvlJc w:val="left"/>
      <w:pPr>
        <w:ind w:left="4298" w:hanging="851"/>
      </w:pPr>
      <w:rPr>
        <w:rFonts w:ascii="Arial" w:hAnsi="Arial" w:hint="default"/>
      </w:rPr>
    </w:lvl>
    <w:lvl w:ilvl="1" w:tplc="B86CB734" w:tentative="1">
      <w:start w:val="1"/>
      <w:numFmt w:val="bullet"/>
      <w:lvlText w:val="o"/>
      <w:lvlJc w:val="left"/>
      <w:pPr>
        <w:ind w:left="5171" w:hanging="360"/>
      </w:pPr>
      <w:rPr>
        <w:rFonts w:ascii="Courier New" w:hAnsi="Courier New" w:hint="default"/>
      </w:rPr>
    </w:lvl>
    <w:lvl w:ilvl="2" w:tplc="B8589A72" w:tentative="1">
      <w:start w:val="1"/>
      <w:numFmt w:val="bullet"/>
      <w:lvlText w:val=""/>
      <w:lvlJc w:val="left"/>
      <w:pPr>
        <w:ind w:left="5891" w:hanging="360"/>
      </w:pPr>
      <w:rPr>
        <w:rFonts w:ascii="Wingdings" w:hAnsi="Wingdings" w:hint="default"/>
      </w:rPr>
    </w:lvl>
    <w:lvl w:ilvl="3" w:tplc="B7F25050" w:tentative="1">
      <w:start w:val="1"/>
      <w:numFmt w:val="bullet"/>
      <w:lvlText w:val=""/>
      <w:lvlJc w:val="left"/>
      <w:pPr>
        <w:ind w:left="6611" w:hanging="360"/>
      </w:pPr>
      <w:rPr>
        <w:rFonts w:ascii="Symbol" w:hAnsi="Symbol" w:hint="default"/>
      </w:rPr>
    </w:lvl>
    <w:lvl w:ilvl="4" w:tplc="72129208" w:tentative="1">
      <w:start w:val="1"/>
      <w:numFmt w:val="bullet"/>
      <w:lvlText w:val="o"/>
      <w:lvlJc w:val="left"/>
      <w:pPr>
        <w:ind w:left="7331" w:hanging="360"/>
      </w:pPr>
      <w:rPr>
        <w:rFonts w:ascii="Courier New" w:hAnsi="Courier New" w:hint="default"/>
      </w:rPr>
    </w:lvl>
    <w:lvl w:ilvl="5" w:tplc="CDFCB31A" w:tentative="1">
      <w:start w:val="1"/>
      <w:numFmt w:val="bullet"/>
      <w:lvlText w:val=""/>
      <w:lvlJc w:val="left"/>
      <w:pPr>
        <w:ind w:left="8051" w:hanging="360"/>
      </w:pPr>
      <w:rPr>
        <w:rFonts w:ascii="Wingdings" w:hAnsi="Wingdings" w:hint="default"/>
      </w:rPr>
    </w:lvl>
    <w:lvl w:ilvl="6" w:tplc="9B2C7838" w:tentative="1">
      <w:start w:val="1"/>
      <w:numFmt w:val="bullet"/>
      <w:lvlText w:val=""/>
      <w:lvlJc w:val="left"/>
      <w:pPr>
        <w:ind w:left="8771" w:hanging="360"/>
      </w:pPr>
      <w:rPr>
        <w:rFonts w:ascii="Symbol" w:hAnsi="Symbol" w:hint="default"/>
      </w:rPr>
    </w:lvl>
    <w:lvl w:ilvl="7" w:tplc="5E2E5F02" w:tentative="1">
      <w:start w:val="1"/>
      <w:numFmt w:val="bullet"/>
      <w:lvlText w:val="o"/>
      <w:lvlJc w:val="left"/>
      <w:pPr>
        <w:ind w:left="9491" w:hanging="360"/>
      </w:pPr>
      <w:rPr>
        <w:rFonts w:ascii="Courier New" w:hAnsi="Courier New" w:hint="default"/>
      </w:rPr>
    </w:lvl>
    <w:lvl w:ilvl="8" w:tplc="4DB0F0CC" w:tentative="1">
      <w:start w:val="1"/>
      <w:numFmt w:val="bullet"/>
      <w:lvlText w:val=""/>
      <w:lvlJc w:val="left"/>
      <w:pPr>
        <w:ind w:left="10211" w:hanging="360"/>
      </w:pPr>
      <w:rPr>
        <w:rFonts w:ascii="Wingdings" w:hAnsi="Wingdings" w:hint="default"/>
      </w:rPr>
    </w:lvl>
  </w:abstractNum>
  <w:abstractNum w:abstractNumId="4">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6">
    <w:nsid w:val="13D220C7"/>
    <w:multiLevelType w:val="multilevel"/>
    <w:tmpl w:val="3BA44F1A"/>
    <w:numStyleLink w:val="SKMTableList1"/>
  </w:abstractNum>
  <w:abstractNum w:abstractNumId="7">
    <w:nsid w:val="15156EB2"/>
    <w:multiLevelType w:val="multilevel"/>
    <w:tmpl w:val="38708548"/>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8">
    <w:nsid w:val="17C10C25"/>
    <w:multiLevelType w:val="multilevel"/>
    <w:tmpl w:val="7AD4B26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9">
    <w:nsid w:val="1B734245"/>
    <w:multiLevelType w:val="multilevel"/>
    <w:tmpl w:val="7AD4B26A"/>
    <w:numStyleLink w:val="SKMBulletList1"/>
  </w:abstractNum>
  <w:abstractNum w:abstractNumId="10">
    <w:nsid w:val="20A93BB0"/>
    <w:multiLevelType w:val="multilevel"/>
    <w:tmpl w:val="403A3D04"/>
    <w:styleLink w:val="SKMNumberedList1"/>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1">
    <w:nsid w:val="2319309A"/>
    <w:multiLevelType w:val="multilevel"/>
    <w:tmpl w:val="4AEE2348"/>
    <w:styleLink w:val="SKMSmallTableList1"/>
    <w:lvl w:ilvl="0">
      <w:start w:val="1"/>
      <w:numFmt w:va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2">
    <w:nsid w:val="28FC79E3"/>
    <w:multiLevelType w:val="hybridMultilevel"/>
    <w:tmpl w:val="AF40D4F8"/>
    <w:lvl w:ilvl="0" w:tplc="DB0A9180">
      <w:start w:val="1"/>
      <w:numFmt w:val="lowerLetter"/>
      <w:pStyle w:val="Para2letter"/>
      <w:lvlText w:val="%1)"/>
      <w:lvlJc w:val="left"/>
      <w:pPr>
        <w:ind w:left="1211" w:hanging="360"/>
      </w:pPr>
    </w:lvl>
    <w:lvl w:ilvl="1" w:tplc="60E23372">
      <w:start w:val="1"/>
      <w:numFmt w:val="lowerLetter"/>
      <w:pStyle w:val="Para2letter"/>
      <w:lvlText w:val="%2."/>
      <w:lvlJc w:val="left"/>
      <w:pPr>
        <w:ind w:left="2574" w:hanging="360"/>
      </w:pPr>
    </w:lvl>
    <w:lvl w:ilvl="2" w:tplc="FBEACC5E" w:tentative="1">
      <w:start w:val="1"/>
      <w:numFmt w:val="lowerRoman"/>
      <w:pStyle w:val="Para2letter"/>
      <w:lvlText w:val="%3."/>
      <w:lvlJc w:val="right"/>
      <w:pPr>
        <w:ind w:left="3294" w:hanging="180"/>
      </w:pPr>
    </w:lvl>
    <w:lvl w:ilvl="3" w:tplc="BE6A71DC" w:tentative="1">
      <w:start w:val="1"/>
      <w:numFmt w:val="decimal"/>
      <w:lvlText w:val="%4."/>
      <w:lvlJc w:val="left"/>
      <w:pPr>
        <w:ind w:left="4014" w:hanging="360"/>
      </w:pPr>
    </w:lvl>
    <w:lvl w:ilvl="4" w:tplc="86CCA27C" w:tentative="1">
      <w:start w:val="1"/>
      <w:numFmt w:val="lowerLetter"/>
      <w:lvlText w:val="%5."/>
      <w:lvlJc w:val="left"/>
      <w:pPr>
        <w:ind w:left="4734" w:hanging="360"/>
      </w:pPr>
    </w:lvl>
    <w:lvl w:ilvl="5" w:tplc="004E30FC" w:tentative="1">
      <w:start w:val="1"/>
      <w:numFmt w:val="lowerRoman"/>
      <w:lvlText w:val="%6."/>
      <w:lvlJc w:val="right"/>
      <w:pPr>
        <w:ind w:left="5454" w:hanging="180"/>
      </w:pPr>
    </w:lvl>
    <w:lvl w:ilvl="6" w:tplc="A4E8EB02" w:tentative="1">
      <w:start w:val="1"/>
      <w:numFmt w:val="decimal"/>
      <w:lvlText w:val="%7."/>
      <w:lvlJc w:val="left"/>
      <w:pPr>
        <w:ind w:left="6174" w:hanging="360"/>
      </w:pPr>
    </w:lvl>
    <w:lvl w:ilvl="7" w:tplc="4E0E0006" w:tentative="1">
      <w:start w:val="1"/>
      <w:numFmt w:val="lowerLetter"/>
      <w:lvlText w:val="%8."/>
      <w:lvlJc w:val="left"/>
      <w:pPr>
        <w:ind w:left="6894" w:hanging="360"/>
      </w:pPr>
    </w:lvl>
    <w:lvl w:ilvl="8" w:tplc="4134E1DC" w:tentative="1">
      <w:start w:val="1"/>
      <w:numFmt w:val="lowerRoman"/>
      <w:lvlText w:val="%9."/>
      <w:lvlJc w:val="right"/>
      <w:pPr>
        <w:ind w:left="7614" w:hanging="180"/>
      </w:pPr>
    </w:lvl>
  </w:abstractNum>
  <w:abstractNum w:abstractNumId="13">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4">
    <w:nsid w:val="2AFC3193"/>
    <w:multiLevelType w:val="hybridMultilevel"/>
    <w:tmpl w:val="AC8AB024"/>
    <w:lvl w:ilvl="0" w:tplc="5B8461F4">
      <w:start w:val="1"/>
      <w:numFmt w:val="lowerLetter"/>
      <w:pStyle w:val="ContentBulletsLetter"/>
      <w:lvlText w:val="%1)"/>
      <w:lvlJc w:val="left"/>
      <w:pPr>
        <w:ind w:left="1418" w:hanging="851"/>
      </w:pPr>
      <w:rPr>
        <w:rFonts w:hint="default"/>
      </w:rPr>
    </w:lvl>
    <w:lvl w:ilvl="1" w:tplc="612C4DD4">
      <w:start w:val="1"/>
      <w:numFmt w:val="lowerLetter"/>
      <w:lvlText w:val="%2."/>
      <w:lvlJc w:val="left"/>
      <w:pPr>
        <w:ind w:left="1440" w:hanging="360"/>
      </w:pPr>
    </w:lvl>
    <w:lvl w:ilvl="2" w:tplc="0BC84CA2" w:tentative="1">
      <w:start w:val="1"/>
      <w:numFmt w:val="lowerRoman"/>
      <w:lvlText w:val="%3."/>
      <w:lvlJc w:val="right"/>
      <w:pPr>
        <w:ind w:left="2160" w:hanging="180"/>
      </w:pPr>
    </w:lvl>
    <w:lvl w:ilvl="3" w:tplc="65EEDE18" w:tentative="1">
      <w:start w:val="1"/>
      <w:numFmt w:val="decimal"/>
      <w:lvlText w:val="%4."/>
      <w:lvlJc w:val="left"/>
      <w:pPr>
        <w:ind w:left="2880" w:hanging="360"/>
      </w:pPr>
    </w:lvl>
    <w:lvl w:ilvl="4" w:tplc="EA86A24E" w:tentative="1">
      <w:start w:val="1"/>
      <w:numFmt w:val="lowerLetter"/>
      <w:lvlText w:val="%5."/>
      <w:lvlJc w:val="left"/>
      <w:pPr>
        <w:ind w:left="3600" w:hanging="360"/>
      </w:pPr>
    </w:lvl>
    <w:lvl w:ilvl="5" w:tplc="3118B74A" w:tentative="1">
      <w:start w:val="1"/>
      <w:numFmt w:val="lowerRoman"/>
      <w:lvlText w:val="%6."/>
      <w:lvlJc w:val="right"/>
      <w:pPr>
        <w:ind w:left="4320" w:hanging="180"/>
      </w:pPr>
    </w:lvl>
    <w:lvl w:ilvl="6" w:tplc="32CE642A" w:tentative="1">
      <w:start w:val="1"/>
      <w:numFmt w:val="decimal"/>
      <w:lvlText w:val="%7."/>
      <w:lvlJc w:val="left"/>
      <w:pPr>
        <w:ind w:left="5040" w:hanging="360"/>
      </w:pPr>
    </w:lvl>
    <w:lvl w:ilvl="7" w:tplc="34981928" w:tentative="1">
      <w:start w:val="1"/>
      <w:numFmt w:val="lowerLetter"/>
      <w:lvlText w:val="%8."/>
      <w:lvlJc w:val="left"/>
      <w:pPr>
        <w:ind w:left="5760" w:hanging="360"/>
      </w:pPr>
    </w:lvl>
    <w:lvl w:ilvl="8" w:tplc="5ACE0CFA" w:tentative="1">
      <w:start w:val="1"/>
      <w:numFmt w:val="lowerRoman"/>
      <w:lvlText w:val="%9."/>
      <w:lvlJc w:val="right"/>
      <w:pPr>
        <w:ind w:left="6480" w:hanging="180"/>
      </w:pPr>
    </w:lvl>
  </w:abstractNum>
  <w:abstractNum w:abstractNumId="15">
    <w:nsid w:val="2D8910C9"/>
    <w:multiLevelType w:val="multilevel"/>
    <w:tmpl w:val="FDAEC1E8"/>
    <w:numStyleLink w:val="SKMNumberedList2"/>
  </w:abstractNum>
  <w:abstractNum w:abstractNumId="16">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7">
    <w:nsid w:val="34555BA7"/>
    <w:multiLevelType w:val="hybridMultilevel"/>
    <w:tmpl w:val="1BB093FC"/>
    <w:lvl w:ilvl="0" w:tplc="5E5C849A">
      <w:start w:val="1"/>
      <w:numFmt w:val="lowerRoman"/>
      <w:pStyle w:val="ContentBulletsRomanNumeral"/>
      <w:lvlText w:val="%1."/>
      <w:lvlJc w:val="left"/>
      <w:pPr>
        <w:ind w:left="1418" w:hanging="851"/>
      </w:pPr>
      <w:rPr>
        <w:rFonts w:hint="default"/>
      </w:rPr>
    </w:lvl>
    <w:lvl w:ilvl="1" w:tplc="ACEA4036" w:tentative="1">
      <w:start w:val="1"/>
      <w:numFmt w:val="bullet"/>
      <w:lvlText w:val="o"/>
      <w:lvlJc w:val="left"/>
      <w:pPr>
        <w:ind w:left="1440" w:hanging="360"/>
      </w:pPr>
      <w:rPr>
        <w:rFonts w:ascii="Courier New" w:hAnsi="Courier New" w:hint="default"/>
      </w:rPr>
    </w:lvl>
    <w:lvl w:ilvl="2" w:tplc="E9B2124C" w:tentative="1">
      <w:start w:val="1"/>
      <w:numFmt w:val="bullet"/>
      <w:lvlText w:val=""/>
      <w:lvlJc w:val="left"/>
      <w:pPr>
        <w:ind w:left="2160" w:hanging="360"/>
      </w:pPr>
      <w:rPr>
        <w:rFonts w:ascii="Wingdings" w:hAnsi="Wingdings" w:hint="default"/>
      </w:rPr>
    </w:lvl>
    <w:lvl w:ilvl="3" w:tplc="2BAA7224" w:tentative="1">
      <w:start w:val="1"/>
      <w:numFmt w:val="bullet"/>
      <w:lvlText w:val=""/>
      <w:lvlJc w:val="left"/>
      <w:pPr>
        <w:ind w:left="2880" w:hanging="360"/>
      </w:pPr>
      <w:rPr>
        <w:rFonts w:ascii="Symbol" w:hAnsi="Symbol" w:hint="default"/>
      </w:rPr>
    </w:lvl>
    <w:lvl w:ilvl="4" w:tplc="658646A0" w:tentative="1">
      <w:start w:val="1"/>
      <w:numFmt w:val="bullet"/>
      <w:lvlText w:val="o"/>
      <w:lvlJc w:val="left"/>
      <w:pPr>
        <w:ind w:left="3600" w:hanging="360"/>
      </w:pPr>
      <w:rPr>
        <w:rFonts w:ascii="Courier New" w:hAnsi="Courier New" w:hint="default"/>
      </w:rPr>
    </w:lvl>
    <w:lvl w:ilvl="5" w:tplc="FAA89E7E" w:tentative="1">
      <w:start w:val="1"/>
      <w:numFmt w:val="bullet"/>
      <w:lvlText w:val=""/>
      <w:lvlJc w:val="left"/>
      <w:pPr>
        <w:ind w:left="4320" w:hanging="360"/>
      </w:pPr>
      <w:rPr>
        <w:rFonts w:ascii="Wingdings" w:hAnsi="Wingdings" w:hint="default"/>
      </w:rPr>
    </w:lvl>
    <w:lvl w:ilvl="6" w:tplc="C9FA3868" w:tentative="1">
      <w:start w:val="1"/>
      <w:numFmt w:val="bullet"/>
      <w:lvlText w:val=""/>
      <w:lvlJc w:val="left"/>
      <w:pPr>
        <w:ind w:left="5040" w:hanging="360"/>
      </w:pPr>
      <w:rPr>
        <w:rFonts w:ascii="Symbol" w:hAnsi="Symbol" w:hint="default"/>
      </w:rPr>
    </w:lvl>
    <w:lvl w:ilvl="7" w:tplc="43E2B6BC" w:tentative="1">
      <w:start w:val="1"/>
      <w:numFmt w:val="bullet"/>
      <w:lvlText w:val="o"/>
      <w:lvlJc w:val="left"/>
      <w:pPr>
        <w:ind w:left="5760" w:hanging="360"/>
      </w:pPr>
      <w:rPr>
        <w:rFonts w:ascii="Courier New" w:hAnsi="Courier New" w:hint="default"/>
      </w:rPr>
    </w:lvl>
    <w:lvl w:ilvl="8" w:tplc="B8ECE23E" w:tentative="1">
      <w:start w:val="1"/>
      <w:numFmt w:val="bullet"/>
      <w:lvlText w:val=""/>
      <w:lvlJc w:val="left"/>
      <w:pPr>
        <w:ind w:left="6480" w:hanging="360"/>
      </w:pPr>
      <w:rPr>
        <w:rFonts w:ascii="Wingdings" w:hAnsi="Wingdings" w:hint="default"/>
      </w:rPr>
    </w:lvl>
  </w:abstractNum>
  <w:abstractNum w:abstractNumId="18">
    <w:nsid w:val="3AD53A78"/>
    <w:multiLevelType w:val="hybridMultilevel"/>
    <w:tmpl w:val="BA422C3C"/>
    <w:lvl w:ilvl="0" w:tplc="F8EE6AEA">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3D116354"/>
    <w:multiLevelType w:val="multilevel"/>
    <w:tmpl w:val="BA62B030"/>
    <w:styleLink w:val="SKMBulletList2"/>
    <w:lvl w:ilvl="0">
      <w:start w:val="1"/>
      <w:numFmt w:val="bullet"/>
      <w:pStyle w:val="Para0dash"/>
      <w:lvlText w:val="-"/>
      <w:lvlJc w:val="left"/>
      <w:pPr>
        <w:ind w:left="425" w:hanging="425"/>
      </w:pPr>
      <w:rPr>
        <w:rFonts w:ascii="Arial" w:hAnsi="Arial" w:hint="default"/>
        <w:color w:val="42145F"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20">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21">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2">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nsid w:val="451A3559"/>
    <w:multiLevelType w:val="multilevel"/>
    <w:tmpl w:val="38708548"/>
    <w:numStyleLink w:val="SKMNumberedList3"/>
  </w:abstractNum>
  <w:abstractNum w:abstractNumId="24">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5">
    <w:nsid w:val="495D4230"/>
    <w:multiLevelType w:val="hybridMultilevel"/>
    <w:tmpl w:val="AF445426"/>
    <w:lvl w:ilvl="0" w:tplc="D750B6E8">
      <w:start w:val="1"/>
      <w:numFmt w:val="bullet"/>
      <w:pStyle w:val="Para2bullet"/>
      <w:lvlText w:val=""/>
      <w:lvlJc w:val="left"/>
      <w:pPr>
        <w:ind w:left="1211" w:hanging="360"/>
      </w:pPr>
      <w:rPr>
        <w:rFonts w:ascii="Symbol" w:hAnsi="Symbol" w:hint="default"/>
        <w:sz w:val="18"/>
      </w:rPr>
    </w:lvl>
    <w:lvl w:ilvl="1" w:tplc="8F08BDCE">
      <w:start w:val="1"/>
      <w:numFmt w:val="bullet"/>
      <w:pStyle w:val="Para2bullet"/>
      <w:lvlText w:val="o"/>
      <w:lvlJc w:val="left"/>
      <w:pPr>
        <w:ind w:left="2574" w:hanging="360"/>
      </w:pPr>
      <w:rPr>
        <w:rFonts w:ascii="Courier New" w:hAnsi="Courier New" w:cs="Courier New" w:hint="default"/>
      </w:rPr>
    </w:lvl>
    <w:lvl w:ilvl="2" w:tplc="08808A0E" w:tentative="1">
      <w:start w:val="1"/>
      <w:numFmt w:val="bullet"/>
      <w:lvlText w:val=""/>
      <w:lvlJc w:val="left"/>
      <w:pPr>
        <w:ind w:left="3294" w:hanging="360"/>
      </w:pPr>
      <w:rPr>
        <w:rFonts w:ascii="Wingdings" w:hAnsi="Wingdings" w:hint="default"/>
      </w:rPr>
    </w:lvl>
    <w:lvl w:ilvl="3" w:tplc="D74C1580" w:tentative="1">
      <w:start w:val="1"/>
      <w:numFmt w:val="bullet"/>
      <w:lvlText w:val=""/>
      <w:lvlJc w:val="left"/>
      <w:pPr>
        <w:ind w:left="4014" w:hanging="360"/>
      </w:pPr>
      <w:rPr>
        <w:rFonts w:ascii="Symbol" w:hAnsi="Symbol" w:hint="default"/>
      </w:rPr>
    </w:lvl>
    <w:lvl w:ilvl="4" w:tplc="26562C0A" w:tentative="1">
      <w:start w:val="1"/>
      <w:numFmt w:val="bullet"/>
      <w:lvlText w:val="o"/>
      <w:lvlJc w:val="left"/>
      <w:pPr>
        <w:ind w:left="4734" w:hanging="360"/>
      </w:pPr>
      <w:rPr>
        <w:rFonts w:ascii="Courier New" w:hAnsi="Courier New" w:cs="Courier New" w:hint="default"/>
      </w:rPr>
    </w:lvl>
    <w:lvl w:ilvl="5" w:tplc="E360586A" w:tentative="1">
      <w:start w:val="1"/>
      <w:numFmt w:val="bullet"/>
      <w:lvlText w:val=""/>
      <w:lvlJc w:val="left"/>
      <w:pPr>
        <w:ind w:left="5454" w:hanging="360"/>
      </w:pPr>
      <w:rPr>
        <w:rFonts w:ascii="Wingdings" w:hAnsi="Wingdings" w:hint="default"/>
      </w:rPr>
    </w:lvl>
    <w:lvl w:ilvl="6" w:tplc="71320546" w:tentative="1">
      <w:start w:val="1"/>
      <w:numFmt w:val="bullet"/>
      <w:lvlText w:val=""/>
      <w:lvlJc w:val="left"/>
      <w:pPr>
        <w:ind w:left="6174" w:hanging="360"/>
      </w:pPr>
      <w:rPr>
        <w:rFonts w:ascii="Symbol" w:hAnsi="Symbol" w:hint="default"/>
      </w:rPr>
    </w:lvl>
    <w:lvl w:ilvl="7" w:tplc="B2C6F810" w:tentative="1">
      <w:start w:val="1"/>
      <w:numFmt w:val="bullet"/>
      <w:lvlText w:val="o"/>
      <w:lvlJc w:val="left"/>
      <w:pPr>
        <w:ind w:left="6894" w:hanging="360"/>
      </w:pPr>
      <w:rPr>
        <w:rFonts w:ascii="Courier New" w:hAnsi="Courier New" w:cs="Courier New" w:hint="default"/>
      </w:rPr>
    </w:lvl>
    <w:lvl w:ilvl="8" w:tplc="3B6AD1BC" w:tentative="1">
      <w:start w:val="1"/>
      <w:numFmt w:val="bullet"/>
      <w:lvlText w:val=""/>
      <w:lvlJc w:val="left"/>
      <w:pPr>
        <w:ind w:left="7614" w:hanging="360"/>
      </w:pPr>
      <w:rPr>
        <w:rFonts w:ascii="Wingdings" w:hAnsi="Wingdings" w:hint="default"/>
      </w:rPr>
    </w:lvl>
  </w:abstractNum>
  <w:abstractNum w:abstractNumId="26">
    <w:nsid w:val="4C883A9E"/>
    <w:multiLevelType w:val="hybridMultilevel"/>
    <w:tmpl w:val="63505850"/>
    <w:lvl w:ilvl="0" w:tplc="49908FDE">
      <w:start w:val="1"/>
      <w:numFmt w:val="decimal"/>
      <w:pStyle w:val="Para2number"/>
      <w:lvlText w:val="%1)"/>
      <w:lvlJc w:val="left"/>
      <w:pPr>
        <w:ind w:left="1211" w:hanging="360"/>
      </w:pPr>
    </w:lvl>
    <w:lvl w:ilvl="1" w:tplc="0C090003" w:tentative="1">
      <w:start w:val="1"/>
      <w:numFmt w:val="lowerLetter"/>
      <w:pStyle w:val="Para2number"/>
      <w:lvlText w:val="%2."/>
      <w:lvlJc w:val="left"/>
      <w:pPr>
        <w:ind w:left="2291" w:hanging="360"/>
      </w:pPr>
    </w:lvl>
    <w:lvl w:ilvl="2" w:tplc="0C090005" w:tentative="1">
      <w:start w:val="1"/>
      <w:numFmt w:val="lowerRoman"/>
      <w:lvlText w:val="%3."/>
      <w:lvlJc w:val="right"/>
      <w:pPr>
        <w:ind w:left="3011" w:hanging="180"/>
      </w:pPr>
    </w:lvl>
    <w:lvl w:ilvl="3" w:tplc="0C090001" w:tentative="1">
      <w:start w:val="1"/>
      <w:numFmt w:val="decimal"/>
      <w:lvlText w:val="%4."/>
      <w:lvlJc w:val="left"/>
      <w:pPr>
        <w:ind w:left="3731" w:hanging="360"/>
      </w:pPr>
    </w:lvl>
    <w:lvl w:ilvl="4" w:tplc="0C090003" w:tentative="1">
      <w:start w:val="1"/>
      <w:numFmt w:val="lowerLetter"/>
      <w:lvlText w:val="%5."/>
      <w:lvlJc w:val="left"/>
      <w:pPr>
        <w:ind w:left="4451" w:hanging="360"/>
      </w:pPr>
    </w:lvl>
    <w:lvl w:ilvl="5" w:tplc="0C090005" w:tentative="1">
      <w:start w:val="1"/>
      <w:numFmt w:val="lowerRoman"/>
      <w:lvlText w:val="%6."/>
      <w:lvlJc w:val="right"/>
      <w:pPr>
        <w:ind w:left="5171" w:hanging="180"/>
      </w:pPr>
    </w:lvl>
    <w:lvl w:ilvl="6" w:tplc="0C090001" w:tentative="1">
      <w:start w:val="1"/>
      <w:numFmt w:val="decimal"/>
      <w:lvlText w:val="%7."/>
      <w:lvlJc w:val="left"/>
      <w:pPr>
        <w:ind w:left="5891" w:hanging="360"/>
      </w:pPr>
    </w:lvl>
    <w:lvl w:ilvl="7" w:tplc="0C090003" w:tentative="1">
      <w:start w:val="1"/>
      <w:numFmt w:val="lowerLetter"/>
      <w:lvlText w:val="%8."/>
      <w:lvlJc w:val="left"/>
      <w:pPr>
        <w:ind w:left="6611" w:hanging="360"/>
      </w:pPr>
    </w:lvl>
    <w:lvl w:ilvl="8" w:tplc="0C090005" w:tentative="1">
      <w:start w:val="1"/>
      <w:numFmt w:val="lowerRoman"/>
      <w:lvlText w:val="%9."/>
      <w:lvlJc w:val="right"/>
      <w:pPr>
        <w:ind w:left="7331" w:hanging="180"/>
      </w:pPr>
    </w:lvl>
  </w:abstractNum>
  <w:abstractNum w:abstractNumId="27">
    <w:nsid w:val="507E32E8"/>
    <w:multiLevelType w:val="hybridMultilevel"/>
    <w:tmpl w:val="776A9F38"/>
    <w:lvl w:ilvl="0" w:tplc="6100C628">
      <w:start w:val="1"/>
      <w:numFmt w:val="bullet"/>
      <w:pStyle w:val="Para2dash"/>
      <w:lvlText w:val="-"/>
      <w:lvlJc w:val="left"/>
      <w:pPr>
        <w:ind w:left="1211" w:hanging="360"/>
      </w:pPr>
      <w:rPr>
        <w:rFonts w:ascii="Arial" w:hAnsi="Arial" w:hint="default"/>
        <w:sz w:val="18"/>
      </w:rPr>
    </w:lvl>
    <w:lvl w:ilvl="1" w:tplc="0C090019">
      <w:start w:val="1"/>
      <w:numFmt w:val="bullet"/>
      <w:pStyle w:val="Para2dash"/>
      <w:lvlText w:val="o"/>
      <w:lvlJc w:val="left"/>
      <w:pPr>
        <w:ind w:left="2574" w:hanging="360"/>
      </w:pPr>
      <w:rPr>
        <w:rFonts w:ascii="Courier New" w:hAnsi="Courier New" w:cs="Courier New" w:hint="default"/>
      </w:rPr>
    </w:lvl>
    <w:lvl w:ilvl="2" w:tplc="0C09001B" w:tentative="1">
      <w:start w:val="1"/>
      <w:numFmt w:val="bullet"/>
      <w:lvlText w:val=""/>
      <w:lvlJc w:val="left"/>
      <w:pPr>
        <w:ind w:left="3294" w:hanging="360"/>
      </w:pPr>
      <w:rPr>
        <w:rFonts w:ascii="Wingdings" w:hAnsi="Wingdings" w:hint="default"/>
      </w:rPr>
    </w:lvl>
    <w:lvl w:ilvl="3" w:tplc="0C09000F" w:tentative="1">
      <w:start w:val="1"/>
      <w:numFmt w:val="bullet"/>
      <w:lvlText w:val=""/>
      <w:lvlJc w:val="left"/>
      <w:pPr>
        <w:ind w:left="4014" w:hanging="360"/>
      </w:pPr>
      <w:rPr>
        <w:rFonts w:ascii="Symbol" w:hAnsi="Symbol" w:hint="default"/>
      </w:rPr>
    </w:lvl>
    <w:lvl w:ilvl="4" w:tplc="0C090019" w:tentative="1">
      <w:start w:val="1"/>
      <w:numFmt w:val="bullet"/>
      <w:lvlText w:val="o"/>
      <w:lvlJc w:val="left"/>
      <w:pPr>
        <w:ind w:left="4734" w:hanging="360"/>
      </w:pPr>
      <w:rPr>
        <w:rFonts w:ascii="Courier New" w:hAnsi="Courier New" w:cs="Courier New" w:hint="default"/>
      </w:rPr>
    </w:lvl>
    <w:lvl w:ilvl="5" w:tplc="0C09001B" w:tentative="1">
      <w:start w:val="1"/>
      <w:numFmt w:val="bullet"/>
      <w:lvlText w:val=""/>
      <w:lvlJc w:val="left"/>
      <w:pPr>
        <w:ind w:left="5454" w:hanging="360"/>
      </w:pPr>
      <w:rPr>
        <w:rFonts w:ascii="Wingdings" w:hAnsi="Wingdings" w:hint="default"/>
      </w:rPr>
    </w:lvl>
    <w:lvl w:ilvl="6" w:tplc="0C09000F" w:tentative="1">
      <w:start w:val="1"/>
      <w:numFmt w:val="bullet"/>
      <w:lvlText w:val=""/>
      <w:lvlJc w:val="left"/>
      <w:pPr>
        <w:ind w:left="6174" w:hanging="360"/>
      </w:pPr>
      <w:rPr>
        <w:rFonts w:ascii="Symbol" w:hAnsi="Symbol" w:hint="default"/>
      </w:rPr>
    </w:lvl>
    <w:lvl w:ilvl="7" w:tplc="0C090019" w:tentative="1">
      <w:start w:val="1"/>
      <w:numFmt w:val="bullet"/>
      <w:lvlText w:val="o"/>
      <w:lvlJc w:val="left"/>
      <w:pPr>
        <w:ind w:left="6894" w:hanging="360"/>
      </w:pPr>
      <w:rPr>
        <w:rFonts w:ascii="Courier New" w:hAnsi="Courier New" w:cs="Courier New" w:hint="default"/>
      </w:rPr>
    </w:lvl>
    <w:lvl w:ilvl="8" w:tplc="0C09001B" w:tentative="1">
      <w:start w:val="1"/>
      <w:numFmt w:val="bullet"/>
      <w:lvlText w:val=""/>
      <w:lvlJc w:val="left"/>
      <w:pPr>
        <w:ind w:left="7614" w:hanging="360"/>
      </w:pPr>
      <w:rPr>
        <w:rFonts w:ascii="Wingdings" w:hAnsi="Wingdings" w:hint="default"/>
      </w:rPr>
    </w:lvl>
  </w:abstractNum>
  <w:abstractNum w:abstractNumId="28">
    <w:nsid w:val="57F35BEF"/>
    <w:multiLevelType w:val="multilevel"/>
    <w:tmpl w:val="BA62B030"/>
    <w:numStyleLink w:val="SKMBulletList2"/>
  </w:abstractNum>
  <w:abstractNum w:abstractNumId="29">
    <w:nsid w:val="5C7C4E77"/>
    <w:multiLevelType w:val="multilevel"/>
    <w:tmpl w:val="B4BC1C92"/>
    <w:lvl w:ilvl="0">
      <w:start w:val="1"/>
      <w:numFmt w:val="decimal"/>
      <w:pStyle w:val="Heading1"/>
      <w:lvlText w:val="%1."/>
      <w:lvlJc w:val="left"/>
      <w:pPr>
        <w:ind w:left="851" w:hanging="851"/>
      </w:pPr>
      <w:rPr>
        <w:rFonts w:hint="default"/>
        <w:b/>
        <w:bCs/>
        <w:i w:val="0"/>
        <w:iCs w:val="0"/>
        <w:color w:val="42145F"/>
        <w:sz w:val="32"/>
        <w:szCs w:val="32"/>
      </w:rPr>
    </w:lvl>
    <w:lvl w:ilvl="1">
      <w:start w:val="1"/>
      <w:numFmt w:val="decimal"/>
      <w:pStyle w:val="Heading2"/>
      <w:lvlText w:val="%1.%2"/>
      <w:lvlJc w:val="left"/>
      <w:pPr>
        <w:ind w:left="851" w:hanging="851"/>
      </w:pPr>
      <w:rPr>
        <w:rFonts w:hint="default"/>
        <w:i w:val="0"/>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Narrow" w:hAnsi="Arial Narrow"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3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31">
    <w:nsid w:val="61B061A8"/>
    <w:multiLevelType w:val="multilevel"/>
    <w:tmpl w:val="5AFCE06A"/>
    <w:styleLink w:val="SKMNarrowList"/>
    <w:lvl w:ilvl="0">
      <w:start w:val="1"/>
      <w:numFmt w:val="bullet"/>
      <w:pStyle w:val="Para0narrowbullet"/>
      <w:lvlText w:val=""/>
      <w:lvlJc w:val="left"/>
      <w:pPr>
        <w:ind w:left="198" w:hanging="198"/>
      </w:pPr>
      <w:rPr>
        <w:rFonts w:ascii="Symbol" w:hAnsi="Symbol" w:hint="default"/>
        <w:color w:val="auto"/>
      </w:rPr>
    </w:lvl>
    <w:lvl w:ilvl="1">
      <w:start w:val="1"/>
      <w:numFmt w:val="bullet"/>
      <w:lvlRestart w:val="0"/>
      <w:pStyle w:val="Para1narrowarrow"/>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32">
    <w:nsid w:val="633D6386"/>
    <w:multiLevelType w:val="multilevel"/>
    <w:tmpl w:val="55B43E0E"/>
    <w:lvl w:ilvl="0">
      <w:start w:val="1"/>
      <w:numFmt w:val="upperLetter"/>
      <w:pStyle w:val="Heading9"/>
      <w:suff w:val="space"/>
      <w:lvlText w:val="Appendix %1."/>
      <w:lvlJc w:val="left"/>
      <w:pPr>
        <w:ind w:left="360" w:hanging="360"/>
      </w:pPr>
      <w:rPr>
        <w:rFonts w:ascii="Arial Narrow" w:hAnsi="Arial Narrow" w:hint="default"/>
        <w:b/>
        <w:i w:val="0"/>
        <w:sz w:val="32"/>
      </w:rPr>
    </w:lvl>
    <w:lvl w:ilvl="1">
      <w:start w:val="1"/>
      <w:numFmt w:val="decimal"/>
      <w:pStyle w:val="Appendixsubheading1"/>
      <w:lvlText w:val="%1.%2"/>
      <w:lvlJc w:val="left"/>
      <w:pPr>
        <w:ind w:left="851" w:hanging="851"/>
      </w:pPr>
      <w:rPr>
        <w:rFonts w:ascii="Arial Narrow" w:hAnsi="Arial Narrow" w:hint="default"/>
        <w:b/>
        <w:i w:val="0"/>
        <w:sz w:val="24"/>
      </w:rPr>
    </w:lvl>
    <w:lvl w:ilvl="2">
      <w:start w:val="1"/>
      <w:numFmt w:val="decimal"/>
      <w:pStyle w:val="Appendixsubheading2"/>
      <w:lvlText w:val="%1.%2.%3"/>
      <w:lvlJc w:val="left"/>
      <w:pPr>
        <w:ind w:left="851" w:hanging="851"/>
      </w:pPr>
      <w:rPr>
        <w:rFonts w:ascii="Arial Narrow" w:hAnsi="Arial Narrow" w:hint="default"/>
        <w:b/>
        <w:i w:val="0"/>
        <w:sz w:val="20"/>
      </w:rPr>
    </w:lvl>
    <w:lvl w:ilvl="3">
      <w:numFmt w:val="none"/>
      <w:lvlRestart w:val="0"/>
      <w:suff w:val="nothing"/>
      <w:lvlText w:val=""/>
      <w:lvlJc w:val="left"/>
      <w:pPr>
        <w:ind w:left="-32767" w:firstLine="32767"/>
      </w:pPr>
      <w:rPr>
        <w:rFonts w:ascii="Arial Narrow" w:hAnsi="Arial Narrow"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33">
    <w:nsid w:val="63DA677A"/>
    <w:multiLevelType w:val="singleLevel"/>
    <w:tmpl w:val="9BD4A21E"/>
    <w:lvl w:ilvl="0">
      <w:start w:val="1"/>
      <w:numFmt w:val="decimal"/>
      <w:pStyle w:val="Para2roman"/>
      <w:lvlText w:val="%1."/>
      <w:lvlJc w:val="left"/>
      <w:pPr>
        <w:ind w:left="360" w:hanging="360"/>
      </w:pPr>
      <w:rPr>
        <w:rFonts w:hint="default"/>
      </w:rPr>
    </w:lvl>
  </w:abstractNum>
  <w:abstractNum w:abstractNumId="34">
    <w:nsid w:val="680E1BD1"/>
    <w:multiLevelType w:val="hybridMultilevel"/>
    <w:tmpl w:val="13D2E0A4"/>
    <w:lvl w:ilvl="0" w:tplc="783AE396">
      <w:start w:val="1"/>
      <w:numFmt w:val="bullet"/>
      <w:pStyle w:val="Tablesmal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9C56A04"/>
    <w:multiLevelType w:val="hybridMultilevel"/>
    <w:tmpl w:val="5192B71E"/>
    <w:lvl w:ilvl="0" w:tplc="9758B77C">
      <w:start w:val="1"/>
      <w:numFmt w:val="bullet"/>
      <w:pStyle w:val="Tablepara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DD24EBE"/>
    <w:multiLevelType w:val="hybridMultilevel"/>
    <w:tmpl w:val="56346BB6"/>
    <w:lvl w:ilvl="0" w:tplc="5E069844">
      <w:start w:val="1"/>
      <w:numFmt w:val="bullet"/>
      <w:pStyle w:val="Para1bullet"/>
      <w:lvlText w:val=""/>
      <w:lvlJc w:val="left"/>
      <w:pPr>
        <w:ind w:left="785" w:hanging="360"/>
      </w:pPr>
      <w:rPr>
        <w:rFonts w:ascii="Symbol" w:hAnsi="Symbol" w:hint="default"/>
        <w:sz w:val="18"/>
      </w:rPr>
    </w:lvl>
    <w:lvl w:ilvl="1" w:tplc="D74E476E">
      <w:start w:val="1"/>
      <w:numFmt w:val="bullet"/>
      <w:pStyle w:val="Para1bullet"/>
      <w:lvlText w:val="o"/>
      <w:lvlJc w:val="left"/>
      <w:pPr>
        <w:ind w:left="5333" w:hanging="360"/>
      </w:pPr>
      <w:rPr>
        <w:rFonts w:ascii="Courier New" w:hAnsi="Courier New" w:cs="Courier New" w:hint="default"/>
      </w:rPr>
    </w:lvl>
    <w:lvl w:ilvl="2" w:tplc="AE2C4C46" w:tentative="1">
      <w:start w:val="1"/>
      <w:numFmt w:val="bullet"/>
      <w:lvlText w:val=""/>
      <w:lvlJc w:val="left"/>
      <w:pPr>
        <w:ind w:left="6053" w:hanging="360"/>
      </w:pPr>
      <w:rPr>
        <w:rFonts w:ascii="Wingdings" w:hAnsi="Wingdings" w:hint="default"/>
      </w:rPr>
    </w:lvl>
    <w:lvl w:ilvl="3" w:tplc="A6660D5E" w:tentative="1">
      <w:start w:val="1"/>
      <w:numFmt w:val="bullet"/>
      <w:lvlText w:val=""/>
      <w:lvlJc w:val="left"/>
      <w:pPr>
        <w:ind w:left="6773" w:hanging="360"/>
      </w:pPr>
      <w:rPr>
        <w:rFonts w:ascii="Symbol" w:hAnsi="Symbol" w:hint="default"/>
      </w:rPr>
    </w:lvl>
    <w:lvl w:ilvl="4" w:tplc="1E4C9080" w:tentative="1">
      <w:start w:val="1"/>
      <w:numFmt w:val="bullet"/>
      <w:lvlText w:val="o"/>
      <w:lvlJc w:val="left"/>
      <w:pPr>
        <w:ind w:left="7493" w:hanging="360"/>
      </w:pPr>
      <w:rPr>
        <w:rFonts w:ascii="Courier New" w:hAnsi="Courier New" w:cs="Courier New" w:hint="default"/>
      </w:rPr>
    </w:lvl>
    <w:lvl w:ilvl="5" w:tplc="FD06874A" w:tentative="1">
      <w:start w:val="1"/>
      <w:numFmt w:val="bullet"/>
      <w:lvlText w:val=""/>
      <w:lvlJc w:val="left"/>
      <w:pPr>
        <w:ind w:left="8213" w:hanging="360"/>
      </w:pPr>
      <w:rPr>
        <w:rFonts w:ascii="Wingdings" w:hAnsi="Wingdings" w:hint="default"/>
      </w:rPr>
    </w:lvl>
    <w:lvl w:ilvl="6" w:tplc="8E94313A" w:tentative="1">
      <w:start w:val="1"/>
      <w:numFmt w:val="bullet"/>
      <w:lvlText w:val=""/>
      <w:lvlJc w:val="left"/>
      <w:pPr>
        <w:ind w:left="8933" w:hanging="360"/>
      </w:pPr>
      <w:rPr>
        <w:rFonts w:ascii="Symbol" w:hAnsi="Symbol" w:hint="default"/>
      </w:rPr>
    </w:lvl>
    <w:lvl w:ilvl="7" w:tplc="F650E554" w:tentative="1">
      <w:start w:val="1"/>
      <w:numFmt w:val="bullet"/>
      <w:lvlText w:val="o"/>
      <w:lvlJc w:val="left"/>
      <w:pPr>
        <w:ind w:left="9653" w:hanging="360"/>
      </w:pPr>
      <w:rPr>
        <w:rFonts w:ascii="Courier New" w:hAnsi="Courier New" w:cs="Courier New" w:hint="default"/>
      </w:rPr>
    </w:lvl>
    <w:lvl w:ilvl="8" w:tplc="45F8BB0C" w:tentative="1">
      <w:start w:val="1"/>
      <w:numFmt w:val="bullet"/>
      <w:lvlText w:val=""/>
      <w:lvlJc w:val="left"/>
      <w:pPr>
        <w:ind w:left="10373" w:hanging="360"/>
      </w:pPr>
      <w:rPr>
        <w:rFonts w:ascii="Wingdings" w:hAnsi="Wingdings" w:hint="default"/>
      </w:rPr>
    </w:lvl>
  </w:abstractNum>
  <w:abstractNum w:abstractNumId="37">
    <w:nsid w:val="6E946B29"/>
    <w:multiLevelType w:val="hybridMultilevel"/>
    <w:tmpl w:val="258CE9E6"/>
    <w:lvl w:ilvl="0" w:tplc="40F8E81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3B6855"/>
    <w:multiLevelType w:val="hybridMultilevel"/>
    <w:tmpl w:val="68F296FE"/>
    <w:lvl w:ilvl="0" w:tplc="A5BEE518">
      <w:start w:val="1"/>
      <w:numFmt w:val="bullet"/>
      <w:pStyle w:val="ContentBulletsRound"/>
      <w:lvlText w:val=""/>
      <w:lvlJc w:val="left"/>
      <w:pPr>
        <w:ind w:left="1418" w:hanging="851"/>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C475FF"/>
    <w:multiLevelType w:val="hybridMultilevel"/>
    <w:tmpl w:val="FCC6E3D8"/>
    <w:lvl w:ilvl="0" w:tplc="6BB6A368">
      <w:start w:val="1"/>
      <w:numFmt w:val="bullet"/>
      <w:lvlText w:val="•"/>
      <w:lvlJc w:val="left"/>
      <w:pPr>
        <w:tabs>
          <w:tab w:val="num" w:pos="720"/>
        </w:tabs>
        <w:ind w:left="720" w:hanging="360"/>
      </w:pPr>
      <w:rPr>
        <w:rFonts w:ascii="Arial" w:hAnsi="Arial" w:hint="default"/>
      </w:rPr>
    </w:lvl>
    <w:lvl w:ilvl="1" w:tplc="473ACF38" w:tentative="1">
      <w:start w:val="1"/>
      <w:numFmt w:val="bullet"/>
      <w:lvlText w:val="•"/>
      <w:lvlJc w:val="left"/>
      <w:pPr>
        <w:tabs>
          <w:tab w:val="num" w:pos="1440"/>
        </w:tabs>
        <w:ind w:left="1440" w:hanging="360"/>
      </w:pPr>
      <w:rPr>
        <w:rFonts w:ascii="Arial" w:hAnsi="Arial" w:hint="default"/>
      </w:rPr>
    </w:lvl>
    <w:lvl w:ilvl="2" w:tplc="2018A896" w:tentative="1">
      <w:start w:val="1"/>
      <w:numFmt w:val="bullet"/>
      <w:lvlText w:val="•"/>
      <w:lvlJc w:val="left"/>
      <w:pPr>
        <w:tabs>
          <w:tab w:val="num" w:pos="2160"/>
        </w:tabs>
        <w:ind w:left="2160" w:hanging="360"/>
      </w:pPr>
      <w:rPr>
        <w:rFonts w:ascii="Arial" w:hAnsi="Arial" w:hint="default"/>
      </w:rPr>
    </w:lvl>
    <w:lvl w:ilvl="3" w:tplc="FC665DDE" w:tentative="1">
      <w:start w:val="1"/>
      <w:numFmt w:val="bullet"/>
      <w:lvlText w:val="•"/>
      <w:lvlJc w:val="left"/>
      <w:pPr>
        <w:tabs>
          <w:tab w:val="num" w:pos="2880"/>
        </w:tabs>
        <w:ind w:left="2880" w:hanging="360"/>
      </w:pPr>
      <w:rPr>
        <w:rFonts w:ascii="Arial" w:hAnsi="Arial" w:hint="default"/>
      </w:rPr>
    </w:lvl>
    <w:lvl w:ilvl="4" w:tplc="6756A6E0" w:tentative="1">
      <w:start w:val="1"/>
      <w:numFmt w:val="bullet"/>
      <w:lvlText w:val="•"/>
      <w:lvlJc w:val="left"/>
      <w:pPr>
        <w:tabs>
          <w:tab w:val="num" w:pos="3600"/>
        </w:tabs>
        <w:ind w:left="3600" w:hanging="360"/>
      </w:pPr>
      <w:rPr>
        <w:rFonts w:ascii="Arial" w:hAnsi="Arial" w:hint="default"/>
      </w:rPr>
    </w:lvl>
    <w:lvl w:ilvl="5" w:tplc="6FCC45EC" w:tentative="1">
      <w:start w:val="1"/>
      <w:numFmt w:val="bullet"/>
      <w:lvlText w:val="•"/>
      <w:lvlJc w:val="left"/>
      <w:pPr>
        <w:tabs>
          <w:tab w:val="num" w:pos="4320"/>
        </w:tabs>
        <w:ind w:left="4320" w:hanging="360"/>
      </w:pPr>
      <w:rPr>
        <w:rFonts w:ascii="Arial" w:hAnsi="Arial" w:hint="default"/>
      </w:rPr>
    </w:lvl>
    <w:lvl w:ilvl="6" w:tplc="C5109FB6" w:tentative="1">
      <w:start w:val="1"/>
      <w:numFmt w:val="bullet"/>
      <w:lvlText w:val="•"/>
      <w:lvlJc w:val="left"/>
      <w:pPr>
        <w:tabs>
          <w:tab w:val="num" w:pos="5040"/>
        </w:tabs>
        <w:ind w:left="5040" w:hanging="360"/>
      </w:pPr>
      <w:rPr>
        <w:rFonts w:ascii="Arial" w:hAnsi="Arial" w:hint="default"/>
      </w:rPr>
    </w:lvl>
    <w:lvl w:ilvl="7" w:tplc="8FBE0D9E" w:tentative="1">
      <w:start w:val="1"/>
      <w:numFmt w:val="bullet"/>
      <w:lvlText w:val="•"/>
      <w:lvlJc w:val="left"/>
      <w:pPr>
        <w:tabs>
          <w:tab w:val="num" w:pos="5760"/>
        </w:tabs>
        <w:ind w:left="5760" w:hanging="360"/>
      </w:pPr>
      <w:rPr>
        <w:rFonts w:ascii="Arial" w:hAnsi="Arial" w:hint="default"/>
      </w:rPr>
    </w:lvl>
    <w:lvl w:ilvl="8" w:tplc="DE8C3958"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14"/>
  </w:num>
  <w:num w:numId="3">
    <w:abstractNumId w:val="4"/>
  </w:num>
  <w:num w:numId="4">
    <w:abstractNumId w:val="3"/>
  </w:num>
  <w:num w:numId="5">
    <w:abstractNumId w:val="18"/>
  </w:num>
  <w:num w:numId="6">
    <w:abstractNumId w:val="17"/>
  </w:num>
  <w:num w:numId="7">
    <w:abstractNumId w:val="38"/>
  </w:num>
  <w:num w:numId="8">
    <w:abstractNumId w:val="36"/>
  </w:num>
  <w:num w:numId="9">
    <w:abstractNumId w:val="1"/>
  </w:num>
  <w:num w:numId="10">
    <w:abstractNumId w:val="25"/>
  </w:num>
  <w:num w:numId="11">
    <w:abstractNumId w:val="27"/>
  </w:num>
  <w:num w:numId="12">
    <w:abstractNumId w:val="12"/>
  </w:num>
  <w:num w:numId="13">
    <w:abstractNumId w:val="32"/>
  </w:num>
  <w:num w:numId="14">
    <w:abstractNumId w:val="26"/>
  </w:num>
  <w:num w:numId="15">
    <w:abstractNumId w:val="2"/>
  </w:num>
  <w:num w:numId="16">
    <w:abstractNumId w:val="7"/>
  </w:num>
  <w:num w:numId="17">
    <w:abstractNumId w:val="8"/>
  </w:num>
  <w:num w:numId="18">
    <w:abstractNumId w:val="19"/>
  </w:num>
  <w:num w:numId="19">
    <w:abstractNumId w:val="13"/>
  </w:num>
  <w:num w:numId="20">
    <w:abstractNumId w:val="22"/>
  </w:num>
  <w:num w:numId="21">
    <w:abstractNumId w:val="30"/>
  </w:num>
  <w:num w:numId="22">
    <w:abstractNumId w:val="21"/>
  </w:num>
  <w:num w:numId="23">
    <w:abstractNumId w:val="10"/>
  </w:num>
  <w:num w:numId="24">
    <w:abstractNumId w:val="11"/>
  </w:num>
  <w:num w:numId="25">
    <w:abstractNumId w:val="5"/>
  </w:num>
  <w:num w:numId="26">
    <w:abstractNumId w:val="16"/>
  </w:num>
  <w:num w:numId="27">
    <w:abstractNumId w:val="20"/>
  </w:num>
  <w:num w:numId="28">
    <w:abstractNumId w:val="31"/>
  </w:num>
  <w:num w:numId="29">
    <w:abstractNumId w:val="24"/>
  </w:num>
  <w:num w:numId="30">
    <w:abstractNumId w:val="6"/>
  </w:num>
  <w:num w:numId="31">
    <w:abstractNumId w:val="33"/>
  </w:num>
  <w:num w:numId="32">
    <w:abstractNumId w:val="23"/>
  </w:num>
  <w:num w:numId="33">
    <w:abstractNumId w:val="28"/>
  </w:num>
  <w:num w:numId="34">
    <w:abstractNumId w:val="15"/>
  </w:num>
  <w:num w:numId="35">
    <w:abstractNumId w:val="9"/>
  </w:num>
  <w:num w:numId="36">
    <w:abstractNumId w:val="35"/>
  </w:num>
  <w:num w:numId="37">
    <w:abstractNumId w:val="34"/>
  </w:num>
  <w:num w:numId="38">
    <w:abstractNumId w:val="29"/>
  </w:num>
  <w:num w:numId="39">
    <w:abstractNumId w:val="9"/>
  </w:num>
  <w:num w:numId="40">
    <w:abstractNumId w:val="29"/>
  </w:num>
  <w:num w:numId="4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39"/>
  </w:num>
  <w:num w:numId="44">
    <w:abstractNumId w:val="9"/>
  </w:num>
  <w:num w:numId="45">
    <w:abstractNumId w:val="0"/>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Pike">
    <w15:presenceInfo w15:providerId="Windows Live" w15:userId="98fe2f91c205e29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7F24"/>
  <w:doNotTrackFormatting/>
  <w:defaultTabStop w:val="425"/>
  <w:drawingGridHorizontalSpacing w:val="102"/>
  <w:drawingGridVerticalSpacing w:val="181"/>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
  <w:docVars>
    <w:docVar w:name="Add1" w:val="Sinclair Knight Merz"/>
    <w:docVar w:name="Add2" w:val="214 Northbourne Avenue"/>
    <w:docVar w:name="Add3" w:val="Braddon ACT 2612 Australia"/>
    <w:docVar w:name="Add4" w:val="PO Box 930 Dickson  ACT 2602 Australia"/>
    <w:docVar w:name="Add5" w:val=" "/>
    <w:docVar w:name="Add6" w:val=" "/>
    <w:docVar w:name="Branding" w:val="SKM"/>
    <w:docVar w:name="CoverBusinessRegoNo" w:val="ABN 37 001 024 095"/>
    <w:docVar w:name="CoverCopyright" w:val="Sinclair Knight Merz Pty Ltd (SKM)"/>
    <w:docVar w:name="CoverLimitation" w:val="SKM"/>
    <w:docVar w:name="DirectorsFile" w:val=" "/>
    <w:docVar w:name="EntityName" w:val="SKM AUSTRALIA"/>
    <w:docVar w:name="Fax" w:val="F +61 2 6246 2799"/>
    <w:docVar w:name="FaxFooter" w:val="SINCLAIR KNIGHT MERZ PTY LTD  ABN 37 001 024 095"/>
    <w:docVar w:name="FaxFooterFollowOn" w:val=" "/>
    <w:docVar w:name="Footer" w:val=" "/>
    <w:docVar w:name="FooterFollowOn" w:val=" "/>
    <w:docVar w:name="LetterFooter1" w:val="Sinclair Knight Merz Pty Limited"/>
    <w:docVar w:name="LetterFooter2" w:val="The SKM logo is a registered trade mark of Sinclair Knight Merz Pty Ltd. ABN 37 001 024 095"/>
    <w:docVar w:name="LetterFooter3" w:val=" "/>
    <w:docVar w:name="LetterFooterFollowOn" w:val=" "/>
    <w:docVar w:name="Logo" w:val="SKM cover logo"/>
    <w:docVar w:name="LogoLandscape" w:val="SKM landscape logo"/>
    <w:docVar w:name="LogoLandscapeA3" w:val="SKM a3 landscape logo"/>
    <w:docVar w:name="LogoLandscapeA3USL" w:val="SKM a3 landscape logo USL"/>
    <w:docVar w:name="LogoLandscapeUSL" w:val="SKM landscape logo USL"/>
    <w:docVar w:name="LogoPortrait" w:val="SKM portrait logo"/>
    <w:docVar w:name="LogoPortraitUSL" w:val="SKM portrait logo USL"/>
    <w:docVar w:name="LogoStationeryCoverImageA4" w:val="skm_portrait_cover"/>
    <w:docVar w:name="LogoStationeryCoverImageA4Landscape" w:val="skm_landscape_cover"/>
    <w:docVar w:name="LogoStationeryCoverImageUSLLandscape" w:val="skm_landscape_cover_USL"/>
    <w:docVar w:name="LogoStationeryCoverImageUSLPortrait" w:val="skm_portrait_cover_USL"/>
    <w:docVar w:name="LogoStationeryGeneral" w:val="SKM stationery logo"/>
    <w:docVar w:name="LogoStationeryGeneralUSL" w:val="SKM stationery logo USL"/>
    <w:docVar w:name="LogoStationeryLetterFax" w:val="SKM letfax logo"/>
    <w:docVar w:name="LogoStationeryLetterFaxUSL" w:val="SKM letfax logo USL"/>
    <w:docVar w:name="LogoStationeryReportFly" w:val="SKM report fly logo"/>
    <w:docVar w:name="LogoStationeryReportFlyL" w:val="SKM report fly logoL"/>
    <w:docVar w:name="LogoStationeryReportFlyLUSL" w:val="SKM report fly logoLUSL"/>
    <w:docVar w:name="LogoStationeryReportFlyUSL" w:val="SKM report fly logo USL"/>
    <w:docVar w:name="LogoStationeryReportPages" w:val="SKM report pages logo"/>
    <w:docVar w:name="LogoStationeryReportPagesUSL" w:val="SKM report pages logo"/>
    <w:docVar w:name="LogoUSL" w:val="SKM cover logo USL"/>
    <w:docVar w:name="Paper Size" w:val="A4"/>
    <w:docVar w:name="Phone" w:val="T +61 2 6246 2700"/>
    <w:docVar w:name="RegisteredTradeMark" w:val=" "/>
    <w:docVar w:name="ShortAddress1" w:val="214 Northbourne Avenue"/>
    <w:docVar w:name="ShortAddress2" w:val="Braddon ACT 2612"/>
    <w:docVar w:name="Web" w:val="www.globalskm.com"/>
  </w:docVars>
  <w:rsids>
    <w:rsidRoot w:val="00AE42BA"/>
    <w:rsid w:val="000014B3"/>
    <w:rsid w:val="00001726"/>
    <w:rsid w:val="00003143"/>
    <w:rsid w:val="00003AB3"/>
    <w:rsid w:val="00004021"/>
    <w:rsid w:val="0000408D"/>
    <w:rsid w:val="00005916"/>
    <w:rsid w:val="00005CAA"/>
    <w:rsid w:val="00006B4B"/>
    <w:rsid w:val="00006B5A"/>
    <w:rsid w:val="00007410"/>
    <w:rsid w:val="00007B43"/>
    <w:rsid w:val="00010268"/>
    <w:rsid w:val="000104FD"/>
    <w:rsid w:val="00010DD6"/>
    <w:rsid w:val="00011363"/>
    <w:rsid w:val="00011476"/>
    <w:rsid w:val="00012480"/>
    <w:rsid w:val="00012B36"/>
    <w:rsid w:val="00012F85"/>
    <w:rsid w:val="000147E5"/>
    <w:rsid w:val="00014FC1"/>
    <w:rsid w:val="00015523"/>
    <w:rsid w:val="000157E5"/>
    <w:rsid w:val="00016CF3"/>
    <w:rsid w:val="0001705B"/>
    <w:rsid w:val="00017548"/>
    <w:rsid w:val="00020B8F"/>
    <w:rsid w:val="00021399"/>
    <w:rsid w:val="000217C0"/>
    <w:rsid w:val="0002249F"/>
    <w:rsid w:val="00022558"/>
    <w:rsid w:val="00022FBA"/>
    <w:rsid w:val="0002301D"/>
    <w:rsid w:val="00023CB6"/>
    <w:rsid w:val="00023D2A"/>
    <w:rsid w:val="0002425B"/>
    <w:rsid w:val="000243B0"/>
    <w:rsid w:val="00024B85"/>
    <w:rsid w:val="00024F44"/>
    <w:rsid w:val="00025193"/>
    <w:rsid w:val="000252CA"/>
    <w:rsid w:val="00025944"/>
    <w:rsid w:val="00026231"/>
    <w:rsid w:val="000263F6"/>
    <w:rsid w:val="00026452"/>
    <w:rsid w:val="00027BFB"/>
    <w:rsid w:val="00027DA7"/>
    <w:rsid w:val="0003164D"/>
    <w:rsid w:val="000319E8"/>
    <w:rsid w:val="00032188"/>
    <w:rsid w:val="000352B5"/>
    <w:rsid w:val="00035A6E"/>
    <w:rsid w:val="00035F1E"/>
    <w:rsid w:val="000364F9"/>
    <w:rsid w:val="00037134"/>
    <w:rsid w:val="000373F0"/>
    <w:rsid w:val="00037461"/>
    <w:rsid w:val="00040907"/>
    <w:rsid w:val="00040A20"/>
    <w:rsid w:val="00041D00"/>
    <w:rsid w:val="0004302B"/>
    <w:rsid w:val="00043257"/>
    <w:rsid w:val="0004395C"/>
    <w:rsid w:val="00043C9F"/>
    <w:rsid w:val="00050651"/>
    <w:rsid w:val="00050FF7"/>
    <w:rsid w:val="0005157B"/>
    <w:rsid w:val="00051CC9"/>
    <w:rsid w:val="000524AE"/>
    <w:rsid w:val="0005266C"/>
    <w:rsid w:val="00052D9D"/>
    <w:rsid w:val="0005390A"/>
    <w:rsid w:val="00053C2E"/>
    <w:rsid w:val="00053D9D"/>
    <w:rsid w:val="00054594"/>
    <w:rsid w:val="0005491F"/>
    <w:rsid w:val="000557FA"/>
    <w:rsid w:val="0005586E"/>
    <w:rsid w:val="00061DF2"/>
    <w:rsid w:val="00062407"/>
    <w:rsid w:val="00063A85"/>
    <w:rsid w:val="0006464F"/>
    <w:rsid w:val="00064995"/>
    <w:rsid w:val="000658C8"/>
    <w:rsid w:val="00066128"/>
    <w:rsid w:val="000670B2"/>
    <w:rsid w:val="00067A6F"/>
    <w:rsid w:val="00067BEB"/>
    <w:rsid w:val="000701C7"/>
    <w:rsid w:val="000702C8"/>
    <w:rsid w:val="00070FB4"/>
    <w:rsid w:val="00071BD5"/>
    <w:rsid w:val="00074B80"/>
    <w:rsid w:val="00075125"/>
    <w:rsid w:val="0007513D"/>
    <w:rsid w:val="00075D0D"/>
    <w:rsid w:val="000766D4"/>
    <w:rsid w:val="00076BB8"/>
    <w:rsid w:val="00080BDD"/>
    <w:rsid w:val="00081C6F"/>
    <w:rsid w:val="00082F46"/>
    <w:rsid w:val="0008434E"/>
    <w:rsid w:val="000847A8"/>
    <w:rsid w:val="00084DBA"/>
    <w:rsid w:val="0008507C"/>
    <w:rsid w:val="000858FB"/>
    <w:rsid w:val="00085AEE"/>
    <w:rsid w:val="000860D4"/>
    <w:rsid w:val="0008644B"/>
    <w:rsid w:val="00086790"/>
    <w:rsid w:val="000867FF"/>
    <w:rsid w:val="000868AC"/>
    <w:rsid w:val="00086E5B"/>
    <w:rsid w:val="00086F2E"/>
    <w:rsid w:val="00087356"/>
    <w:rsid w:val="00087ACA"/>
    <w:rsid w:val="00091BCB"/>
    <w:rsid w:val="00091D03"/>
    <w:rsid w:val="00092AE7"/>
    <w:rsid w:val="00094190"/>
    <w:rsid w:val="00094473"/>
    <w:rsid w:val="000948D6"/>
    <w:rsid w:val="000955E3"/>
    <w:rsid w:val="00096085"/>
    <w:rsid w:val="0009736D"/>
    <w:rsid w:val="00097841"/>
    <w:rsid w:val="000A02B7"/>
    <w:rsid w:val="000A04EF"/>
    <w:rsid w:val="000A1438"/>
    <w:rsid w:val="000A2201"/>
    <w:rsid w:val="000A3931"/>
    <w:rsid w:val="000A46B8"/>
    <w:rsid w:val="000A4DA4"/>
    <w:rsid w:val="000A5E15"/>
    <w:rsid w:val="000A5F11"/>
    <w:rsid w:val="000A71CC"/>
    <w:rsid w:val="000A782F"/>
    <w:rsid w:val="000A799A"/>
    <w:rsid w:val="000B07EA"/>
    <w:rsid w:val="000B10E5"/>
    <w:rsid w:val="000B13CE"/>
    <w:rsid w:val="000B1646"/>
    <w:rsid w:val="000B1A37"/>
    <w:rsid w:val="000B49A5"/>
    <w:rsid w:val="000B49D8"/>
    <w:rsid w:val="000B5AAB"/>
    <w:rsid w:val="000B5DC3"/>
    <w:rsid w:val="000B6DDC"/>
    <w:rsid w:val="000B7020"/>
    <w:rsid w:val="000B7078"/>
    <w:rsid w:val="000B7CEA"/>
    <w:rsid w:val="000C0AA7"/>
    <w:rsid w:val="000C10E1"/>
    <w:rsid w:val="000C23DE"/>
    <w:rsid w:val="000C656B"/>
    <w:rsid w:val="000C7D2A"/>
    <w:rsid w:val="000D0CEA"/>
    <w:rsid w:val="000D296F"/>
    <w:rsid w:val="000D2EDA"/>
    <w:rsid w:val="000D3176"/>
    <w:rsid w:val="000D3D99"/>
    <w:rsid w:val="000D3FE6"/>
    <w:rsid w:val="000D47D8"/>
    <w:rsid w:val="000D48EC"/>
    <w:rsid w:val="000D5011"/>
    <w:rsid w:val="000D5659"/>
    <w:rsid w:val="000D6CA4"/>
    <w:rsid w:val="000E0A3C"/>
    <w:rsid w:val="000E1485"/>
    <w:rsid w:val="000E229F"/>
    <w:rsid w:val="000E2676"/>
    <w:rsid w:val="000E26BD"/>
    <w:rsid w:val="000E2EE8"/>
    <w:rsid w:val="000E3302"/>
    <w:rsid w:val="000E3E0C"/>
    <w:rsid w:val="000E4265"/>
    <w:rsid w:val="000E4B89"/>
    <w:rsid w:val="000E5608"/>
    <w:rsid w:val="000E668C"/>
    <w:rsid w:val="000F0EE5"/>
    <w:rsid w:val="000F104B"/>
    <w:rsid w:val="000F1818"/>
    <w:rsid w:val="000F2DCD"/>
    <w:rsid w:val="000F2E0B"/>
    <w:rsid w:val="000F3100"/>
    <w:rsid w:val="000F35E2"/>
    <w:rsid w:val="000F38BE"/>
    <w:rsid w:val="000F3E5E"/>
    <w:rsid w:val="000F4245"/>
    <w:rsid w:val="000F494A"/>
    <w:rsid w:val="000F49F4"/>
    <w:rsid w:val="000F5194"/>
    <w:rsid w:val="000F53A1"/>
    <w:rsid w:val="000F550B"/>
    <w:rsid w:val="000F6F05"/>
    <w:rsid w:val="000F73BB"/>
    <w:rsid w:val="000F795C"/>
    <w:rsid w:val="00100084"/>
    <w:rsid w:val="00100B0C"/>
    <w:rsid w:val="00101FEF"/>
    <w:rsid w:val="00102107"/>
    <w:rsid w:val="001022D8"/>
    <w:rsid w:val="001030C8"/>
    <w:rsid w:val="0010382B"/>
    <w:rsid w:val="0010402C"/>
    <w:rsid w:val="00104BEF"/>
    <w:rsid w:val="00106104"/>
    <w:rsid w:val="00106744"/>
    <w:rsid w:val="001067F1"/>
    <w:rsid w:val="00106D68"/>
    <w:rsid w:val="00106DB8"/>
    <w:rsid w:val="00107C37"/>
    <w:rsid w:val="001118A1"/>
    <w:rsid w:val="0011226D"/>
    <w:rsid w:val="00112282"/>
    <w:rsid w:val="001129E4"/>
    <w:rsid w:val="00112F88"/>
    <w:rsid w:val="00113080"/>
    <w:rsid w:val="001143B7"/>
    <w:rsid w:val="001150AE"/>
    <w:rsid w:val="00115E60"/>
    <w:rsid w:val="001174F3"/>
    <w:rsid w:val="00117715"/>
    <w:rsid w:val="00117869"/>
    <w:rsid w:val="00121590"/>
    <w:rsid w:val="00121F3E"/>
    <w:rsid w:val="00122DF8"/>
    <w:rsid w:val="00122FDA"/>
    <w:rsid w:val="00123704"/>
    <w:rsid w:val="00123BED"/>
    <w:rsid w:val="0012497C"/>
    <w:rsid w:val="001249A3"/>
    <w:rsid w:val="00125E0A"/>
    <w:rsid w:val="00127C0E"/>
    <w:rsid w:val="00127C46"/>
    <w:rsid w:val="00130754"/>
    <w:rsid w:val="0013088D"/>
    <w:rsid w:val="00130CF9"/>
    <w:rsid w:val="00130FA0"/>
    <w:rsid w:val="001319DD"/>
    <w:rsid w:val="00132619"/>
    <w:rsid w:val="0013340A"/>
    <w:rsid w:val="00134D7D"/>
    <w:rsid w:val="001377F3"/>
    <w:rsid w:val="0014018E"/>
    <w:rsid w:val="001405A4"/>
    <w:rsid w:val="001409D4"/>
    <w:rsid w:val="0014102C"/>
    <w:rsid w:val="0014107C"/>
    <w:rsid w:val="00141CBD"/>
    <w:rsid w:val="0014204D"/>
    <w:rsid w:val="001426B8"/>
    <w:rsid w:val="00142DCF"/>
    <w:rsid w:val="001433C3"/>
    <w:rsid w:val="00144958"/>
    <w:rsid w:val="00146F8C"/>
    <w:rsid w:val="00147B95"/>
    <w:rsid w:val="001508DF"/>
    <w:rsid w:val="00150D59"/>
    <w:rsid w:val="001511F8"/>
    <w:rsid w:val="0015124F"/>
    <w:rsid w:val="00152CDD"/>
    <w:rsid w:val="00153090"/>
    <w:rsid w:val="001545B1"/>
    <w:rsid w:val="001551A8"/>
    <w:rsid w:val="00156008"/>
    <w:rsid w:val="00156988"/>
    <w:rsid w:val="00156BA8"/>
    <w:rsid w:val="00156C5E"/>
    <w:rsid w:val="00156CA9"/>
    <w:rsid w:val="00157170"/>
    <w:rsid w:val="00157743"/>
    <w:rsid w:val="00157E54"/>
    <w:rsid w:val="00161569"/>
    <w:rsid w:val="00161791"/>
    <w:rsid w:val="00161E9D"/>
    <w:rsid w:val="0016335F"/>
    <w:rsid w:val="001640B3"/>
    <w:rsid w:val="00164696"/>
    <w:rsid w:val="001651FB"/>
    <w:rsid w:val="00165B14"/>
    <w:rsid w:val="00165E47"/>
    <w:rsid w:val="00166D57"/>
    <w:rsid w:val="00167BA9"/>
    <w:rsid w:val="00170125"/>
    <w:rsid w:val="00170624"/>
    <w:rsid w:val="00170B3F"/>
    <w:rsid w:val="00170FDB"/>
    <w:rsid w:val="0017100C"/>
    <w:rsid w:val="0017126C"/>
    <w:rsid w:val="00171500"/>
    <w:rsid w:val="00171721"/>
    <w:rsid w:val="0017233B"/>
    <w:rsid w:val="0017295D"/>
    <w:rsid w:val="00172E5C"/>
    <w:rsid w:val="00173577"/>
    <w:rsid w:val="00173D8E"/>
    <w:rsid w:val="0017404A"/>
    <w:rsid w:val="00174C71"/>
    <w:rsid w:val="00174C76"/>
    <w:rsid w:val="00174E4E"/>
    <w:rsid w:val="001753FF"/>
    <w:rsid w:val="001755CB"/>
    <w:rsid w:val="001755FB"/>
    <w:rsid w:val="00176A87"/>
    <w:rsid w:val="001772C5"/>
    <w:rsid w:val="001773BD"/>
    <w:rsid w:val="0017789D"/>
    <w:rsid w:val="00177FDA"/>
    <w:rsid w:val="0018042B"/>
    <w:rsid w:val="00180B19"/>
    <w:rsid w:val="00180BC8"/>
    <w:rsid w:val="00181066"/>
    <w:rsid w:val="00182D55"/>
    <w:rsid w:val="0018373C"/>
    <w:rsid w:val="00183EB7"/>
    <w:rsid w:val="0018410E"/>
    <w:rsid w:val="00184983"/>
    <w:rsid w:val="001852FC"/>
    <w:rsid w:val="0018574C"/>
    <w:rsid w:val="00186109"/>
    <w:rsid w:val="00187007"/>
    <w:rsid w:val="00190796"/>
    <w:rsid w:val="00190E38"/>
    <w:rsid w:val="00190F35"/>
    <w:rsid w:val="0019109E"/>
    <w:rsid w:val="00193853"/>
    <w:rsid w:val="00194049"/>
    <w:rsid w:val="00194375"/>
    <w:rsid w:val="001959A0"/>
    <w:rsid w:val="001963C7"/>
    <w:rsid w:val="00196D13"/>
    <w:rsid w:val="00196ED1"/>
    <w:rsid w:val="0019755B"/>
    <w:rsid w:val="001A022D"/>
    <w:rsid w:val="001A175E"/>
    <w:rsid w:val="001A1771"/>
    <w:rsid w:val="001A1B46"/>
    <w:rsid w:val="001A2721"/>
    <w:rsid w:val="001A3476"/>
    <w:rsid w:val="001A3BC8"/>
    <w:rsid w:val="001A3F34"/>
    <w:rsid w:val="001A4120"/>
    <w:rsid w:val="001A42CC"/>
    <w:rsid w:val="001A5A15"/>
    <w:rsid w:val="001A60DC"/>
    <w:rsid w:val="001A6907"/>
    <w:rsid w:val="001A7354"/>
    <w:rsid w:val="001B0004"/>
    <w:rsid w:val="001B005A"/>
    <w:rsid w:val="001B1464"/>
    <w:rsid w:val="001B14E5"/>
    <w:rsid w:val="001B2790"/>
    <w:rsid w:val="001B2BE6"/>
    <w:rsid w:val="001B2E85"/>
    <w:rsid w:val="001B39C9"/>
    <w:rsid w:val="001B40BE"/>
    <w:rsid w:val="001B5501"/>
    <w:rsid w:val="001B5766"/>
    <w:rsid w:val="001B645B"/>
    <w:rsid w:val="001B6D0B"/>
    <w:rsid w:val="001B71DB"/>
    <w:rsid w:val="001C0AF7"/>
    <w:rsid w:val="001C0E03"/>
    <w:rsid w:val="001C1EA8"/>
    <w:rsid w:val="001C209C"/>
    <w:rsid w:val="001C33DA"/>
    <w:rsid w:val="001C390A"/>
    <w:rsid w:val="001C4584"/>
    <w:rsid w:val="001C45CF"/>
    <w:rsid w:val="001C4EDA"/>
    <w:rsid w:val="001C5DBE"/>
    <w:rsid w:val="001C725F"/>
    <w:rsid w:val="001C784E"/>
    <w:rsid w:val="001D2B30"/>
    <w:rsid w:val="001D3861"/>
    <w:rsid w:val="001D5E3F"/>
    <w:rsid w:val="001D74FA"/>
    <w:rsid w:val="001D7DE2"/>
    <w:rsid w:val="001D7E7C"/>
    <w:rsid w:val="001E003B"/>
    <w:rsid w:val="001E1256"/>
    <w:rsid w:val="001E3658"/>
    <w:rsid w:val="001E4D1E"/>
    <w:rsid w:val="001E4EDA"/>
    <w:rsid w:val="001E6AC1"/>
    <w:rsid w:val="001E783B"/>
    <w:rsid w:val="001F0697"/>
    <w:rsid w:val="001F150C"/>
    <w:rsid w:val="001F18D8"/>
    <w:rsid w:val="001F20EE"/>
    <w:rsid w:val="001F2172"/>
    <w:rsid w:val="001F27D1"/>
    <w:rsid w:val="001F3D0A"/>
    <w:rsid w:val="001F5420"/>
    <w:rsid w:val="001F562A"/>
    <w:rsid w:val="001F619C"/>
    <w:rsid w:val="001F632A"/>
    <w:rsid w:val="001F74B3"/>
    <w:rsid w:val="001F7821"/>
    <w:rsid w:val="00200574"/>
    <w:rsid w:val="0020155D"/>
    <w:rsid w:val="00201770"/>
    <w:rsid w:val="00202AF0"/>
    <w:rsid w:val="00203B0C"/>
    <w:rsid w:val="00203B69"/>
    <w:rsid w:val="0020454A"/>
    <w:rsid w:val="00204B30"/>
    <w:rsid w:val="00204DEF"/>
    <w:rsid w:val="00206F76"/>
    <w:rsid w:val="0020722B"/>
    <w:rsid w:val="002072FF"/>
    <w:rsid w:val="00207799"/>
    <w:rsid w:val="00207C3A"/>
    <w:rsid w:val="00210041"/>
    <w:rsid w:val="0021038E"/>
    <w:rsid w:val="0021139F"/>
    <w:rsid w:val="002119BE"/>
    <w:rsid w:val="00211A1A"/>
    <w:rsid w:val="00213631"/>
    <w:rsid w:val="0021386F"/>
    <w:rsid w:val="00213E89"/>
    <w:rsid w:val="00214B8D"/>
    <w:rsid w:val="0021516F"/>
    <w:rsid w:val="00216A64"/>
    <w:rsid w:val="00217B72"/>
    <w:rsid w:val="00221F47"/>
    <w:rsid w:val="00222FCB"/>
    <w:rsid w:val="00223215"/>
    <w:rsid w:val="002233F0"/>
    <w:rsid w:val="00223951"/>
    <w:rsid w:val="00223DEF"/>
    <w:rsid w:val="00224BE3"/>
    <w:rsid w:val="00224FA7"/>
    <w:rsid w:val="00225F88"/>
    <w:rsid w:val="00225FD6"/>
    <w:rsid w:val="002264C0"/>
    <w:rsid w:val="00227825"/>
    <w:rsid w:val="00230452"/>
    <w:rsid w:val="00230CE0"/>
    <w:rsid w:val="00232A10"/>
    <w:rsid w:val="0023320B"/>
    <w:rsid w:val="00233286"/>
    <w:rsid w:val="002338A7"/>
    <w:rsid w:val="00234079"/>
    <w:rsid w:val="00234148"/>
    <w:rsid w:val="002344A6"/>
    <w:rsid w:val="002346EC"/>
    <w:rsid w:val="002346FA"/>
    <w:rsid w:val="00235E2D"/>
    <w:rsid w:val="00235E34"/>
    <w:rsid w:val="00236450"/>
    <w:rsid w:val="002365CA"/>
    <w:rsid w:val="0023671D"/>
    <w:rsid w:val="0023688A"/>
    <w:rsid w:val="002369BA"/>
    <w:rsid w:val="00236A21"/>
    <w:rsid w:val="00240EE7"/>
    <w:rsid w:val="0024108E"/>
    <w:rsid w:val="0024167D"/>
    <w:rsid w:val="00241794"/>
    <w:rsid w:val="0024455A"/>
    <w:rsid w:val="00244EEB"/>
    <w:rsid w:val="00244F7C"/>
    <w:rsid w:val="00245BA5"/>
    <w:rsid w:val="00246EAF"/>
    <w:rsid w:val="002474CD"/>
    <w:rsid w:val="002474F0"/>
    <w:rsid w:val="00247B7C"/>
    <w:rsid w:val="00250F81"/>
    <w:rsid w:val="00251A70"/>
    <w:rsid w:val="00251AB8"/>
    <w:rsid w:val="00251CEA"/>
    <w:rsid w:val="002520D0"/>
    <w:rsid w:val="00252AD9"/>
    <w:rsid w:val="00252ED3"/>
    <w:rsid w:val="00252FCB"/>
    <w:rsid w:val="00253439"/>
    <w:rsid w:val="002535DC"/>
    <w:rsid w:val="00255E56"/>
    <w:rsid w:val="002566FD"/>
    <w:rsid w:val="0025702F"/>
    <w:rsid w:val="00260EB1"/>
    <w:rsid w:val="0026179A"/>
    <w:rsid w:val="002620B1"/>
    <w:rsid w:val="00262E79"/>
    <w:rsid w:val="00263F0D"/>
    <w:rsid w:val="00264658"/>
    <w:rsid w:val="00264BC4"/>
    <w:rsid w:val="00264E44"/>
    <w:rsid w:val="00265525"/>
    <w:rsid w:val="002663E4"/>
    <w:rsid w:val="00267538"/>
    <w:rsid w:val="00270947"/>
    <w:rsid w:val="002709D8"/>
    <w:rsid w:val="00270ED9"/>
    <w:rsid w:val="00270F01"/>
    <w:rsid w:val="00272230"/>
    <w:rsid w:val="002752B2"/>
    <w:rsid w:val="00275890"/>
    <w:rsid w:val="00275B2A"/>
    <w:rsid w:val="00276288"/>
    <w:rsid w:val="00276682"/>
    <w:rsid w:val="0027714D"/>
    <w:rsid w:val="00277341"/>
    <w:rsid w:val="00277441"/>
    <w:rsid w:val="00277461"/>
    <w:rsid w:val="0027759C"/>
    <w:rsid w:val="002776CE"/>
    <w:rsid w:val="00280551"/>
    <w:rsid w:val="00280FA8"/>
    <w:rsid w:val="0028203F"/>
    <w:rsid w:val="00282324"/>
    <w:rsid w:val="0028298B"/>
    <w:rsid w:val="00282B83"/>
    <w:rsid w:val="00283089"/>
    <w:rsid w:val="0028460B"/>
    <w:rsid w:val="0028596B"/>
    <w:rsid w:val="002864C4"/>
    <w:rsid w:val="00287B99"/>
    <w:rsid w:val="00287F6A"/>
    <w:rsid w:val="002902B4"/>
    <w:rsid w:val="002911B2"/>
    <w:rsid w:val="0029164D"/>
    <w:rsid w:val="00291EB5"/>
    <w:rsid w:val="00292170"/>
    <w:rsid w:val="00292B49"/>
    <w:rsid w:val="00293F1E"/>
    <w:rsid w:val="002959C4"/>
    <w:rsid w:val="00297A47"/>
    <w:rsid w:val="002A00CE"/>
    <w:rsid w:val="002A05F0"/>
    <w:rsid w:val="002A266F"/>
    <w:rsid w:val="002A3E36"/>
    <w:rsid w:val="002A629B"/>
    <w:rsid w:val="002A6919"/>
    <w:rsid w:val="002A6B32"/>
    <w:rsid w:val="002A7E23"/>
    <w:rsid w:val="002B020F"/>
    <w:rsid w:val="002B0B2F"/>
    <w:rsid w:val="002B188C"/>
    <w:rsid w:val="002B2E68"/>
    <w:rsid w:val="002B3695"/>
    <w:rsid w:val="002B3827"/>
    <w:rsid w:val="002B3C2E"/>
    <w:rsid w:val="002B48E9"/>
    <w:rsid w:val="002B4ABA"/>
    <w:rsid w:val="002B6F8B"/>
    <w:rsid w:val="002B7B5D"/>
    <w:rsid w:val="002C02FB"/>
    <w:rsid w:val="002C0434"/>
    <w:rsid w:val="002C11A2"/>
    <w:rsid w:val="002C13B1"/>
    <w:rsid w:val="002C2F94"/>
    <w:rsid w:val="002C38C3"/>
    <w:rsid w:val="002C3F5C"/>
    <w:rsid w:val="002C426A"/>
    <w:rsid w:val="002C4C1F"/>
    <w:rsid w:val="002C6EB1"/>
    <w:rsid w:val="002C70C7"/>
    <w:rsid w:val="002C781F"/>
    <w:rsid w:val="002D05A4"/>
    <w:rsid w:val="002D0844"/>
    <w:rsid w:val="002D0E10"/>
    <w:rsid w:val="002D1A9F"/>
    <w:rsid w:val="002D1BCA"/>
    <w:rsid w:val="002D23E7"/>
    <w:rsid w:val="002D3CCA"/>
    <w:rsid w:val="002D444F"/>
    <w:rsid w:val="002D44E8"/>
    <w:rsid w:val="002D528F"/>
    <w:rsid w:val="002D549F"/>
    <w:rsid w:val="002D59CD"/>
    <w:rsid w:val="002D7B56"/>
    <w:rsid w:val="002D7EDA"/>
    <w:rsid w:val="002E09C4"/>
    <w:rsid w:val="002E0AD5"/>
    <w:rsid w:val="002E0AFC"/>
    <w:rsid w:val="002E16CB"/>
    <w:rsid w:val="002E16D5"/>
    <w:rsid w:val="002E1794"/>
    <w:rsid w:val="002E1D85"/>
    <w:rsid w:val="002E20DD"/>
    <w:rsid w:val="002E3592"/>
    <w:rsid w:val="002E4907"/>
    <w:rsid w:val="002E5259"/>
    <w:rsid w:val="002E5D59"/>
    <w:rsid w:val="002E61CB"/>
    <w:rsid w:val="002E69A2"/>
    <w:rsid w:val="002E6C4D"/>
    <w:rsid w:val="002E71CE"/>
    <w:rsid w:val="002E7970"/>
    <w:rsid w:val="002E7DC6"/>
    <w:rsid w:val="002F04D8"/>
    <w:rsid w:val="002F1064"/>
    <w:rsid w:val="002F237B"/>
    <w:rsid w:val="002F2727"/>
    <w:rsid w:val="002F3B8F"/>
    <w:rsid w:val="002F4511"/>
    <w:rsid w:val="002F5FEC"/>
    <w:rsid w:val="003001DF"/>
    <w:rsid w:val="00300215"/>
    <w:rsid w:val="00302656"/>
    <w:rsid w:val="003037C3"/>
    <w:rsid w:val="00303DBB"/>
    <w:rsid w:val="00304077"/>
    <w:rsid w:val="00305295"/>
    <w:rsid w:val="00306621"/>
    <w:rsid w:val="0030764E"/>
    <w:rsid w:val="00307BF0"/>
    <w:rsid w:val="00307E9C"/>
    <w:rsid w:val="00310CB4"/>
    <w:rsid w:val="00311964"/>
    <w:rsid w:val="003129A2"/>
    <w:rsid w:val="00312B0C"/>
    <w:rsid w:val="00312B20"/>
    <w:rsid w:val="00313D6A"/>
    <w:rsid w:val="00314807"/>
    <w:rsid w:val="00316CAF"/>
    <w:rsid w:val="00317254"/>
    <w:rsid w:val="00317DF9"/>
    <w:rsid w:val="003202A7"/>
    <w:rsid w:val="00320383"/>
    <w:rsid w:val="003204CD"/>
    <w:rsid w:val="003212CE"/>
    <w:rsid w:val="00321882"/>
    <w:rsid w:val="003220C5"/>
    <w:rsid w:val="00323DB3"/>
    <w:rsid w:val="0032450F"/>
    <w:rsid w:val="00324783"/>
    <w:rsid w:val="00324D09"/>
    <w:rsid w:val="0032529C"/>
    <w:rsid w:val="003252EA"/>
    <w:rsid w:val="00325803"/>
    <w:rsid w:val="00325B83"/>
    <w:rsid w:val="00325E3F"/>
    <w:rsid w:val="00330FB8"/>
    <w:rsid w:val="003314DB"/>
    <w:rsid w:val="003321AE"/>
    <w:rsid w:val="003328DD"/>
    <w:rsid w:val="00332DAE"/>
    <w:rsid w:val="003330E6"/>
    <w:rsid w:val="00334626"/>
    <w:rsid w:val="0033599F"/>
    <w:rsid w:val="00336127"/>
    <w:rsid w:val="00336879"/>
    <w:rsid w:val="0033732A"/>
    <w:rsid w:val="003374E8"/>
    <w:rsid w:val="00340245"/>
    <w:rsid w:val="0034207E"/>
    <w:rsid w:val="003437C3"/>
    <w:rsid w:val="00343DBB"/>
    <w:rsid w:val="003447E7"/>
    <w:rsid w:val="00344967"/>
    <w:rsid w:val="003467F0"/>
    <w:rsid w:val="0034782A"/>
    <w:rsid w:val="00347D96"/>
    <w:rsid w:val="003506DF"/>
    <w:rsid w:val="00350EEC"/>
    <w:rsid w:val="00351097"/>
    <w:rsid w:val="00351507"/>
    <w:rsid w:val="0035297D"/>
    <w:rsid w:val="00352B9B"/>
    <w:rsid w:val="0035322D"/>
    <w:rsid w:val="00353C3B"/>
    <w:rsid w:val="0035435A"/>
    <w:rsid w:val="003547E6"/>
    <w:rsid w:val="0035480C"/>
    <w:rsid w:val="003552CE"/>
    <w:rsid w:val="00356452"/>
    <w:rsid w:val="00356FDA"/>
    <w:rsid w:val="0035798B"/>
    <w:rsid w:val="00357C6D"/>
    <w:rsid w:val="00360012"/>
    <w:rsid w:val="003608EC"/>
    <w:rsid w:val="003611D2"/>
    <w:rsid w:val="003621C0"/>
    <w:rsid w:val="003629D2"/>
    <w:rsid w:val="00362D25"/>
    <w:rsid w:val="003631A8"/>
    <w:rsid w:val="003635E5"/>
    <w:rsid w:val="00364CFC"/>
    <w:rsid w:val="00365AF0"/>
    <w:rsid w:val="00366CAC"/>
    <w:rsid w:val="003672A2"/>
    <w:rsid w:val="0036739B"/>
    <w:rsid w:val="00367792"/>
    <w:rsid w:val="00367E95"/>
    <w:rsid w:val="00370182"/>
    <w:rsid w:val="0037194C"/>
    <w:rsid w:val="00371B79"/>
    <w:rsid w:val="00371BF9"/>
    <w:rsid w:val="00371E05"/>
    <w:rsid w:val="00372103"/>
    <w:rsid w:val="00372C40"/>
    <w:rsid w:val="00372EB9"/>
    <w:rsid w:val="003730BF"/>
    <w:rsid w:val="00373110"/>
    <w:rsid w:val="00375F2D"/>
    <w:rsid w:val="00376046"/>
    <w:rsid w:val="0037709C"/>
    <w:rsid w:val="003772ED"/>
    <w:rsid w:val="003807E1"/>
    <w:rsid w:val="00381BAE"/>
    <w:rsid w:val="003826D0"/>
    <w:rsid w:val="00383416"/>
    <w:rsid w:val="0038422B"/>
    <w:rsid w:val="00384844"/>
    <w:rsid w:val="00384A09"/>
    <w:rsid w:val="00385342"/>
    <w:rsid w:val="0038561C"/>
    <w:rsid w:val="00386891"/>
    <w:rsid w:val="0039023B"/>
    <w:rsid w:val="003909F3"/>
    <w:rsid w:val="00390D1E"/>
    <w:rsid w:val="00390D65"/>
    <w:rsid w:val="00393324"/>
    <w:rsid w:val="0039540E"/>
    <w:rsid w:val="00395934"/>
    <w:rsid w:val="00395E6D"/>
    <w:rsid w:val="00396074"/>
    <w:rsid w:val="00396219"/>
    <w:rsid w:val="00396D30"/>
    <w:rsid w:val="003975FA"/>
    <w:rsid w:val="003A00A6"/>
    <w:rsid w:val="003A0C50"/>
    <w:rsid w:val="003A0D3E"/>
    <w:rsid w:val="003A1256"/>
    <w:rsid w:val="003A1318"/>
    <w:rsid w:val="003A1C5A"/>
    <w:rsid w:val="003A20AE"/>
    <w:rsid w:val="003A2326"/>
    <w:rsid w:val="003A2B0F"/>
    <w:rsid w:val="003A3034"/>
    <w:rsid w:val="003A34A9"/>
    <w:rsid w:val="003A35AB"/>
    <w:rsid w:val="003A5978"/>
    <w:rsid w:val="003A5B3C"/>
    <w:rsid w:val="003A5F6A"/>
    <w:rsid w:val="003A733C"/>
    <w:rsid w:val="003B0305"/>
    <w:rsid w:val="003B03DD"/>
    <w:rsid w:val="003B0483"/>
    <w:rsid w:val="003B1407"/>
    <w:rsid w:val="003B178B"/>
    <w:rsid w:val="003B19DB"/>
    <w:rsid w:val="003B2811"/>
    <w:rsid w:val="003B2AD8"/>
    <w:rsid w:val="003B3110"/>
    <w:rsid w:val="003B4457"/>
    <w:rsid w:val="003B4474"/>
    <w:rsid w:val="003B4CC6"/>
    <w:rsid w:val="003B5A3C"/>
    <w:rsid w:val="003B666D"/>
    <w:rsid w:val="003B7806"/>
    <w:rsid w:val="003C021D"/>
    <w:rsid w:val="003C057C"/>
    <w:rsid w:val="003C06FB"/>
    <w:rsid w:val="003C0711"/>
    <w:rsid w:val="003C092C"/>
    <w:rsid w:val="003C238A"/>
    <w:rsid w:val="003C2A9F"/>
    <w:rsid w:val="003C5656"/>
    <w:rsid w:val="003C5BA5"/>
    <w:rsid w:val="003C757B"/>
    <w:rsid w:val="003C75E9"/>
    <w:rsid w:val="003C794B"/>
    <w:rsid w:val="003C7F8A"/>
    <w:rsid w:val="003D099B"/>
    <w:rsid w:val="003D162D"/>
    <w:rsid w:val="003D29BC"/>
    <w:rsid w:val="003D2E6F"/>
    <w:rsid w:val="003D39B4"/>
    <w:rsid w:val="003D4434"/>
    <w:rsid w:val="003D4495"/>
    <w:rsid w:val="003D5815"/>
    <w:rsid w:val="003D5DEC"/>
    <w:rsid w:val="003E2594"/>
    <w:rsid w:val="003E28E0"/>
    <w:rsid w:val="003E2951"/>
    <w:rsid w:val="003E4A3F"/>
    <w:rsid w:val="003E5197"/>
    <w:rsid w:val="003E59A6"/>
    <w:rsid w:val="003E66AF"/>
    <w:rsid w:val="003E673D"/>
    <w:rsid w:val="003E6E41"/>
    <w:rsid w:val="003E6F51"/>
    <w:rsid w:val="003E72BF"/>
    <w:rsid w:val="003E78B6"/>
    <w:rsid w:val="003F09CC"/>
    <w:rsid w:val="003F106A"/>
    <w:rsid w:val="003F155A"/>
    <w:rsid w:val="003F1EDB"/>
    <w:rsid w:val="003F2B10"/>
    <w:rsid w:val="003F37F0"/>
    <w:rsid w:val="003F3A08"/>
    <w:rsid w:val="003F410A"/>
    <w:rsid w:val="003F41F9"/>
    <w:rsid w:val="003F4585"/>
    <w:rsid w:val="003F585F"/>
    <w:rsid w:val="003F5870"/>
    <w:rsid w:val="003F5A74"/>
    <w:rsid w:val="003F5DD3"/>
    <w:rsid w:val="003F69DC"/>
    <w:rsid w:val="003F6C20"/>
    <w:rsid w:val="003F78F9"/>
    <w:rsid w:val="00400B48"/>
    <w:rsid w:val="00400DE1"/>
    <w:rsid w:val="004011B3"/>
    <w:rsid w:val="00402C29"/>
    <w:rsid w:val="00403244"/>
    <w:rsid w:val="00403866"/>
    <w:rsid w:val="00404EB0"/>
    <w:rsid w:val="0040637D"/>
    <w:rsid w:val="00410F24"/>
    <w:rsid w:val="0041184E"/>
    <w:rsid w:val="004120C2"/>
    <w:rsid w:val="00412FA7"/>
    <w:rsid w:val="004141F7"/>
    <w:rsid w:val="00414DF0"/>
    <w:rsid w:val="0041555E"/>
    <w:rsid w:val="0041644B"/>
    <w:rsid w:val="00416786"/>
    <w:rsid w:val="00420660"/>
    <w:rsid w:val="00420E12"/>
    <w:rsid w:val="00420ECC"/>
    <w:rsid w:val="00421F64"/>
    <w:rsid w:val="004228E8"/>
    <w:rsid w:val="00422D6C"/>
    <w:rsid w:val="00423A92"/>
    <w:rsid w:val="00423CA1"/>
    <w:rsid w:val="00423D9F"/>
    <w:rsid w:val="00425266"/>
    <w:rsid w:val="00425EA4"/>
    <w:rsid w:val="004263FB"/>
    <w:rsid w:val="0042710A"/>
    <w:rsid w:val="00427EBC"/>
    <w:rsid w:val="00430674"/>
    <w:rsid w:val="00430717"/>
    <w:rsid w:val="00430738"/>
    <w:rsid w:val="00430BC1"/>
    <w:rsid w:val="00430F16"/>
    <w:rsid w:val="00431111"/>
    <w:rsid w:val="00431688"/>
    <w:rsid w:val="00431D3D"/>
    <w:rsid w:val="00431DA7"/>
    <w:rsid w:val="00432E76"/>
    <w:rsid w:val="0043300A"/>
    <w:rsid w:val="0043317F"/>
    <w:rsid w:val="00433867"/>
    <w:rsid w:val="00435CAE"/>
    <w:rsid w:val="00435EE3"/>
    <w:rsid w:val="00436146"/>
    <w:rsid w:val="00437094"/>
    <w:rsid w:val="00437598"/>
    <w:rsid w:val="00437950"/>
    <w:rsid w:val="0044077F"/>
    <w:rsid w:val="00441743"/>
    <w:rsid w:val="0044209E"/>
    <w:rsid w:val="004424E7"/>
    <w:rsid w:val="00442659"/>
    <w:rsid w:val="00442C65"/>
    <w:rsid w:val="00442E25"/>
    <w:rsid w:val="00442FFF"/>
    <w:rsid w:val="00443B88"/>
    <w:rsid w:val="0044428D"/>
    <w:rsid w:val="004446F6"/>
    <w:rsid w:val="0044537D"/>
    <w:rsid w:val="004513C8"/>
    <w:rsid w:val="00452E1B"/>
    <w:rsid w:val="004532A4"/>
    <w:rsid w:val="00453610"/>
    <w:rsid w:val="00453C8E"/>
    <w:rsid w:val="00455936"/>
    <w:rsid w:val="00455A8F"/>
    <w:rsid w:val="00455E80"/>
    <w:rsid w:val="00456201"/>
    <w:rsid w:val="00460241"/>
    <w:rsid w:val="00460CC2"/>
    <w:rsid w:val="00460EAE"/>
    <w:rsid w:val="00461C5E"/>
    <w:rsid w:val="00462A87"/>
    <w:rsid w:val="00462CB3"/>
    <w:rsid w:val="00462D0D"/>
    <w:rsid w:val="00463857"/>
    <w:rsid w:val="004646DE"/>
    <w:rsid w:val="00464B57"/>
    <w:rsid w:val="00464DA8"/>
    <w:rsid w:val="00464E96"/>
    <w:rsid w:val="004659D9"/>
    <w:rsid w:val="00465A60"/>
    <w:rsid w:val="00466175"/>
    <w:rsid w:val="004662A3"/>
    <w:rsid w:val="004666C2"/>
    <w:rsid w:val="004668DF"/>
    <w:rsid w:val="00467CCE"/>
    <w:rsid w:val="00470EFD"/>
    <w:rsid w:val="00471103"/>
    <w:rsid w:val="00471B5E"/>
    <w:rsid w:val="00472625"/>
    <w:rsid w:val="0047354D"/>
    <w:rsid w:val="0047582B"/>
    <w:rsid w:val="00476177"/>
    <w:rsid w:val="00476BED"/>
    <w:rsid w:val="004774EE"/>
    <w:rsid w:val="00477583"/>
    <w:rsid w:val="00477A91"/>
    <w:rsid w:val="00477B5B"/>
    <w:rsid w:val="00481B51"/>
    <w:rsid w:val="00481CB1"/>
    <w:rsid w:val="00482053"/>
    <w:rsid w:val="004824A5"/>
    <w:rsid w:val="004829C7"/>
    <w:rsid w:val="00482D06"/>
    <w:rsid w:val="00482DFC"/>
    <w:rsid w:val="00482EE8"/>
    <w:rsid w:val="004837BE"/>
    <w:rsid w:val="00485299"/>
    <w:rsid w:val="00485E48"/>
    <w:rsid w:val="00486326"/>
    <w:rsid w:val="00486F27"/>
    <w:rsid w:val="00487542"/>
    <w:rsid w:val="0048777F"/>
    <w:rsid w:val="00487CAE"/>
    <w:rsid w:val="00487D5F"/>
    <w:rsid w:val="00490061"/>
    <w:rsid w:val="004903F9"/>
    <w:rsid w:val="00490B1B"/>
    <w:rsid w:val="00490B80"/>
    <w:rsid w:val="00490F66"/>
    <w:rsid w:val="004910F6"/>
    <w:rsid w:val="0049114A"/>
    <w:rsid w:val="00491431"/>
    <w:rsid w:val="00491B38"/>
    <w:rsid w:val="004924CB"/>
    <w:rsid w:val="0049534B"/>
    <w:rsid w:val="004956DC"/>
    <w:rsid w:val="00495E2D"/>
    <w:rsid w:val="00496130"/>
    <w:rsid w:val="00496516"/>
    <w:rsid w:val="0049726E"/>
    <w:rsid w:val="004A0239"/>
    <w:rsid w:val="004A14F7"/>
    <w:rsid w:val="004A201A"/>
    <w:rsid w:val="004A237E"/>
    <w:rsid w:val="004A29D8"/>
    <w:rsid w:val="004A3A35"/>
    <w:rsid w:val="004A403A"/>
    <w:rsid w:val="004A4EC1"/>
    <w:rsid w:val="004A523E"/>
    <w:rsid w:val="004A5A7B"/>
    <w:rsid w:val="004A666E"/>
    <w:rsid w:val="004A7728"/>
    <w:rsid w:val="004B065E"/>
    <w:rsid w:val="004B08E4"/>
    <w:rsid w:val="004B1323"/>
    <w:rsid w:val="004B24FD"/>
    <w:rsid w:val="004B27A2"/>
    <w:rsid w:val="004B2E87"/>
    <w:rsid w:val="004B306E"/>
    <w:rsid w:val="004B3A96"/>
    <w:rsid w:val="004B4C09"/>
    <w:rsid w:val="004B640D"/>
    <w:rsid w:val="004C015A"/>
    <w:rsid w:val="004C1A55"/>
    <w:rsid w:val="004C1BE0"/>
    <w:rsid w:val="004C20C0"/>
    <w:rsid w:val="004C29A3"/>
    <w:rsid w:val="004C3699"/>
    <w:rsid w:val="004C3852"/>
    <w:rsid w:val="004C4CE4"/>
    <w:rsid w:val="004C6A96"/>
    <w:rsid w:val="004D0B05"/>
    <w:rsid w:val="004D0E02"/>
    <w:rsid w:val="004D1BA1"/>
    <w:rsid w:val="004D1E90"/>
    <w:rsid w:val="004D23AA"/>
    <w:rsid w:val="004D29DE"/>
    <w:rsid w:val="004D2EDC"/>
    <w:rsid w:val="004D3421"/>
    <w:rsid w:val="004D3D4D"/>
    <w:rsid w:val="004D439A"/>
    <w:rsid w:val="004D5488"/>
    <w:rsid w:val="004D6125"/>
    <w:rsid w:val="004D7A3B"/>
    <w:rsid w:val="004D7F0E"/>
    <w:rsid w:val="004E0C69"/>
    <w:rsid w:val="004E0F38"/>
    <w:rsid w:val="004E185A"/>
    <w:rsid w:val="004E27C2"/>
    <w:rsid w:val="004E2D9F"/>
    <w:rsid w:val="004E369D"/>
    <w:rsid w:val="004E42DB"/>
    <w:rsid w:val="004E4450"/>
    <w:rsid w:val="004E52A7"/>
    <w:rsid w:val="004E570F"/>
    <w:rsid w:val="004E59C1"/>
    <w:rsid w:val="004E6541"/>
    <w:rsid w:val="004E6560"/>
    <w:rsid w:val="004E65E7"/>
    <w:rsid w:val="004F1084"/>
    <w:rsid w:val="004F11A6"/>
    <w:rsid w:val="004F18CA"/>
    <w:rsid w:val="004F2501"/>
    <w:rsid w:val="004F25EC"/>
    <w:rsid w:val="004F3874"/>
    <w:rsid w:val="004F3B4B"/>
    <w:rsid w:val="004F3E00"/>
    <w:rsid w:val="004F401D"/>
    <w:rsid w:val="004F4E9F"/>
    <w:rsid w:val="004F5988"/>
    <w:rsid w:val="004F5DD0"/>
    <w:rsid w:val="004F6453"/>
    <w:rsid w:val="004F6BE0"/>
    <w:rsid w:val="00503B4B"/>
    <w:rsid w:val="00503E0C"/>
    <w:rsid w:val="00504588"/>
    <w:rsid w:val="005054E0"/>
    <w:rsid w:val="00506219"/>
    <w:rsid w:val="00506A29"/>
    <w:rsid w:val="00507192"/>
    <w:rsid w:val="0050747E"/>
    <w:rsid w:val="0050777F"/>
    <w:rsid w:val="00507D3E"/>
    <w:rsid w:val="00510714"/>
    <w:rsid w:val="00511875"/>
    <w:rsid w:val="00511ED6"/>
    <w:rsid w:val="00511EFF"/>
    <w:rsid w:val="00511FD3"/>
    <w:rsid w:val="00512430"/>
    <w:rsid w:val="00513D2A"/>
    <w:rsid w:val="005146F3"/>
    <w:rsid w:val="0051485F"/>
    <w:rsid w:val="00515948"/>
    <w:rsid w:val="005163C9"/>
    <w:rsid w:val="005167D0"/>
    <w:rsid w:val="00516AAB"/>
    <w:rsid w:val="00516D07"/>
    <w:rsid w:val="00516D09"/>
    <w:rsid w:val="00516DAA"/>
    <w:rsid w:val="00517A05"/>
    <w:rsid w:val="00517F74"/>
    <w:rsid w:val="00520146"/>
    <w:rsid w:val="00520778"/>
    <w:rsid w:val="00521CAF"/>
    <w:rsid w:val="0052388D"/>
    <w:rsid w:val="00523A2A"/>
    <w:rsid w:val="00523D25"/>
    <w:rsid w:val="00524D41"/>
    <w:rsid w:val="005267B8"/>
    <w:rsid w:val="00526C11"/>
    <w:rsid w:val="005271BE"/>
    <w:rsid w:val="00530480"/>
    <w:rsid w:val="00530B47"/>
    <w:rsid w:val="00531A75"/>
    <w:rsid w:val="005324A1"/>
    <w:rsid w:val="005325A9"/>
    <w:rsid w:val="0053431A"/>
    <w:rsid w:val="0053463E"/>
    <w:rsid w:val="00535794"/>
    <w:rsid w:val="005359B5"/>
    <w:rsid w:val="00536A4B"/>
    <w:rsid w:val="00536E6B"/>
    <w:rsid w:val="00537081"/>
    <w:rsid w:val="005379B9"/>
    <w:rsid w:val="00540333"/>
    <w:rsid w:val="00541515"/>
    <w:rsid w:val="00541A0B"/>
    <w:rsid w:val="005422BA"/>
    <w:rsid w:val="00542358"/>
    <w:rsid w:val="00542CE4"/>
    <w:rsid w:val="0054412F"/>
    <w:rsid w:val="00544206"/>
    <w:rsid w:val="00544DE9"/>
    <w:rsid w:val="00545228"/>
    <w:rsid w:val="00546BE4"/>
    <w:rsid w:val="00546F86"/>
    <w:rsid w:val="005476D5"/>
    <w:rsid w:val="00547F2E"/>
    <w:rsid w:val="00550016"/>
    <w:rsid w:val="00550078"/>
    <w:rsid w:val="005503F8"/>
    <w:rsid w:val="00550400"/>
    <w:rsid w:val="00550E71"/>
    <w:rsid w:val="00551028"/>
    <w:rsid w:val="00553447"/>
    <w:rsid w:val="00554066"/>
    <w:rsid w:val="00554AAC"/>
    <w:rsid w:val="00554DFE"/>
    <w:rsid w:val="00554E58"/>
    <w:rsid w:val="00555D26"/>
    <w:rsid w:val="00561AD5"/>
    <w:rsid w:val="005628F7"/>
    <w:rsid w:val="00562955"/>
    <w:rsid w:val="00564615"/>
    <w:rsid w:val="00564782"/>
    <w:rsid w:val="00564CBE"/>
    <w:rsid w:val="00565598"/>
    <w:rsid w:val="005669CD"/>
    <w:rsid w:val="00566A84"/>
    <w:rsid w:val="0056765F"/>
    <w:rsid w:val="0056780F"/>
    <w:rsid w:val="00567977"/>
    <w:rsid w:val="005679AA"/>
    <w:rsid w:val="00567F73"/>
    <w:rsid w:val="00570FA8"/>
    <w:rsid w:val="00571175"/>
    <w:rsid w:val="005725EE"/>
    <w:rsid w:val="00572F99"/>
    <w:rsid w:val="00573B81"/>
    <w:rsid w:val="0057447D"/>
    <w:rsid w:val="005744BD"/>
    <w:rsid w:val="005749F6"/>
    <w:rsid w:val="00574CF6"/>
    <w:rsid w:val="005751DA"/>
    <w:rsid w:val="0057531F"/>
    <w:rsid w:val="005753B5"/>
    <w:rsid w:val="005758C2"/>
    <w:rsid w:val="00576E69"/>
    <w:rsid w:val="00577036"/>
    <w:rsid w:val="00577615"/>
    <w:rsid w:val="00577928"/>
    <w:rsid w:val="005803BB"/>
    <w:rsid w:val="005809DF"/>
    <w:rsid w:val="00581296"/>
    <w:rsid w:val="00582AFA"/>
    <w:rsid w:val="00583D8B"/>
    <w:rsid w:val="00584052"/>
    <w:rsid w:val="0058560F"/>
    <w:rsid w:val="00586DBF"/>
    <w:rsid w:val="00587590"/>
    <w:rsid w:val="00590753"/>
    <w:rsid w:val="005909E0"/>
    <w:rsid w:val="00591132"/>
    <w:rsid w:val="0059492A"/>
    <w:rsid w:val="00595C68"/>
    <w:rsid w:val="005966DD"/>
    <w:rsid w:val="00596DB0"/>
    <w:rsid w:val="005976DB"/>
    <w:rsid w:val="005A0559"/>
    <w:rsid w:val="005A1B54"/>
    <w:rsid w:val="005A1B99"/>
    <w:rsid w:val="005A1C0F"/>
    <w:rsid w:val="005A2E84"/>
    <w:rsid w:val="005A3B5B"/>
    <w:rsid w:val="005A4FD9"/>
    <w:rsid w:val="005A5441"/>
    <w:rsid w:val="005A7098"/>
    <w:rsid w:val="005A7CCC"/>
    <w:rsid w:val="005B0E6E"/>
    <w:rsid w:val="005B1425"/>
    <w:rsid w:val="005B19BB"/>
    <w:rsid w:val="005B1F14"/>
    <w:rsid w:val="005B2680"/>
    <w:rsid w:val="005B2D29"/>
    <w:rsid w:val="005B3B74"/>
    <w:rsid w:val="005B4A62"/>
    <w:rsid w:val="005B5009"/>
    <w:rsid w:val="005B56F1"/>
    <w:rsid w:val="005B6BEE"/>
    <w:rsid w:val="005C0FA6"/>
    <w:rsid w:val="005C1A26"/>
    <w:rsid w:val="005C1AC1"/>
    <w:rsid w:val="005C30DB"/>
    <w:rsid w:val="005C3798"/>
    <w:rsid w:val="005C3894"/>
    <w:rsid w:val="005C7EFC"/>
    <w:rsid w:val="005D04CE"/>
    <w:rsid w:val="005D14F4"/>
    <w:rsid w:val="005D17D6"/>
    <w:rsid w:val="005D1D81"/>
    <w:rsid w:val="005D2473"/>
    <w:rsid w:val="005D2B98"/>
    <w:rsid w:val="005D40A6"/>
    <w:rsid w:val="005D4E92"/>
    <w:rsid w:val="005D54C6"/>
    <w:rsid w:val="005D661D"/>
    <w:rsid w:val="005D7144"/>
    <w:rsid w:val="005E228A"/>
    <w:rsid w:val="005E23EA"/>
    <w:rsid w:val="005E2B88"/>
    <w:rsid w:val="005E4FA9"/>
    <w:rsid w:val="005E561E"/>
    <w:rsid w:val="005E65D6"/>
    <w:rsid w:val="005E74CB"/>
    <w:rsid w:val="005E7710"/>
    <w:rsid w:val="005F010B"/>
    <w:rsid w:val="005F0114"/>
    <w:rsid w:val="005F0316"/>
    <w:rsid w:val="005F0B13"/>
    <w:rsid w:val="005F1AA2"/>
    <w:rsid w:val="005F1E7F"/>
    <w:rsid w:val="005F2AFE"/>
    <w:rsid w:val="005F2DA4"/>
    <w:rsid w:val="005F32F4"/>
    <w:rsid w:val="005F3DA4"/>
    <w:rsid w:val="005F4313"/>
    <w:rsid w:val="005F5356"/>
    <w:rsid w:val="005F545D"/>
    <w:rsid w:val="005F5B33"/>
    <w:rsid w:val="005F6607"/>
    <w:rsid w:val="005F669F"/>
    <w:rsid w:val="005F6D00"/>
    <w:rsid w:val="005F7AB3"/>
    <w:rsid w:val="006004D4"/>
    <w:rsid w:val="006006DD"/>
    <w:rsid w:val="00601D65"/>
    <w:rsid w:val="00602428"/>
    <w:rsid w:val="00602B41"/>
    <w:rsid w:val="00602D26"/>
    <w:rsid w:val="006035F5"/>
    <w:rsid w:val="00603856"/>
    <w:rsid w:val="00604A9C"/>
    <w:rsid w:val="00605C34"/>
    <w:rsid w:val="00606E04"/>
    <w:rsid w:val="00607646"/>
    <w:rsid w:val="00607A9E"/>
    <w:rsid w:val="0061091B"/>
    <w:rsid w:val="00610F25"/>
    <w:rsid w:val="0061165D"/>
    <w:rsid w:val="00611A0B"/>
    <w:rsid w:val="00612012"/>
    <w:rsid w:val="0061227F"/>
    <w:rsid w:val="00615863"/>
    <w:rsid w:val="0061721B"/>
    <w:rsid w:val="0061786D"/>
    <w:rsid w:val="00621E5E"/>
    <w:rsid w:val="0062204E"/>
    <w:rsid w:val="00622785"/>
    <w:rsid w:val="00624212"/>
    <w:rsid w:val="00624F43"/>
    <w:rsid w:val="006256E9"/>
    <w:rsid w:val="0062579D"/>
    <w:rsid w:val="00625A3E"/>
    <w:rsid w:val="00625CE4"/>
    <w:rsid w:val="00626611"/>
    <w:rsid w:val="006272BE"/>
    <w:rsid w:val="006272CA"/>
    <w:rsid w:val="00627BE7"/>
    <w:rsid w:val="0063018B"/>
    <w:rsid w:val="00630738"/>
    <w:rsid w:val="00630D12"/>
    <w:rsid w:val="0063125E"/>
    <w:rsid w:val="00631530"/>
    <w:rsid w:val="006336DE"/>
    <w:rsid w:val="006340AE"/>
    <w:rsid w:val="006341D0"/>
    <w:rsid w:val="00634564"/>
    <w:rsid w:val="00634FA7"/>
    <w:rsid w:val="00635EA7"/>
    <w:rsid w:val="0063745B"/>
    <w:rsid w:val="00637BA7"/>
    <w:rsid w:val="00640283"/>
    <w:rsid w:val="00640595"/>
    <w:rsid w:val="0064173F"/>
    <w:rsid w:val="006419D0"/>
    <w:rsid w:val="00642689"/>
    <w:rsid w:val="00642879"/>
    <w:rsid w:val="006440BB"/>
    <w:rsid w:val="0064458C"/>
    <w:rsid w:val="0064480B"/>
    <w:rsid w:val="0064568A"/>
    <w:rsid w:val="00645758"/>
    <w:rsid w:val="00645A7C"/>
    <w:rsid w:val="006462B0"/>
    <w:rsid w:val="00646865"/>
    <w:rsid w:val="0064747A"/>
    <w:rsid w:val="00650740"/>
    <w:rsid w:val="006509B6"/>
    <w:rsid w:val="0065189A"/>
    <w:rsid w:val="006523AA"/>
    <w:rsid w:val="00654687"/>
    <w:rsid w:val="00654C59"/>
    <w:rsid w:val="00654CDF"/>
    <w:rsid w:val="006556B1"/>
    <w:rsid w:val="006565D7"/>
    <w:rsid w:val="00656EDB"/>
    <w:rsid w:val="00657645"/>
    <w:rsid w:val="006577F6"/>
    <w:rsid w:val="006617F0"/>
    <w:rsid w:val="00661B2F"/>
    <w:rsid w:val="0066321F"/>
    <w:rsid w:val="00663719"/>
    <w:rsid w:val="00664283"/>
    <w:rsid w:val="00664925"/>
    <w:rsid w:val="00665C3F"/>
    <w:rsid w:val="00667115"/>
    <w:rsid w:val="006676C3"/>
    <w:rsid w:val="0067108D"/>
    <w:rsid w:val="006728E2"/>
    <w:rsid w:val="006736B9"/>
    <w:rsid w:val="00673896"/>
    <w:rsid w:val="00674CC7"/>
    <w:rsid w:val="0067546C"/>
    <w:rsid w:val="00675E4A"/>
    <w:rsid w:val="00675F17"/>
    <w:rsid w:val="00676219"/>
    <w:rsid w:val="006768F1"/>
    <w:rsid w:val="00676D91"/>
    <w:rsid w:val="00676F0E"/>
    <w:rsid w:val="00677CD6"/>
    <w:rsid w:val="0068069F"/>
    <w:rsid w:val="0068078C"/>
    <w:rsid w:val="00680A9B"/>
    <w:rsid w:val="00680ECA"/>
    <w:rsid w:val="006815FE"/>
    <w:rsid w:val="006817CA"/>
    <w:rsid w:val="00681AB7"/>
    <w:rsid w:val="0068200D"/>
    <w:rsid w:val="006826BA"/>
    <w:rsid w:val="0068416D"/>
    <w:rsid w:val="0068427A"/>
    <w:rsid w:val="00685186"/>
    <w:rsid w:val="00685933"/>
    <w:rsid w:val="00685976"/>
    <w:rsid w:val="00686037"/>
    <w:rsid w:val="00686C3F"/>
    <w:rsid w:val="006874F6"/>
    <w:rsid w:val="00687E70"/>
    <w:rsid w:val="00691FCA"/>
    <w:rsid w:val="00692C86"/>
    <w:rsid w:val="00693434"/>
    <w:rsid w:val="0069361E"/>
    <w:rsid w:val="00694603"/>
    <w:rsid w:val="00694A5E"/>
    <w:rsid w:val="00694C04"/>
    <w:rsid w:val="00694DA4"/>
    <w:rsid w:val="00696861"/>
    <w:rsid w:val="00696DCF"/>
    <w:rsid w:val="00696F38"/>
    <w:rsid w:val="006A054B"/>
    <w:rsid w:val="006A1A19"/>
    <w:rsid w:val="006A25C6"/>
    <w:rsid w:val="006A3192"/>
    <w:rsid w:val="006A366B"/>
    <w:rsid w:val="006A38D2"/>
    <w:rsid w:val="006A3CB3"/>
    <w:rsid w:val="006A47B3"/>
    <w:rsid w:val="006A7869"/>
    <w:rsid w:val="006A7BDC"/>
    <w:rsid w:val="006A7DC0"/>
    <w:rsid w:val="006B0296"/>
    <w:rsid w:val="006B068E"/>
    <w:rsid w:val="006B1511"/>
    <w:rsid w:val="006B17D8"/>
    <w:rsid w:val="006B1D81"/>
    <w:rsid w:val="006B32A6"/>
    <w:rsid w:val="006B4563"/>
    <w:rsid w:val="006B5424"/>
    <w:rsid w:val="006B5427"/>
    <w:rsid w:val="006B5750"/>
    <w:rsid w:val="006B5A7D"/>
    <w:rsid w:val="006B5D74"/>
    <w:rsid w:val="006B6197"/>
    <w:rsid w:val="006B7C81"/>
    <w:rsid w:val="006C08DD"/>
    <w:rsid w:val="006C09D1"/>
    <w:rsid w:val="006C0D68"/>
    <w:rsid w:val="006C0F18"/>
    <w:rsid w:val="006C1B66"/>
    <w:rsid w:val="006C2308"/>
    <w:rsid w:val="006C293D"/>
    <w:rsid w:val="006C3053"/>
    <w:rsid w:val="006C3D2B"/>
    <w:rsid w:val="006C3ED8"/>
    <w:rsid w:val="006C4074"/>
    <w:rsid w:val="006C672A"/>
    <w:rsid w:val="006D146B"/>
    <w:rsid w:val="006D16A1"/>
    <w:rsid w:val="006D2031"/>
    <w:rsid w:val="006D23F0"/>
    <w:rsid w:val="006D2DEF"/>
    <w:rsid w:val="006D35C0"/>
    <w:rsid w:val="006D39BF"/>
    <w:rsid w:val="006D5697"/>
    <w:rsid w:val="006D659A"/>
    <w:rsid w:val="006D6E87"/>
    <w:rsid w:val="006D6F98"/>
    <w:rsid w:val="006E0A84"/>
    <w:rsid w:val="006E1045"/>
    <w:rsid w:val="006E18F7"/>
    <w:rsid w:val="006E1F9D"/>
    <w:rsid w:val="006E35A9"/>
    <w:rsid w:val="006E3EF6"/>
    <w:rsid w:val="006E45FE"/>
    <w:rsid w:val="006E5229"/>
    <w:rsid w:val="006E545D"/>
    <w:rsid w:val="006E5C2B"/>
    <w:rsid w:val="006E5FDC"/>
    <w:rsid w:val="006E7F8D"/>
    <w:rsid w:val="006F12BD"/>
    <w:rsid w:val="006F1738"/>
    <w:rsid w:val="006F1BAF"/>
    <w:rsid w:val="006F226C"/>
    <w:rsid w:val="006F27FC"/>
    <w:rsid w:val="006F3567"/>
    <w:rsid w:val="006F53B6"/>
    <w:rsid w:val="006F565B"/>
    <w:rsid w:val="006F59B2"/>
    <w:rsid w:val="006F6C68"/>
    <w:rsid w:val="006F72D3"/>
    <w:rsid w:val="006F751A"/>
    <w:rsid w:val="006F7640"/>
    <w:rsid w:val="006F7DED"/>
    <w:rsid w:val="00701E18"/>
    <w:rsid w:val="00704CB4"/>
    <w:rsid w:val="007053B5"/>
    <w:rsid w:val="00705815"/>
    <w:rsid w:val="00705D04"/>
    <w:rsid w:val="00706F25"/>
    <w:rsid w:val="007075B5"/>
    <w:rsid w:val="00707A2E"/>
    <w:rsid w:val="007102F2"/>
    <w:rsid w:val="00710666"/>
    <w:rsid w:val="007117E6"/>
    <w:rsid w:val="00712732"/>
    <w:rsid w:val="007147A3"/>
    <w:rsid w:val="007153D6"/>
    <w:rsid w:val="00715B08"/>
    <w:rsid w:val="00715C3D"/>
    <w:rsid w:val="00716A53"/>
    <w:rsid w:val="00716BE3"/>
    <w:rsid w:val="007175A1"/>
    <w:rsid w:val="00717A2B"/>
    <w:rsid w:val="00717C3B"/>
    <w:rsid w:val="007203A1"/>
    <w:rsid w:val="00720605"/>
    <w:rsid w:val="00720B35"/>
    <w:rsid w:val="00720EA0"/>
    <w:rsid w:val="00721985"/>
    <w:rsid w:val="007227DE"/>
    <w:rsid w:val="0072333D"/>
    <w:rsid w:val="007249A9"/>
    <w:rsid w:val="007253F7"/>
    <w:rsid w:val="00725CF2"/>
    <w:rsid w:val="007262C9"/>
    <w:rsid w:val="00726C29"/>
    <w:rsid w:val="0072794D"/>
    <w:rsid w:val="00727DF3"/>
    <w:rsid w:val="007301B1"/>
    <w:rsid w:val="0073205A"/>
    <w:rsid w:val="007325BA"/>
    <w:rsid w:val="00732D13"/>
    <w:rsid w:val="00732E0B"/>
    <w:rsid w:val="00732E0F"/>
    <w:rsid w:val="00733591"/>
    <w:rsid w:val="00733C82"/>
    <w:rsid w:val="00734071"/>
    <w:rsid w:val="0073426D"/>
    <w:rsid w:val="007343C9"/>
    <w:rsid w:val="00734EEF"/>
    <w:rsid w:val="007404B7"/>
    <w:rsid w:val="00740BC2"/>
    <w:rsid w:val="00740D9D"/>
    <w:rsid w:val="00741A66"/>
    <w:rsid w:val="00741D0E"/>
    <w:rsid w:val="007420E7"/>
    <w:rsid w:val="00743065"/>
    <w:rsid w:val="007436FA"/>
    <w:rsid w:val="00743CE7"/>
    <w:rsid w:val="00743CEB"/>
    <w:rsid w:val="00744B80"/>
    <w:rsid w:val="007451BF"/>
    <w:rsid w:val="00746722"/>
    <w:rsid w:val="0074787E"/>
    <w:rsid w:val="007479DA"/>
    <w:rsid w:val="00747AEF"/>
    <w:rsid w:val="00747BFD"/>
    <w:rsid w:val="00747C9A"/>
    <w:rsid w:val="00750BAB"/>
    <w:rsid w:val="00751187"/>
    <w:rsid w:val="00751707"/>
    <w:rsid w:val="00752133"/>
    <w:rsid w:val="0075286F"/>
    <w:rsid w:val="00753322"/>
    <w:rsid w:val="007539D1"/>
    <w:rsid w:val="00757DF3"/>
    <w:rsid w:val="00761320"/>
    <w:rsid w:val="007636E0"/>
    <w:rsid w:val="0076682E"/>
    <w:rsid w:val="00767A1C"/>
    <w:rsid w:val="00767ADB"/>
    <w:rsid w:val="007700A8"/>
    <w:rsid w:val="0077039B"/>
    <w:rsid w:val="0077267D"/>
    <w:rsid w:val="007728FC"/>
    <w:rsid w:val="00773456"/>
    <w:rsid w:val="00774D3C"/>
    <w:rsid w:val="00774E8F"/>
    <w:rsid w:val="007753CB"/>
    <w:rsid w:val="007757F7"/>
    <w:rsid w:val="007758E4"/>
    <w:rsid w:val="007759E6"/>
    <w:rsid w:val="007772D1"/>
    <w:rsid w:val="00777B8B"/>
    <w:rsid w:val="007823D8"/>
    <w:rsid w:val="007826AD"/>
    <w:rsid w:val="00783360"/>
    <w:rsid w:val="00783499"/>
    <w:rsid w:val="00783504"/>
    <w:rsid w:val="007837F7"/>
    <w:rsid w:val="00785CD3"/>
    <w:rsid w:val="007873E1"/>
    <w:rsid w:val="00791C64"/>
    <w:rsid w:val="00791DC9"/>
    <w:rsid w:val="007931EB"/>
    <w:rsid w:val="007935E1"/>
    <w:rsid w:val="00793D5A"/>
    <w:rsid w:val="00794271"/>
    <w:rsid w:val="0079499D"/>
    <w:rsid w:val="00794ED0"/>
    <w:rsid w:val="0079524C"/>
    <w:rsid w:val="007956CA"/>
    <w:rsid w:val="00795F00"/>
    <w:rsid w:val="007967B8"/>
    <w:rsid w:val="00796872"/>
    <w:rsid w:val="00797B8F"/>
    <w:rsid w:val="00797D4C"/>
    <w:rsid w:val="007A0774"/>
    <w:rsid w:val="007A08E0"/>
    <w:rsid w:val="007A09BE"/>
    <w:rsid w:val="007A0A35"/>
    <w:rsid w:val="007A0B65"/>
    <w:rsid w:val="007A1438"/>
    <w:rsid w:val="007A1CFD"/>
    <w:rsid w:val="007A2040"/>
    <w:rsid w:val="007A263A"/>
    <w:rsid w:val="007A3B0B"/>
    <w:rsid w:val="007A40CD"/>
    <w:rsid w:val="007A41FD"/>
    <w:rsid w:val="007A5327"/>
    <w:rsid w:val="007A5AA5"/>
    <w:rsid w:val="007A6C69"/>
    <w:rsid w:val="007A7EA5"/>
    <w:rsid w:val="007B0C53"/>
    <w:rsid w:val="007B0CFF"/>
    <w:rsid w:val="007B1627"/>
    <w:rsid w:val="007B1C28"/>
    <w:rsid w:val="007B2AF9"/>
    <w:rsid w:val="007B3D7E"/>
    <w:rsid w:val="007B475D"/>
    <w:rsid w:val="007B5330"/>
    <w:rsid w:val="007B5D45"/>
    <w:rsid w:val="007B61D6"/>
    <w:rsid w:val="007B6379"/>
    <w:rsid w:val="007B6527"/>
    <w:rsid w:val="007B6E0C"/>
    <w:rsid w:val="007B739C"/>
    <w:rsid w:val="007C080C"/>
    <w:rsid w:val="007C1583"/>
    <w:rsid w:val="007C1AFA"/>
    <w:rsid w:val="007C1C38"/>
    <w:rsid w:val="007C2B32"/>
    <w:rsid w:val="007C368D"/>
    <w:rsid w:val="007C3A9D"/>
    <w:rsid w:val="007C6744"/>
    <w:rsid w:val="007C68BF"/>
    <w:rsid w:val="007C6DEA"/>
    <w:rsid w:val="007C7F2D"/>
    <w:rsid w:val="007C7F55"/>
    <w:rsid w:val="007C7F88"/>
    <w:rsid w:val="007D13B5"/>
    <w:rsid w:val="007D2364"/>
    <w:rsid w:val="007D39F2"/>
    <w:rsid w:val="007D4190"/>
    <w:rsid w:val="007D473C"/>
    <w:rsid w:val="007D5111"/>
    <w:rsid w:val="007D70C5"/>
    <w:rsid w:val="007D7A2F"/>
    <w:rsid w:val="007E03CD"/>
    <w:rsid w:val="007E0842"/>
    <w:rsid w:val="007E0932"/>
    <w:rsid w:val="007E15A4"/>
    <w:rsid w:val="007E30D9"/>
    <w:rsid w:val="007E3138"/>
    <w:rsid w:val="007E346D"/>
    <w:rsid w:val="007E37BB"/>
    <w:rsid w:val="007E388B"/>
    <w:rsid w:val="007E46F9"/>
    <w:rsid w:val="007E5920"/>
    <w:rsid w:val="007E7542"/>
    <w:rsid w:val="007E7FD0"/>
    <w:rsid w:val="007F1358"/>
    <w:rsid w:val="007F13E7"/>
    <w:rsid w:val="007F1649"/>
    <w:rsid w:val="007F1E99"/>
    <w:rsid w:val="007F2545"/>
    <w:rsid w:val="007F2A07"/>
    <w:rsid w:val="007F3A18"/>
    <w:rsid w:val="007F59A5"/>
    <w:rsid w:val="007F69BE"/>
    <w:rsid w:val="007F74E6"/>
    <w:rsid w:val="008009CF"/>
    <w:rsid w:val="00800FCF"/>
    <w:rsid w:val="0080114E"/>
    <w:rsid w:val="00801662"/>
    <w:rsid w:val="00802847"/>
    <w:rsid w:val="00803195"/>
    <w:rsid w:val="00803742"/>
    <w:rsid w:val="00805897"/>
    <w:rsid w:val="00806001"/>
    <w:rsid w:val="00806593"/>
    <w:rsid w:val="0080768B"/>
    <w:rsid w:val="008105BB"/>
    <w:rsid w:val="00810A4C"/>
    <w:rsid w:val="00810EA7"/>
    <w:rsid w:val="008111C3"/>
    <w:rsid w:val="008113FA"/>
    <w:rsid w:val="00812844"/>
    <w:rsid w:val="0081325B"/>
    <w:rsid w:val="00815AB9"/>
    <w:rsid w:val="008166C1"/>
    <w:rsid w:val="00817286"/>
    <w:rsid w:val="00817C4F"/>
    <w:rsid w:val="00822322"/>
    <w:rsid w:val="00822847"/>
    <w:rsid w:val="008229E6"/>
    <w:rsid w:val="008238E6"/>
    <w:rsid w:val="00824343"/>
    <w:rsid w:val="00824349"/>
    <w:rsid w:val="008259E3"/>
    <w:rsid w:val="00825A80"/>
    <w:rsid w:val="00826673"/>
    <w:rsid w:val="00826CDB"/>
    <w:rsid w:val="00826F60"/>
    <w:rsid w:val="00830344"/>
    <w:rsid w:val="008307CD"/>
    <w:rsid w:val="00831B4A"/>
    <w:rsid w:val="0083395E"/>
    <w:rsid w:val="00833B24"/>
    <w:rsid w:val="00833CB7"/>
    <w:rsid w:val="00833FDD"/>
    <w:rsid w:val="0083421A"/>
    <w:rsid w:val="00834619"/>
    <w:rsid w:val="0083525F"/>
    <w:rsid w:val="00835330"/>
    <w:rsid w:val="0083586D"/>
    <w:rsid w:val="00840889"/>
    <w:rsid w:val="00840CD7"/>
    <w:rsid w:val="008411A8"/>
    <w:rsid w:val="008411FB"/>
    <w:rsid w:val="00841EB7"/>
    <w:rsid w:val="008435D9"/>
    <w:rsid w:val="008435E1"/>
    <w:rsid w:val="008438F0"/>
    <w:rsid w:val="00844EF6"/>
    <w:rsid w:val="00846784"/>
    <w:rsid w:val="00846A3C"/>
    <w:rsid w:val="00846F91"/>
    <w:rsid w:val="0084740A"/>
    <w:rsid w:val="0084768C"/>
    <w:rsid w:val="00850039"/>
    <w:rsid w:val="00851AF1"/>
    <w:rsid w:val="00852588"/>
    <w:rsid w:val="00853B35"/>
    <w:rsid w:val="00853C58"/>
    <w:rsid w:val="00856EB0"/>
    <w:rsid w:val="00857350"/>
    <w:rsid w:val="00860251"/>
    <w:rsid w:val="00860280"/>
    <w:rsid w:val="008611F3"/>
    <w:rsid w:val="008617BA"/>
    <w:rsid w:val="00862D5C"/>
    <w:rsid w:val="00863035"/>
    <w:rsid w:val="00863E1E"/>
    <w:rsid w:val="00863EEC"/>
    <w:rsid w:val="00863F75"/>
    <w:rsid w:val="008653B6"/>
    <w:rsid w:val="00866974"/>
    <w:rsid w:val="00867132"/>
    <w:rsid w:val="0086757E"/>
    <w:rsid w:val="008676DF"/>
    <w:rsid w:val="008678E9"/>
    <w:rsid w:val="00870F2F"/>
    <w:rsid w:val="0087129E"/>
    <w:rsid w:val="00872221"/>
    <w:rsid w:val="008739E3"/>
    <w:rsid w:val="00874852"/>
    <w:rsid w:val="008750C8"/>
    <w:rsid w:val="00875869"/>
    <w:rsid w:val="00880B57"/>
    <w:rsid w:val="00882172"/>
    <w:rsid w:val="00882655"/>
    <w:rsid w:val="008862D7"/>
    <w:rsid w:val="0088687F"/>
    <w:rsid w:val="008872B2"/>
    <w:rsid w:val="008910C5"/>
    <w:rsid w:val="008922CE"/>
    <w:rsid w:val="008927DF"/>
    <w:rsid w:val="00893317"/>
    <w:rsid w:val="00893423"/>
    <w:rsid w:val="008936FB"/>
    <w:rsid w:val="00893E8D"/>
    <w:rsid w:val="00894099"/>
    <w:rsid w:val="00895289"/>
    <w:rsid w:val="008964B9"/>
    <w:rsid w:val="00896F06"/>
    <w:rsid w:val="00897367"/>
    <w:rsid w:val="00897464"/>
    <w:rsid w:val="00897BC7"/>
    <w:rsid w:val="008A02F1"/>
    <w:rsid w:val="008A03C0"/>
    <w:rsid w:val="008A0F3B"/>
    <w:rsid w:val="008A325D"/>
    <w:rsid w:val="008A329D"/>
    <w:rsid w:val="008A32F7"/>
    <w:rsid w:val="008A4B2F"/>
    <w:rsid w:val="008A520D"/>
    <w:rsid w:val="008A525D"/>
    <w:rsid w:val="008A568E"/>
    <w:rsid w:val="008A5723"/>
    <w:rsid w:val="008A69B9"/>
    <w:rsid w:val="008A7292"/>
    <w:rsid w:val="008A74AC"/>
    <w:rsid w:val="008B03B9"/>
    <w:rsid w:val="008B0C4E"/>
    <w:rsid w:val="008B200A"/>
    <w:rsid w:val="008B2182"/>
    <w:rsid w:val="008B281A"/>
    <w:rsid w:val="008B3E5B"/>
    <w:rsid w:val="008B4C00"/>
    <w:rsid w:val="008B5B0B"/>
    <w:rsid w:val="008B60A4"/>
    <w:rsid w:val="008B6BCF"/>
    <w:rsid w:val="008B7060"/>
    <w:rsid w:val="008B7175"/>
    <w:rsid w:val="008C0023"/>
    <w:rsid w:val="008C01ED"/>
    <w:rsid w:val="008C0A13"/>
    <w:rsid w:val="008C20E0"/>
    <w:rsid w:val="008C3941"/>
    <w:rsid w:val="008C3B90"/>
    <w:rsid w:val="008C6E7C"/>
    <w:rsid w:val="008C7770"/>
    <w:rsid w:val="008D0A38"/>
    <w:rsid w:val="008D0F3B"/>
    <w:rsid w:val="008D1414"/>
    <w:rsid w:val="008D32A8"/>
    <w:rsid w:val="008D32C5"/>
    <w:rsid w:val="008D3664"/>
    <w:rsid w:val="008D3E25"/>
    <w:rsid w:val="008D68CC"/>
    <w:rsid w:val="008D68EF"/>
    <w:rsid w:val="008D6B8D"/>
    <w:rsid w:val="008D73BA"/>
    <w:rsid w:val="008E0363"/>
    <w:rsid w:val="008E149C"/>
    <w:rsid w:val="008E189F"/>
    <w:rsid w:val="008E1B62"/>
    <w:rsid w:val="008E1CB5"/>
    <w:rsid w:val="008E290C"/>
    <w:rsid w:val="008E33CF"/>
    <w:rsid w:val="008E3A29"/>
    <w:rsid w:val="008E4758"/>
    <w:rsid w:val="008E4AE7"/>
    <w:rsid w:val="008E4F18"/>
    <w:rsid w:val="008E504F"/>
    <w:rsid w:val="008E51A9"/>
    <w:rsid w:val="008E7BFC"/>
    <w:rsid w:val="008F1334"/>
    <w:rsid w:val="008F1EA6"/>
    <w:rsid w:val="008F1F60"/>
    <w:rsid w:val="008F48FC"/>
    <w:rsid w:val="008F4B3E"/>
    <w:rsid w:val="008F5169"/>
    <w:rsid w:val="008F534E"/>
    <w:rsid w:val="008F5C6C"/>
    <w:rsid w:val="008F66D3"/>
    <w:rsid w:val="008F7ADA"/>
    <w:rsid w:val="00900175"/>
    <w:rsid w:val="009001B2"/>
    <w:rsid w:val="00901140"/>
    <w:rsid w:val="00901E77"/>
    <w:rsid w:val="009038E7"/>
    <w:rsid w:val="00903D9F"/>
    <w:rsid w:val="00905E64"/>
    <w:rsid w:val="009061EF"/>
    <w:rsid w:val="00907477"/>
    <w:rsid w:val="00907ED5"/>
    <w:rsid w:val="0091015E"/>
    <w:rsid w:val="00911794"/>
    <w:rsid w:val="009118E3"/>
    <w:rsid w:val="00911FD2"/>
    <w:rsid w:val="0091244C"/>
    <w:rsid w:val="00913434"/>
    <w:rsid w:val="0091350E"/>
    <w:rsid w:val="00915133"/>
    <w:rsid w:val="00915A0C"/>
    <w:rsid w:val="00916E57"/>
    <w:rsid w:val="0091726B"/>
    <w:rsid w:val="009205C2"/>
    <w:rsid w:val="00920AD4"/>
    <w:rsid w:val="0092157D"/>
    <w:rsid w:val="009219FC"/>
    <w:rsid w:val="009237FC"/>
    <w:rsid w:val="00923862"/>
    <w:rsid w:val="00926659"/>
    <w:rsid w:val="00927A4C"/>
    <w:rsid w:val="00930823"/>
    <w:rsid w:val="0093281C"/>
    <w:rsid w:val="00934C07"/>
    <w:rsid w:val="009350E8"/>
    <w:rsid w:val="00936275"/>
    <w:rsid w:val="0093640B"/>
    <w:rsid w:val="00937435"/>
    <w:rsid w:val="0093758C"/>
    <w:rsid w:val="00937B67"/>
    <w:rsid w:val="009414F7"/>
    <w:rsid w:val="00942D12"/>
    <w:rsid w:val="0094383E"/>
    <w:rsid w:val="0094487A"/>
    <w:rsid w:val="00945261"/>
    <w:rsid w:val="00945783"/>
    <w:rsid w:val="009460BB"/>
    <w:rsid w:val="009472EC"/>
    <w:rsid w:val="009474EB"/>
    <w:rsid w:val="00950516"/>
    <w:rsid w:val="00950BD3"/>
    <w:rsid w:val="009513FE"/>
    <w:rsid w:val="00952894"/>
    <w:rsid w:val="0095291F"/>
    <w:rsid w:val="009529F6"/>
    <w:rsid w:val="009539F1"/>
    <w:rsid w:val="00953A30"/>
    <w:rsid w:val="0095500D"/>
    <w:rsid w:val="0095542C"/>
    <w:rsid w:val="00955C66"/>
    <w:rsid w:val="00956C76"/>
    <w:rsid w:val="00957A83"/>
    <w:rsid w:val="00957BA9"/>
    <w:rsid w:val="009602A1"/>
    <w:rsid w:val="00960958"/>
    <w:rsid w:val="00960A28"/>
    <w:rsid w:val="00960E74"/>
    <w:rsid w:val="00960E8A"/>
    <w:rsid w:val="00962BF2"/>
    <w:rsid w:val="00962D0A"/>
    <w:rsid w:val="0096383B"/>
    <w:rsid w:val="0096567A"/>
    <w:rsid w:val="0096630D"/>
    <w:rsid w:val="00966DBD"/>
    <w:rsid w:val="00970804"/>
    <w:rsid w:val="009723AE"/>
    <w:rsid w:val="00972821"/>
    <w:rsid w:val="00972CF2"/>
    <w:rsid w:val="00973F52"/>
    <w:rsid w:val="0097486E"/>
    <w:rsid w:val="00975178"/>
    <w:rsid w:val="00975382"/>
    <w:rsid w:val="00975504"/>
    <w:rsid w:val="00976D75"/>
    <w:rsid w:val="00977116"/>
    <w:rsid w:val="009771A3"/>
    <w:rsid w:val="009778BA"/>
    <w:rsid w:val="00977C31"/>
    <w:rsid w:val="00980C0B"/>
    <w:rsid w:val="009814EA"/>
    <w:rsid w:val="00981A20"/>
    <w:rsid w:val="00982DC4"/>
    <w:rsid w:val="00984706"/>
    <w:rsid w:val="0098566D"/>
    <w:rsid w:val="0098580E"/>
    <w:rsid w:val="00986469"/>
    <w:rsid w:val="00990D27"/>
    <w:rsid w:val="00991133"/>
    <w:rsid w:val="00991588"/>
    <w:rsid w:val="009915C7"/>
    <w:rsid w:val="00991B15"/>
    <w:rsid w:val="009927AA"/>
    <w:rsid w:val="00992D60"/>
    <w:rsid w:val="0099338E"/>
    <w:rsid w:val="00993F96"/>
    <w:rsid w:val="00994070"/>
    <w:rsid w:val="009950CA"/>
    <w:rsid w:val="00995C79"/>
    <w:rsid w:val="0099618D"/>
    <w:rsid w:val="009968B6"/>
    <w:rsid w:val="00996BC7"/>
    <w:rsid w:val="00997959"/>
    <w:rsid w:val="009A002A"/>
    <w:rsid w:val="009A044C"/>
    <w:rsid w:val="009A0ACC"/>
    <w:rsid w:val="009A1D00"/>
    <w:rsid w:val="009A1DD0"/>
    <w:rsid w:val="009A21E4"/>
    <w:rsid w:val="009A26E6"/>
    <w:rsid w:val="009A2753"/>
    <w:rsid w:val="009A2C03"/>
    <w:rsid w:val="009A53F7"/>
    <w:rsid w:val="009A6312"/>
    <w:rsid w:val="009A7620"/>
    <w:rsid w:val="009A7893"/>
    <w:rsid w:val="009B0F0B"/>
    <w:rsid w:val="009B146A"/>
    <w:rsid w:val="009B14AB"/>
    <w:rsid w:val="009B180F"/>
    <w:rsid w:val="009B23DE"/>
    <w:rsid w:val="009B2512"/>
    <w:rsid w:val="009B254E"/>
    <w:rsid w:val="009B2F84"/>
    <w:rsid w:val="009B4366"/>
    <w:rsid w:val="009B4A63"/>
    <w:rsid w:val="009B4B00"/>
    <w:rsid w:val="009B62B2"/>
    <w:rsid w:val="009B6692"/>
    <w:rsid w:val="009C07AD"/>
    <w:rsid w:val="009C0DD5"/>
    <w:rsid w:val="009C264B"/>
    <w:rsid w:val="009C486B"/>
    <w:rsid w:val="009C53E8"/>
    <w:rsid w:val="009C614B"/>
    <w:rsid w:val="009C75DF"/>
    <w:rsid w:val="009D113E"/>
    <w:rsid w:val="009D1F38"/>
    <w:rsid w:val="009D1F41"/>
    <w:rsid w:val="009D21EF"/>
    <w:rsid w:val="009D26B4"/>
    <w:rsid w:val="009D42E1"/>
    <w:rsid w:val="009D43D1"/>
    <w:rsid w:val="009D47A8"/>
    <w:rsid w:val="009D485B"/>
    <w:rsid w:val="009D4F6D"/>
    <w:rsid w:val="009D6494"/>
    <w:rsid w:val="009D738D"/>
    <w:rsid w:val="009E06CF"/>
    <w:rsid w:val="009E1740"/>
    <w:rsid w:val="009E1F94"/>
    <w:rsid w:val="009E237B"/>
    <w:rsid w:val="009E4C10"/>
    <w:rsid w:val="009E55C4"/>
    <w:rsid w:val="009E569D"/>
    <w:rsid w:val="009E59E2"/>
    <w:rsid w:val="009E5E51"/>
    <w:rsid w:val="009E5E7A"/>
    <w:rsid w:val="009E7500"/>
    <w:rsid w:val="009E7880"/>
    <w:rsid w:val="009E7AF5"/>
    <w:rsid w:val="009E7CD4"/>
    <w:rsid w:val="009F033D"/>
    <w:rsid w:val="009F092F"/>
    <w:rsid w:val="009F0B0E"/>
    <w:rsid w:val="009F0C73"/>
    <w:rsid w:val="009F1155"/>
    <w:rsid w:val="009F1A9A"/>
    <w:rsid w:val="009F1F8D"/>
    <w:rsid w:val="009F337C"/>
    <w:rsid w:val="009F3B0A"/>
    <w:rsid w:val="009F3B9E"/>
    <w:rsid w:val="009F41E2"/>
    <w:rsid w:val="009F4B75"/>
    <w:rsid w:val="009F4CF8"/>
    <w:rsid w:val="009F5965"/>
    <w:rsid w:val="009F6DB3"/>
    <w:rsid w:val="009F7235"/>
    <w:rsid w:val="009F7721"/>
    <w:rsid w:val="009F77AF"/>
    <w:rsid w:val="009F79BB"/>
    <w:rsid w:val="00A0090B"/>
    <w:rsid w:val="00A00A05"/>
    <w:rsid w:val="00A00DD6"/>
    <w:rsid w:val="00A018C1"/>
    <w:rsid w:val="00A01C26"/>
    <w:rsid w:val="00A03576"/>
    <w:rsid w:val="00A04A2F"/>
    <w:rsid w:val="00A04DDE"/>
    <w:rsid w:val="00A05177"/>
    <w:rsid w:val="00A05C82"/>
    <w:rsid w:val="00A064DB"/>
    <w:rsid w:val="00A06C32"/>
    <w:rsid w:val="00A06DB5"/>
    <w:rsid w:val="00A076C0"/>
    <w:rsid w:val="00A078E0"/>
    <w:rsid w:val="00A07A70"/>
    <w:rsid w:val="00A10527"/>
    <w:rsid w:val="00A10E54"/>
    <w:rsid w:val="00A1138B"/>
    <w:rsid w:val="00A119AC"/>
    <w:rsid w:val="00A13AE2"/>
    <w:rsid w:val="00A14A9E"/>
    <w:rsid w:val="00A14F28"/>
    <w:rsid w:val="00A15375"/>
    <w:rsid w:val="00A153F5"/>
    <w:rsid w:val="00A15C91"/>
    <w:rsid w:val="00A16D1D"/>
    <w:rsid w:val="00A1792F"/>
    <w:rsid w:val="00A17FBA"/>
    <w:rsid w:val="00A2029C"/>
    <w:rsid w:val="00A2037B"/>
    <w:rsid w:val="00A20597"/>
    <w:rsid w:val="00A209FE"/>
    <w:rsid w:val="00A214CB"/>
    <w:rsid w:val="00A230E0"/>
    <w:rsid w:val="00A2630F"/>
    <w:rsid w:val="00A2649E"/>
    <w:rsid w:val="00A278C9"/>
    <w:rsid w:val="00A3128B"/>
    <w:rsid w:val="00A319C6"/>
    <w:rsid w:val="00A31D06"/>
    <w:rsid w:val="00A3235F"/>
    <w:rsid w:val="00A32E4F"/>
    <w:rsid w:val="00A332BD"/>
    <w:rsid w:val="00A333FC"/>
    <w:rsid w:val="00A356CD"/>
    <w:rsid w:val="00A35964"/>
    <w:rsid w:val="00A36D0D"/>
    <w:rsid w:val="00A36E8B"/>
    <w:rsid w:val="00A36ECD"/>
    <w:rsid w:val="00A3712A"/>
    <w:rsid w:val="00A373CF"/>
    <w:rsid w:val="00A40C38"/>
    <w:rsid w:val="00A4176B"/>
    <w:rsid w:val="00A41830"/>
    <w:rsid w:val="00A42C1A"/>
    <w:rsid w:val="00A442EC"/>
    <w:rsid w:val="00A45E8E"/>
    <w:rsid w:val="00A46503"/>
    <w:rsid w:val="00A4747C"/>
    <w:rsid w:val="00A47577"/>
    <w:rsid w:val="00A504D1"/>
    <w:rsid w:val="00A5316D"/>
    <w:rsid w:val="00A54487"/>
    <w:rsid w:val="00A552D1"/>
    <w:rsid w:val="00A5596B"/>
    <w:rsid w:val="00A55E9F"/>
    <w:rsid w:val="00A566AB"/>
    <w:rsid w:val="00A62F76"/>
    <w:rsid w:val="00A63979"/>
    <w:rsid w:val="00A63EE5"/>
    <w:rsid w:val="00A64637"/>
    <w:rsid w:val="00A647E6"/>
    <w:rsid w:val="00A64D9B"/>
    <w:rsid w:val="00A66B5C"/>
    <w:rsid w:val="00A66CD0"/>
    <w:rsid w:val="00A670A3"/>
    <w:rsid w:val="00A67665"/>
    <w:rsid w:val="00A709E0"/>
    <w:rsid w:val="00A710CD"/>
    <w:rsid w:val="00A71EE4"/>
    <w:rsid w:val="00A73703"/>
    <w:rsid w:val="00A73FB8"/>
    <w:rsid w:val="00A75275"/>
    <w:rsid w:val="00A75E99"/>
    <w:rsid w:val="00A7723B"/>
    <w:rsid w:val="00A77D52"/>
    <w:rsid w:val="00A807ED"/>
    <w:rsid w:val="00A80A11"/>
    <w:rsid w:val="00A80DD5"/>
    <w:rsid w:val="00A81758"/>
    <w:rsid w:val="00A82EFF"/>
    <w:rsid w:val="00A83330"/>
    <w:rsid w:val="00A84F46"/>
    <w:rsid w:val="00A87C15"/>
    <w:rsid w:val="00A91A75"/>
    <w:rsid w:val="00A92CCD"/>
    <w:rsid w:val="00A93F49"/>
    <w:rsid w:val="00A946FF"/>
    <w:rsid w:val="00A95216"/>
    <w:rsid w:val="00A95845"/>
    <w:rsid w:val="00A95A95"/>
    <w:rsid w:val="00A97A50"/>
    <w:rsid w:val="00A97F8A"/>
    <w:rsid w:val="00AA219C"/>
    <w:rsid w:val="00AA2974"/>
    <w:rsid w:val="00AA2B5B"/>
    <w:rsid w:val="00AA2DF7"/>
    <w:rsid w:val="00AA3653"/>
    <w:rsid w:val="00AA3AF7"/>
    <w:rsid w:val="00AA40D5"/>
    <w:rsid w:val="00AA4996"/>
    <w:rsid w:val="00AA5A54"/>
    <w:rsid w:val="00AA5B99"/>
    <w:rsid w:val="00AA620A"/>
    <w:rsid w:val="00AA6C39"/>
    <w:rsid w:val="00AA71B5"/>
    <w:rsid w:val="00AB1D93"/>
    <w:rsid w:val="00AB2839"/>
    <w:rsid w:val="00AB3F9D"/>
    <w:rsid w:val="00AB43ED"/>
    <w:rsid w:val="00AB45E4"/>
    <w:rsid w:val="00AB4788"/>
    <w:rsid w:val="00AB5233"/>
    <w:rsid w:val="00AB72E8"/>
    <w:rsid w:val="00AB7C82"/>
    <w:rsid w:val="00AC04F0"/>
    <w:rsid w:val="00AC2184"/>
    <w:rsid w:val="00AC374B"/>
    <w:rsid w:val="00AC47A0"/>
    <w:rsid w:val="00AC4AA0"/>
    <w:rsid w:val="00AC514E"/>
    <w:rsid w:val="00AC664A"/>
    <w:rsid w:val="00AC7A16"/>
    <w:rsid w:val="00AD05CD"/>
    <w:rsid w:val="00AD0F67"/>
    <w:rsid w:val="00AD14C4"/>
    <w:rsid w:val="00AD1BD8"/>
    <w:rsid w:val="00AD254B"/>
    <w:rsid w:val="00AD32E9"/>
    <w:rsid w:val="00AD347D"/>
    <w:rsid w:val="00AD4557"/>
    <w:rsid w:val="00AD4C6B"/>
    <w:rsid w:val="00AD5349"/>
    <w:rsid w:val="00AD6952"/>
    <w:rsid w:val="00AD77B4"/>
    <w:rsid w:val="00AE040F"/>
    <w:rsid w:val="00AE0E15"/>
    <w:rsid w:val="00AE1130"/>
    <w:rsid w:val="00AE11D5"/>
    <w:rsid w:val="00AE20DC"/>
    <w:rsid w:val="00AE42BA"/>
    <w:rsid w:val="00AE42BD"/>
    <w:rsid w:val="00AE43AD"/>
    <w:rsid w:val="00AE4649"/>
    <w:rsid w:val="00AE49E1"/>
    <w:rsid w:val="00AE56A6"/>
    <w:rsid w:val="00AE574E"/>
    <w:rsid w:val="00AE607D"/>
    <w:rsid w:val="00AE6C85"/>
    <w:rsid w:val="00AE7232"/>
    <w:rsid w:val="00AE764A"/>
    <w:rsid w:val="00AE76A2"/>
    <w:rsid w:val="00AE77AB"/>
    <w:rsid w:val="00AE7954"/>
    <w:rsid w:val="00AE7B19"/>
    <w:rsid w:val="00AE7D2C"/>
    <w:rsid w:val="00AF0198"/>
    <w:rsid w:val="00AF1BF4"/>
    <w:rsid w:val="00AF39B2"/>
    <w:rsid w:val="00AF3A12"/>
    <w:rsid w:val="00AF3EEE"/>
    <w:rsid w:val="00AF4633"/>
    <w:rsid w:val="00AF5F2F"/>
    <w:rsid w:val="00AF68EC"/>
    <w:rsid w:val="00AF69BF"/>
    <w:rsid w:val="00AF6A59"/>
    <w:rsid w:val="00AF7C4E"/>
    <w:rsid w:val="00AF7D80"/>
    <w:rsid w:val="00B009C4"/>
    <w:rsid w:val="00B01602"/>
    <w:rsid w:val="00B01736"/>
    <w:rsid w:val="00B01EC8"/>
    <w:rsid w:val="00B02506"/>
    <w:rsid w:val="00B026C7"/>
    <w:rsid w:val="00B02F07"/>
    <w:rsid w:val="00B058ED"/>
    <w:rsid w:val="00B05ADC"/>
    <w:rsid w:val="00B05F31"/>
    <w:rsid w:val="00B06C38"/>
    <w:rsid w:val="00B100E8"/>
    <w:rsid w:val="00B113D5"/>
    <w:rsid w:val="00B11478"/>
    <w:rsid w:val="00B135EC"/>
    <w:rsid w:val="00B142B8"/>
    <w:rsid w:val="00B15D50"/>
    <w:rsid w:val="00B165A4"/>
    <w:rsid w:val="00B16788"/>
    <w:rsid w:val="00B16866"/>
    <w:rsid w:val="00B169CD"/>
    <w:rsid w:val="00B16CBF"/>
    <w:rsid w:val="00B17E57"/>
    <w:rsid w:val="00B20D27"/>
    <w:rsid w:val="00B212B1"/>
    <w:rsid w:val="00B2156D"/>
    <w:rsid w:val="00B21865"/>
    <w:rsid w:val="00B219FC"/>
    <w:rsid w:val="00B223A3"/>
    <w:rsid w:val="00B226C5"/>
    <w:rsid w:val="00B2272E"/>
    <w:rsid w:val="00B228AA"/>
    <w:rsid w:val="00B23497"/>
    <w:rsid w:val="00B2365E"/>
    <w:rsid w:val="00B23DFB"/>
    <w:rsid w:val="00B24EC6"/>
    <w:rsid w:val="00B25B26"/>
    <w:rsid w:val="00B26230"/>
    <w:rsid w:val="00B26237"/>
    <w:rsid w:val="00B26D9B"/>
    <w:rsid w:val="00B27091"/>
    <w:rsid w:val="00B27118"/>
    <w:rsid w:val="00B27AB8"/>
    <w:rsid w:val="00B27BC1"/>
    <w:rsid w:val="00B306A8"/>
    <w:rsid w:val="00B32671"/>
    <w:rsid w:val="00B32CCA"/>
    <w:rsid w:val="00B3382D"/>
    <w:rsid w:val="00B34095"/>
    <w:rsid w:val="00B349FB"/>
    <w:rsid w:val="00B35A00"/>
    <w:rsid w:val="00B36941"/>
    <w:rsid w:val="00B36A7C"/>
    <w:rsid w:val="00B36ABC"/>
    <w:rsid w:val="00B36AED"/>
    <w:rsid w:val="00B3751B"/>
    <w:rsid w:val="00B406B6"/>
    <w:rsid w:val="00B409AF"/>
    <w:rsid w:val="00B40D9E"/>
    <w:rsid w:val="00B40DFB"/>
    <w:rsid w:val="00B41A82"/>
    <w:rsid w:val="00B42696"/>
    <w:rsid w:val="00B42933"/>
    <w:rsid w:val="00B42B7D"/>
    <w:rsid w:val="00B42DAB"/>
    <w:rsid w:val="00B43250"/>
    <w:rsid w:val="00B4389D"/>
    <w:rsid w:val="00B43DB4"/>
    <w:rsid w:val="00B444E7"/>
    <w:rsid w:val="00B44670"/>
    <w:rsid w:val="00B448A8"/>
    <w:rsid w:val="00B44D0D"/>
    <w:rsid w:val="00B44FD4"/>
    <w:rsid w:val="00B50EFB"/>
    <w:rsid w:val="00B56335"/>
    <w:rsid w:val="00B5772C"/>
    <w:rsid w:val="00B60077"/>
    <w:rsid w:val="00B60AB4"/>
    <w:rsid w:val="00B613CC"/>
    <w:rsid w:val="00B614B0"/>
    <w:rsid w:val="00B6210A"/>
    <w:rsid w:val="00B6280E"/>
    <w:rsid w:val="00B635A7"/>
    <w:rsid w:val="00B63738"/>
    <w:rsid w:val="00B64486"/>
    <w:rsid w:val="00B644C1"/>
    <w:rsid w:val="00B66367"/>
    <w:rsid w:val="00B66B53"/>
    <w:rsid w:val="00B67361"/>
    <w:rsid w:val="00B675C1"/>
    <w:rsid w:val="00B7182D"/>
    <w:rsid w:val="00B71EB9"/>
    <w:rsid w:val="00B72369"/>
    <w:rsid w:val="00B7272B"/>
    <w:rsid w:val="00B72A84"/>
    <w:rsid w:val="00B72CD0"/>
    <w:rsid w:val="00B73154"/>
    <w:rsid w:val="00B75B5E"/>
    <w:rsid w:val="00B76017"/>
    <w:rsid w:val="00B77796"/>
    <w:rsid w:val="00B77F76"/>
    <w:rsid w:val="00B801CD"/>
    <w:rsid w:val="00B80C7D"/>
    <w:rsid w:val="00B82404"/>
    <w:rsid w:val="00B82579"/>
    <w:rsid w:val="00B82FA3"/>
    <w:rsid w:val="00B82FC9"/>
    <w:rsid w:val="00B83523"/>
    <w:rsid w:val="00B83581"/>
    <w:rsid w:val="00B835BA"/>
    <w:rsid w:val="00B83F1D"/>
    <w:rsid w:val="00B84667"/>
    <w:rsid w:val="00B85F18"/>
    <w:rsid w:val="00B8604E"/>
    <w:rsid w:val="00B86B67"/>
    <w:rsid w:val="00B90652"/>
    <w:rsid w:val="00B90985"/>
    <w:rsid w:val="00B912E6"/>
    <w:rsid w:val="00B9208B"/>
    <w:rsid w:val="00B9229C"/>
    <w:rsid w:val="00B92F7B"/>
    <w:rsid w:val="00B93161"/>
    <w:rsid w:val="00B93873"/>
    <w:rsid w:val="00B93F47"/>
    <w:rsid w:val="00B951D8"/>
    <w:rsid w:val="00B96DA3"/>
    <w:rsid w:val="00B9713F"/>
    <w:rsid w:val="00B971DD"/>
    <w:rsid w:val="00B977F2"/>
    <w:rsid w:val="00B97D66"/>
    <w:rsid w:val="00BA138D"/>
    <w:rsid w:val="00BA1B28"/>
    <w:rsid w:val="00BA2819"/>
    <w:rsid w:val="00BA35B7"/>
    <w:rsid w:val="00BA3F6D"/>
    <w:rsid w:val="00BA47E0"/>
    <w:rsid w:val="00BA47E6"/>
    <w:rsid w:val="00BA5824"/>
    <w:rsid w:val="00BA5AD7"/>
    <w:rsid w:val="00BA5BE3"/>
    <w:rsid w:val="00BA61F3"/>
    <w:rsid w:val="00BA6ACF"/>
    <w:rsid w:val="00BA6B81"/>
    <w:rsid w:val="00BA70E7"/>
    <w:rsid w:val="00BA74AD"/>
    <w:rsid w:val="00BB0AB2"/>
    <w:rsid w:val="00BB136E"/>
    <w:rsid w:val="00BB2828"/>
    <w:rsid w:val="00BB39FF"/>
    <w:rsid w:val="00BB3A5C"/>
    <w:rsid w:val="00BB48D2"/>
    <w:rsid w:val="00BB512E"/>
    <w:rsid w:val="00BB5ED0"/>
    <w:rsid w:val="00BB689D"/>
    <w:rsid w:val="00BB6A40"/>
    <w:rsid w:val="00BB6E4A"/>
    <w:rsid w:val="00BB7398"/>
    <w:rsid w:val="00BC09FA"/>
    <w:rsid w:val="00BC0C3E"/>
    <w:rsid w:val="00BC2194"/>
    <w:rsid w:val="00BC234C"/>
    <w:rsid w:val="00BC431A"/>
    <w:rsid w:val="00BC55AD"/>
    <w:rsid w:val="00BC6E17"/>
    <w:rsid w:val="00BC76C6"/>
    <w:rsid w:val="00BC7CE7"/>
    <w:rsid w:val="00BD01EE"/>
    <w:rsid w:val="00BD1227"/>
    <w:rsid w:val="00BD1659"/>
    <w:rsid w:val="00BD1A2F"/>
    <w:rsid w:val="00BD1F69"/>
    <w:rsid w:val="00BD28DC"/>
    <w:rsid w:val="00BD3223"/>
    <w:rsid w:val="00BD37D7"/>
    <w:rsid w:val="00BD47B6"/>
    <w:rsid w:val="00BD5C5C"/>
    <w:rsid w:val="00BE03E9"/>
    <w:rsid w:val="00BE05F0"/>
    <w:rsid w:val="00BE0CC5"/>
    <w:rsid w:val="00BE14B5"/>
    <w:rsid w:val="00BE2E41"/>
    <w:rsid w:val="00BE305B"/>
    <w:rsid w:val="00BE34CF"/>
    <w:rsid w:val="00BE38D2"/>
    <w:rsid w:val="00BE4FA3"/>
    <w:rsid w:val="00BE53D9"/>
    <w:rsid w:val="00BE558C"/>
    <w:rsid w:val="00BE56BA"/>
    <w:rsid w:val="00BE5D46"/>
    <w:rsid w:val="00BE6710"/>
    <w:rsid w:val="00BE7A7D"/>
    <w:rsid w:val="00BE7EFB"/>
    <w:rsid w:val="00BF0476"/>
    <w:rsid w:val="00BF055B"/>
    <w:rsid w:val="00BF106D"/>
    <w:rsid w:val="00BF205B"/>
    <w:rsid w:val="00BF2416"/>
    <w:rsid w:val="00BF271F"/>
    <w:rsid w:val="00BF4375"/>
    <w:rsid w:val="00BF450B"/>
    <w:rsid w:val="00BF5354"/>
    <w:rsid w:val="00BF58CA"/>
    <w:rsid w:val="00BF59F5"/>
    <w:rsid w:val="00BF691B"/>
    <w:rsid w:val="00BF7665"/>
    <w:rsid w:val="00BF790E"/>
    <w:rsid w:val="00BF7F75"/>
    <w:rsid w:val="00C010E9"/>
    <w:rsid w:val="00C05C70"/>
    <w:rsid w:val="00C05DC8"/>
    <w:rsid w:val="00C05E4D"/>
    <w:rsid w:val="00C05F81"/>
    <w:rsid w:val="00C0769B"/>
    <w:rsid w:val="00C07B6C"/>
    <w:rsid w:val="00C07F83"/>
    <w:rsid w:val="00C10112"/>
    <w:rsid w:val="00C1070F"/>
    <w:rsid w:val="00C12887"/>
    <w:rsid w:val="00C12FF4"/>
    <w:rsid w:val="00C16960"/>
    <w:rsid w:val="00C17CF7"/>
    <w:rsid w:val="00C17E6C"/>
    <w:rsid w:val="00C2044F"/>
    <w:rsid w:val="00C2048C"/>
    <w:rsid w:val="00C21EF5"/>
    <w:rsid w:val="00C2317D"/>
    <w:rsid w:val="00C237CF"/>
    <w:rsid w:val="00C240E3"/>
    <w:rsid w:val="00C2427F"/>
    <w:rsid w:val="00C24DD8"/>
    <w:rsid w:val="00C25E11"/>
    <w:rsid w:val="00C262FD"/>
    <w:rsid w:val="00C3000E"/>
    <w:rsid w:val="00C3005E"/>
    <w:rsid w:val="00C31BC5"/>
    <w:rsid w:val="00C31EE2"/>
    <w:rsid w:val="00C31FAC"/>
    <w:rsid w:val="00C328FB"/>
    <w:rsid w:val="00C32A8E"/>
    <w:rsid w:val="00C32E2E"/>
    <w:rsid w:val="00C330E3"/>
    <w:rsid w:val="00C33468"/>
    <w:rsid w:val="00C33488"/>
    <w:rsid w:val="00C336CB"/>
    <w:rsid w:val="00C33F4E"/>
    <w:rsid w:val="00C343F6"/>
    <w:rsid w:val="00C34D65"/>
    <w:rsid w:val="00C35259"/>
    <w:rsid w:val="00C362E3"/>
    <w:rsid w:val="00C36490"/>
    <w:rsid w:val="00C366AC"/>
    <w:rsid w:val="00C40C5F"/>
    <w:rsid w:val="00C4153E"/>
    <w:rsid w:val="00C41AF1"/>
    <w:rsid w:val="00C41B30"/>
    <w:rsid w:val="00C41B5E"/>
    <w:rsid w:val="00C433F3"/>
    <w:rsid w:val="00C43921"/>
    <w:rsid w:val="00C44009"/>
    <w:rsid w:val="00C44196"/>
    <w:rsid w:val="00C44D70"/>
    <w:rsid w:val="00C44E8B"/>
    <w:rsid w:val="00C454B7"/>
    <w:rsid w:val="00C45EDA"/>
    <w:rsid w:val="00C47454"/>
    <w:rsid w:val="00C479C4"/>
    <w:rsid w:val="00C47D21"/>
    <w:rsid w:val="00C50161"/>
    <w:rsid w:val="00C502C3"/>
    <w:rsid w:val="00C51738"/>
    <w:rsid w:val="00C5206E"/>
    <w:rsid w:val="00C523BD"/>
    <w:rsid w:val="00C52460"/>
    <w:rsid w:val="00C52C5D"/>
    <w:rsid w:val="00C542BB"/>
    <w:rsid w:val="00C545F8"/>
    <w:rsid w:val="00C55027"/>
    <w:rsid w:val="00C55778"/>
    <w:rsid w:val="00C560A1"/>
    <w:rsid w:val="00C56CE5"/>
    <w:rsid w:val="00C57034"/>
    <w:rsid w:val="00C576CF"/>
    <w:rsid w:val="00C57924"/>
    <w:rsid w:val="00C60C5E"/>
    <w:rsid w:val="00C625F3"/>
    <w:rsid w:val="00C631AA"/>
    <w:rsid w:val="00C632D1"/>
    <w:rsid w:val="00C63A29"/>
    <w:rsid w:val="00C649DB"/>
    <w:rsid w:val="00C6526A"/>
    <w:rsid w:val="00C65368"/>
    <w:rsid w:val="00C656BC"/>
    <w:rsid w:val="00C66B96"/>
    <w:rsid w:val="00C66E3B"/>
    <w:rsid w:val="00C67080"/>
    <w:rsid w:val="00C670E5"/>
    <w:rsid w:val="00C71466"/>
    <w:rsid w:val="00C72B79"/>
    <w:rsid w:val="00C74B97"/>
    <w:rsid w:val="00C7544E"/>
    <w:rsid w:val="00C75CD1"/>
    <w:rsid w:val="00C765AF"/>
    <w:rsid w:val="00C768B1"/>
    <w:rsid w:val="00C76DD8"/>
    <w:rsid w:val="00C77ACE"/>
    <w:rsid w:val="00C81B34"/>
    <w:rsid w:val="00C8200A"/>
    <w:rsid w:val="00C830B6"/>
    <w:rsid w:val="00C83B88"/>
    <w:rsid w:val="00C85736"/>
    <w:rsid w:val="00C85752"/>
    <w:rsid w:val="00C86B9C"/>
    <w:rsid w:val="00C86BC4"/>
    <w:rsid w:val="00C87507"/>
    <w:rsid w:val="00C90E12"/>
    <w:rsid w:val="00C91B94"/>
    <w:rsid w:val="00C9358E"/>
    <w:rsid w:val="00C935BC"/>
    <w:rsid w:val="00C94D26"/>
    <w:rsid w:val="00C95FFA"/>
    <w:rsid w:val="00C96430"/>
    <w:rsid w:val="00C970E4"/>
    <w:rsid w:val="00C97401"/>
    <w:rsid w:val="00CA0137"/>
    <w:rsid w:val="00CA04A2"/>
    <w:rsid w:val="00CA0C71"/>
    <w:rsid w:val="00CA0F21"/>
    <w:rsid w:val="00CA1382"/>
    <w:rsid w:val="00CA152E"/>
    <w:rsid w:val="00CA15E2"/>
    <w:rsid w:val="00CA16C2"/>
    <w:rsid w:val="00CA234B"/>
    <w:rsid w:val="00CA2F4F"/>
    <w:rsid w:val="00CA357F"/>
    <w:rsid w:val="00CA5B42"/>
    <w:rsid w:val="00CA5F54"/>
    <w:rsid w:val="00CA68F9"/>
    <w:rsid w:val="00CA6BCD"/>
    <w:rsid w:val="00CA721F"/>
    <w:rsid w:val="00CA7EBA"/>
    <w:rsid w:val="00CA7FFC"/>
    <w:rsid w:val="00CB0E68"/>
    <w:rsid w:val="00CB1789"/>
    <w:rsid w:val="00CB2BBA"/>
    <w:rsid w:val="00CB360C"/>
    <w:rsid w:val="00CB415E"/>
    <w:rsid w:val="00CB47AF"/>
    <w:rsid w:val="00CB5279"/>
    <w:rsid w:val="00CB5390"/>
    <w:rsid w:val="00CB541D"/>
    <w:rsid w:val="00CB5C5F"/>
    <w:rsid w:val="00CB632F"/>
    <w:rsid w:val="00CB66F7"/>
    <w:rsid w:val="00CB7287"/>
    <w:rsid w:val="00CB72F2"/>
    <w:rsid w:val="00CB7744"/>
    <w:rsid w:val="00CC0E66"/>
    <w:rsid w:val="00CC144F"/>
    <w:rsid w:val="00CC14CB"/>
    <w:rsid w:val="00CC1549"/>
    <w:rsid w:val="00CC27FE"/>
    <w:rsid w:val="00CC2841"/>
    <w:rsid w:val="00CC41B0"/>
    <w:rsid w:val="00CC43A6"/>
    <w:rsid w:val="00CC49FB"/>
    <w:rsid w:val="00CC5CE9"/>
    <w:rsid w:val="00CC668B"/>
    <w:rsid w:val="00CC787D"/>
    <w:rsid w:val="00CC7F43"/>
    <w:rsid w:val="00CD0206"/>
    <w:rsid w:val="00CD0729"/>
    <w:rsid w:val="00CD1127"/>
    <w:rsid w:val="00CD185E"/>
    <w:rsid w:val="00CD2D78"/>
    <w:rsid w:val="00CD368B"/>
    <w:rsid w:val="00CD4819"/>
    <w:rsid w:val="00CD4E5A"/>
    <w:rsid w:val="00CD4ED1"/>
    <w:rsid w:val="00CD5227"/>
    <w:rsid w:val="00CD61A0"/>
    <w:rsid w:val="00CD72A5"/>
    <w:rsid w:val="00CD7516"/>
    <w:rsid w:val="00CD7A18"/>
    <w:rsid w:val="00CD7EB4"/>
    <w:rsid w:val="00CE14CE"/>
    <w:rsid w:val="00CE33AF"/>
    <w:rsid w:val="00CE3715"/>
    <w:rsid w:val="00CE37F8"/>
    <w:rsid w:val="00CE3B49"/>
    <w:rsid w:val="00CE3CB1"/>
    <w:rsid w:val="00CE4165"/>
    <w:rsid w:val="00CE4A4A"/>
    <w:rsid w:val="00CE5640"/>
    <w:rsid w:val="00CE5878"/>
    <w:rsid w:val="00CE5A1B"/>
    <w:rsid w:val="00CE5AA3"/>
    <w:rsid w:val="00CE67C8"/>
    <w:rsid w:val="00CE6B7D"/>
    <w:rsid w:val="00CE6C0F"/>
    <w:rsid w:val="00CE70F4"/>
    <w:rsid w:val="00CE7AC5"/>
    <w:rsid w:val="00CE7B0C"/>
    <w:rsid w:val="00CF081A"/>
    <w:rsid w:val="00CF0CFC"/>
    <w:rsid w:val="00CF1E35"/>
    <w:rsid w:val="00CF324E"/>
    <w:rsid w:val="00CF3780"/>
    <w:rsid w:val="00CF4034"/>
    <w:rsid w:val="00CF6071"/>
    <w:rsid w:val="00CF62AA"/>
    <w:rsid w:val="00CF6554"/>
    <w:rsid w:val="00CF712A"/>
    <w:rsid w:val="00CF731D"/>
    <w:rsid w:val="00D00DE2"/>
    <w:rsid w:val="00D016A6"/>
    <w:rsid w:val="00D01733"/>
    <w:rsid w:val="00D01FE7"/>
    <w:rsid w:val="00D0299D"/>
    <w:rsid w:val="00D03160"/>
    <w:rsid w:val="00D03D73"/>
    <w:rsid w:val="00D041BB"/>
    <w:rsid w:val="00D04D41"/>
    <w:rsid w:val="00D055D9"/>
    <w:rsid w:val="00D05C03"/>
    <w:rsid w:val="00D05C31"/>
    <w:rsid w:val="00D0652F"/>
    <w:rsid w:val="00D06899"/>
    <w:rsid w:val="00D0730C"/>
    <w:rsid w:val="00D07FFB"/>
    <w:rsid w:val="00D10E98"/>
    <w:rsid w:val="00D11596"/>
    <w:rsid w:val="00D11AAB"/>
    <w:rsid w:val="00D124AF"/>
    <w:rsid w:val="00D1275F"/>
    <w:rsid w:val="00D12A68"/>
    <w:rsid w:val="00D12A8E"/>
    <w:rsid w:val="00D1331F"/>
    <w:rsid w:val="00D14546"/>
    <w:rsid w:val="00D14CD0"/>
    <w:rsid w:val="00D15323"/>
    <w:rsid w:val="00D1568D"/>
    <w:rsid w:val="00D160BC"/>
    <w:rsid w:val="00D16C74"/>
    <w:rsid w:val="00D16EA9"/>
    <w:rsid w:val="00D174DD"/>
    <w:rsid w:val="00D176B8"/>
    <w:rsid w:val="00D17D05"/>
    <w:rsid w:val="00D17EB3"/>
    <w:rsid w:val="00D212C2"/>
    <w:rsid w:val="00D21D6E"/>
    <w:rsid w:val="00D21D9F"/>
    <w:rsid w:val="00D22D76"/>
    <w:rsid w:val="00D23521"/>
    <w:rsid w:val="00D23C1B"/>
    <w:rsid w:val="00D2454A"/>
    <w:rsid w:val="00D24551"/>
    <w:rsid w:val="00D24DBA"/>
    <w:rsid w:val="00D27488"/>
    <w:rsid w:val="00D278CF"/>
    <w:rsid w:val="00D27CCA"/>
    <w:rsid w:val="00D27CFA"/>
    <w:rsid w:val="00D30136"/>
    <w:rsid w:val="00D30258"/>
    <w:rsid w:val="00D3144F"/>
    <w:rsid w:val="00D3200E"/>
    <w:rsid w:val="00D325A3"/>
    <w:rsid w:val="00D32B58"/>
    <w:rsid w:val="00D334B2"/>
    <w:rsid w:val="00D3457C"/>
    <w:rsid w:val="00D34914"/>
    <w:rsid w:val="00D3524F"/>
    <w:rsid w:val="00D35393"/>
    <w:rsid w:val="00D35BFA"/>
    <w:rsid w:val="00D36099"/>
    <w:rsid w:val="00D37AE0"/>
    <w:rsid w:val="00D37D93"/>
    <w:rsid w:val="00D41078"/>
    <w:rsid w:val="00D41804"/>
    <w:rsid w:val="00D4398F"/>
    <w:rsid w:val="00D43C26"/>
    <w:rsid w:val="00D43CA4"/>
    <w:rsid w:val="00D4427D"/>
    <w:rsid w:val="00D44969"/>
    <w:rsid w:val="00D44AEC"/>
    <w:rsid w:val="00D44FC4"/>
    <w:rsid w:val="00D451F1"/>
    <w:rsid w:val="00D457A2"/>
    <w:rsid w:val="00D47072"/>
    <w:rsid w:val="00D47726"/>
    <w:rsid w:val="00D47CAE"/>
    <w:rsid w:val="00D5072F"/>
    <w:rsid w:val="00D51487"/>
    <w:rsid w:val="00D51601"/>
    <w:rsid w:val="00D52988"/>
    <w:rsid w:val="00D53D53"/>
    <w:rsid w:val="00D55D1E"/>
    <w:rsid w:val="00D55EDB"/>
    <w:rsid w:val="00D606C5"/>
    <w:rsid w:val="00D624E2"/>
    <w:rsid w:val="00D625F4"/>
    <w:rsid w:val="00D62913"/>
    <w:rsid w:val="00D629D4"/>
    <w:rsid w:val="00D63EDF"/>
    <w:rsid w:val="00D64760"/>
    <w:rsid w:val="00D6509A"/>
    <w:rsid w:val="00D652AB"/>
    <w:rsid w:val="00D65811"/>
    <w:rsid w:val="00D65CB5"/>
    <w:rsid w:val="00D6606B"/>
    <w:rsid w:val="00D6697D"/>
    <w:rsid w:val="00D672FA"/>
    <w:rsid w:val="00D70C3E"/>
    <w:rsid w:val="00D71548"/>
    <w:rsid w:val="00D7390B"/>
    <w:rsid w:val="00D740DD"/>
    <w:rsid w:val="00D74722"/>
    <w:rsid w:val="00D74E65"/>
    <w:rsid w:val="00D74E6F"/>
    <w:rsid w:val="00D754CC"/>
    <w:rsid w:val="00D75F11"/>
    <w:rsid w:val="00D764B0"/>
    <w:rsid w:val="00D77225"/>
    <w:rsid w:val="00D800D0"/>
    <w:rsid w:val="00D81B85"/>
    <w:rsid w:val="00D81BBA"/>
    <w:rsid w:val="00D81D92"/>
    <w:rsid w:val="00D82B1A"/>
    <w:rsid w:val="00D82E43"/>
    <w:rsid w:val="00D83200"/>
    <w:rsid w:val="00D850B8"/>
    <w:rsid w:val="00D85D20"/>
    <w:rsid w:val="00D86736"/>
    <w:rsid w:val="00D870EA"/>
    <w:rsid w:val="00D8719A"/>
    <w:rsid w:val="00D87CE4"/>
    <w:rsid w:val="00D91EEA"/>
    <w:rsid w:val="00D921CA"/>
    <w:rsid w:val="00D924B6"/>
    <w:rsid w:val="00D931BF"/>
    <w:rsid w:val="00D93708"/>
    <w:rsid w:val="00D93AD9"/>
    <w:rsid w:val="00D94727"/>
    <w:rsid w:val="00D94B3E"/>
    <w:rsid w:val="00D95004"/>
    <w:rsid w:val="00D9550D"/>
    <w:rsid w:val="00D96289"/>
    <w:rsid w:val="00D9629D"/>
    <w:rsid w:val="00D974D3"/>
    <w:rsid w:val="00D97737"/>
    <w:rsid w:val="00D97969"/>
    <w:rsid w:val="00DA12EB"/>
    <w:rsid w:val="00DA2A1A"/>
    <w:rsid w:val="00DA2A62"/>
    <w:rsid w:val="00DA2F25"/>
    <w:rsid w:val="00DA3ED0"/>
    <w:rsid w:val="00DA5FEF"/>
    <w:rsid w:val="00DA6A32"/>
    <w:rsid w:val="00DA71DB"/>
    <w:rsid w:val="00DA729A"/>
    <w:rsid w:val="00DB0E1A"/>
    <w:rsid w:val="00DB1071"/>
    <w:rsid w:val="00DB2372"/>
    <w:rsid w:val="00DB2AA7"/>
    <w:rsid w:val="00DB2E58"/>
    <w:rsid w:val="00DB301F"/>
    <w:rsid w:val="00DB311C"/>
    <w:rsid w:val="00DB3B53"/>
    <w:rsid w:val="00DB3F13"/>
    <w:rsid w:val="00DB57B0"/>
    <w:rsid w:val="00DB5876"/>
    <w:rsid w:val="00DB6A24"/>
    <w:rsid w:val="00DB736B"/>
    <w:rsid w:val="00DB77C6"/>
    <w:rsid w:val="00DB78A5"/>
    <w:rsid w:val="00DC1D51"/>
    <w:rsid w:val="00DC24C9"/>
    <w:rsid w:val="00DC4477"/>
    <w:rsid w:val="00DC4764"/>
    <w:rsid w:val="00DC4819"/>
    <w:rsid w:val="00DC7CB3"/>
    <w:rsid w:val="00DC7D6D"/>
    <w:rsid w:val="00DD03BD"/>
    <w:rsid w:val="00DD0C1B"/>
    <w:rsid w:val="00DD17E8"/>
    <w:rsid w:val="00DD1C5D"/>
    <w:rsid w:val="00DD3A8A"/>
    <w:rsid w:val="00DD4EBD"/>
    <w:rsid w:val="00DD563A"/>
    <w:rsid w:val="00DD63D0"/>
    <w:rsid w:val="00DD7312"/>
    <w:rsid w:val="00DE1043"/>
    <w:rsid w:val="00DE1329"/>
    <w:rsid w:val="00DE2029"/>
    <w:rsid w:val="00DE2CA5"/>
    <w:rsid w:val="00DE387A"/>
    <w:rsid w:val="00DE516D"/>
    <w:rsid w:val="00DE60FA"/>
    <w:rsid w:val="00DE64F7"/>
    <w:rsid w:val="00DE687E"/>
    <w:rsid w:val="00DE7181"/>
    <w:rsid w:val="00DE724B"/>
    <w:rsid w:val="00DE773F"/>
    <w:rsid w:val="00DE7960"/>
    <w:rsid w:val="00DF02C7"/>
    <w:rsid w:val="00DF1CAF"/>
    <w:rsid w:val="00DF1CEB"/>
    <w:rsid w:val="00DF237A"/>
    <w:rsid w:val="00DF2559"/>
    <w:rsid w:val="00DF2686"/>
    <w:rsid w:val="00DF3903"/>
    <w:rsid w:val="00DF5AC5"/>
    <w:rsid w:val="00DF61C6"/>
    <w:rsid w:val="00DF6647"/>
    <w:rsid w:val="00DF7419"/>
    <w:rsid w:val="00DF7925"/>
    <w:rsid w:val="00DF7A84"/>
    <w:rsid w:val="00DF7B6B"/>
    <w:rsid w:val="00E00BD1"/>
    <w:rsid w:val="00E01EDC"/>
    <w:rsid w:val="00E0203B"/>
    <w:rsid w:val="00E0217B"/>
    <w:rsid w:val="00E03024"/>
    <w:rsid w:val="00E0367B"/>
    <w:rsid w:val="00E042BB"/>
    <w:rsid w:val="00E044CD"/>
    <w:rsid w:val="00E04DC1"/>
    <w:rsid w:val="00E06199"/>
    <w:rsid w:val="00E06AA3"/>
    <w:rsid w:val="00E06BEF"/>
    <w:rsid w:val="00E070F7"/>
    <w:rsid w:val="00E07B1D"/>
    <w:rsid w:val="00E105BD"/>
    <w:rsid w:val="00E107B9"/>
    <w:rsid w:val="00E1106C"/>
    <w:rsid w:val="00E11A0A"/>
    <w:rsid w:val="00E123ED"/>
    <w:rsid w:val="00E13B13"/>
    <w:rsid w:val="00E13B61"/>
    <w:rsid w:val="00E13F91"/>
    <w:rsid w:val="00E146B6"/>
    <w:rsid w:val="00E1505B"/>
    <w:rsid w:val="00E178FC"/>
    <w:rsid w:val="00E17A62"/>
    <w:rsid w:val="00E17D23"/>
    <w:rsid w:val="00E22858"/>
    <w:rsid w:val="00E233A5"/>
    <w:rsid w:val="00E23547"/>
    <w:rsid w:val="00E235BE"/>
    <w:rsid w:val="00E238CE"/>
    <w:rsid w:val="00E24084"/>
    <w:rsid w:val="00E240DA"/>
    <w:rsid w:val="00E24EF7"/>
    <w:rsid w:val="00E257DD"/>
    <w:rsid w:val="00E25C9E"/>
    <w:rsid w:val="00E2617D"/>
    <w:rsid w:val="00E30382"/>
    <w:rsid w:val="00E32F17"/>
    <w:rsid w:val="00E33821"/>
    <w:rsid w:val="00E34313"/>
    <w:rsid w:val="00E37090"/>
    <w:rsid w:val="00E370F5"/>
    <w:rsid w:val="00E3756E"/>
    <w:rsid w:val="00E377B6"/>
    <w:rsid w:val="00E402E5"/>
    <w:rsid w:val="00E4041D"/>
    <w:rsid w:val="00E4096E"/>
    <w:rsid w:val="00E41225"/>
    <w:rsid w:val="00E4129A"/>
    <w:rsid w:val="00E41B5E"/>
    <w:rsid w:val="00E42A71"/>
    <w:rsid w:val="00E434BE"/>
    <w:rsid w:val="00E43B47"/>
    <w:rsid w:val="00E43F9E"/>
    <w:rsid w:val="00E44B6B"/>
    <w:rsid w:val="00E45083"/>
    <w:rsid w:val="00E467FA"/>
    <w:rsid w:val="00E468C0"/>
    <w:rsid w:val="00E469DB"/>
    <w:rsid w:val="00E5000B"/>
    <w:rsid w:val="00E50255"/>
    <w:rsid w:val="00E51737"/>
    <w:rsid w:val="00E520E9"/>
    <w:rsid w:val="00E52C75"/>
    <w:rsid w:val="00E54A9B"/>
    <w:rsid w:val="00E54BCB"/>
    <w:rsid w:val="00E5554D"/>
    <w:rsid w:val="00E5596A"/>
    <w:rsid w:val="00E55C0D"/>
    <w:rsid w:val="00E55E17"/>
    <w:rsid w:val="00E561CF"/>
    <w:rsid w:val="00E56AAC"/>
    <w:rsid w:val="00E56E11"/>
    <w:rsid w:val="00E56FFA"/>
    <w:rsid w:val="00E57B6A"/>
    <w:rsid w:val="00E57FC1"/>
    <w:rsid w:val="00E611E2"/>
    <w:rsid w:val="00E64451"/>
    <w:rsid w:val="00E64C14"/>
    <w:rsid w:val="00E66A04"/>
    <w:rsid w:val="00E66F49"/>
    <w:rsid w:val="00E67541"/>
    <w:rsid w:val="00E701E3"/>
    <w:rsid w:val="00E718E9"/>
    <w:rsid w:val="00E71F6E"/>
    <w:rsid w:val="00E726AE"/>
    <w:rsid w:val="00E72E26"/>
    <w:rsid w:val="00E740DA"/>
    <w:rsid w:val="00E74776"/>
    <w:rsid w:val="00E74E26"/>
    <w:rsid w:val="00E75E7B"/>
    <w:rsid w:val="00E7677B"/>
    <w:rsid w:val="00E80E96"/>
    <w:rsid w:val="00E81433"/>
    <w:rsid w:val="00E81AA5"/>
    <w:rsid w:val="00E81E49"/>
    <w:rsid w:val="00E826D6"/>
    <w:rsid w:val="00E82DEC"/>
    <w:rsid w:val="00E830A7"/>
    <w:rsid w:val="00E83CCB"/>
    <w:rsid w:val="00E853EE"/>
    <w:rsid w:val="00E85614"/>
    <w:rsid w:val="00E86517"/>
    <w:rsid w:val="00E87039"/>
    <w:rsid w:val="00E87041"/>
    <w:rsid w:val="00E87E28"/>
    <w:rsid w:val="00E91438"/>
    <w:rsid w:val="00E920FA"/>
    <w:rsid w:val="00E929E8"/>
    <w:rsid w:val="00E92C0E"/>
    <w:rsid w:val="00E94140"/>
    <w:rsid w:val="00E943C6"/>
    <w:rsid w:val="00E94564"/>
    <w:rsid w:val="00E96035"/>
    <w:rsid w:val="00E963D0"/>
    <w:rsid w:val="00E9763C"/>
    <w:rsid w:val="00E9763D"/>
    <w:rsid w:val="00E97C45"/>
    <w:rsid w:val="00EA04A3"/>
    <w:rsid w:val="00EA0D4F"/>
    <w:rsid w:val="00EA0DC3"/>
    <w:rsid w:val="00EA102E"/>
    <w:rsid w:val="00EA1823"/>
    <w:rsid w:val="00EA1A00"/>
    <w:rsid w:val="00EA1C24"/>
    <w:rsid w:val="00EA1E2C"/>
    <w:rsid w:val="00EA1F55"/>
    <w:rsid w:val="00EA27F0"/>
    <w:rsid w:val="00EA3E55"/>
    <w:rsid w:val="00EA4448"/>
    <w:rsid w:val="00EA5BEF"/>
    <w:rsid w:val="00EA6F4D"/>
    <w:rsid w:val="00EA7E92"/>
    <w:rsid w:val="00EB0C3E"/>
    <w:rsid w:val="00EB0F6B"/>
    <w:rsid w:val="00EB237D"/>
    <w:rsid w:val="00EB2852"/>
    <w:rsid w:val="00EB2EA5"/>
    <w:rsid w:val="00EB3C36"/>
    <w:rsid w:val="00EB5482"/>
    <w:rsid w:val="00EB5A87"/>
    <w:rsid w:val="00EB5B9E"/>
    <w:rsid w:val="00EB5E0B"/>
    <w:rsid w:val="00EB6AB2"/>
    <w:rsid w:val="00EB7C10"/>
    <w:rsid w:val="00EC1492"/>
    <w:rsid w:val="00EC2838"/>
    <w:rsid w:val="00EC3844"/>
    <w:rsid w:val="00EC3DBA"/>
    <w:rsid w:val="00EC4066"/>
    <w:rsid w:val="00EC4BC9"/>
    <w:rsid w:val="00EC4DFD"/>
    <w:rsid w:val="00EC5AD5"/>
    <w:rsid w:val="00EC622C"/>
    <w:rsid w:val="00EC7475"/>
    <w:rsid w:val="00ED1426"/>
    <w:rsid w:val="00ED1548"/>
    <w:rsid w:val="00ED2193"/>
    <w:rsid w:val="00ED3616"/>
    <w:rsid w:val="00ED3757"/>
    <w:rsid w:val="00ED49CC"/>
    <w:rsid w:val="00ED5696"/>
    <w:rsid w:val="00ED5CB8"/>
    <w:rsid w:val="00ED681E"/>
    <w:rsid w:val="00ED6B28"/>
    <w:rsid w:val="00ED74EF"/>
    <w:rsid w:val="00ED7B11"/>
    <w:rsid w:val="00EE04B6"/>
    <w:rsid w:val="00EE0557"/>
    <w:rsid w:val="00EE0834"/>
    <w:rsid w:val="00EE0E9A"/>
    <w:rsid w:val="00EE168B"/>
    <w:rsid w:val="00EE22AD"/>
    <w:rsid w:val="00EE2871"/>
    <w:rsid w:val="00EE3184"/>
    <w:rsid w:val="00EE3458"/>
    <w:rsid w:val="00EE3BE1"/>
    <w:rsid w:val="00EE3E9B"/>
    <w:rsid w:val="00EE42C2"/>
    <w:rsid w:val="00EE44BA"/>
    <w:rsid w:val="00EE44D2"/>
    <w:rsid w:val="00EE4A07"/>
    <w:rsid w:val="00EE4B70"/>
    <w:rsid w:val="00EE50A7"/>
    <w:rsid w:val="00EE55B2"/>
    <w:rsid w:val="00EE62C5"/>
    <w:rsid w:val="00EE67A9"/>
    <w:rsid w:val="00EE79E1"/>
    <w:rsid w:val="00EF02E4"/>
    <w:rsid w:val="00EF0EA5"/>
    <w:rsid w:val="00EF0F9E"/>
    <w:rsid w:val="00EF1079"/>
    <w:rsid w:val="00EF18D6"/>
    <w:rsid w:val="00EF1B32"/>
    <w:rsid w:val="00EF2423"/>
    <w:rsid w:val="00EF2756"/>
    <w:rsid w:val="00EF2C5C"/>
    <w:rsid w:val="00EF4262"/>
    <w:rsid w:val="00EF4905"/>
    <w:rsid w:val="00EF5059"/>
    <w:rsid w:val="00EF527D"/>
    <w:rsid w:val="00EF5EB9"/>
    <w:rsid w:val="00EF6E9E"/>
    <w:rsid w:val="00EF779D"/>
    <w:rsid w:val="00F00099"/>
    <w:rsid w:val="00F02450"/>
    <w:rsid w:val="00F03AAA"/>
    <w:rsid w:val="00F05D26"/>
    <w:rsid w:val="00F05F80"/>
    <w:rsid w:val="00F0717F"/>
    <w:rsid w:val="00F0732D"/>
    <w:rsid w:val="00F11107"/>
    <w:rsid w:val="00F11206"/>
    <w:rsid w:val="00F13D6E"/>
    <w:rsid w:val="00F1402C"/>
    <w:rsid w:val="00F14616"/>
    <w:rsid w:val="00F166E2"/>
    <w:rsid w:val="00F20692"/>
    <w:rsid w:val="00F2141C"/>
    <w:rsid w:val="00F217FD"/>
    <w:rsid w:val="00F22E3F"/>
    <w:rsid w:val="00F22F2B"/>
    <w:rsid w:val="00F23440"/>
    <w:rsid w:val="00F24A58"/>
    <w:rsid w:val="00F24D7B"/>
    <w:rsid w:val="00F26424"/>
    <w:rsid w:val="00F2643F"/>
    <w:rsid w:val="00F27114"/>
    <w:rsid w:val="00F27618"/>
    <w:rsid w:val="00F27A34"/>
    <w:rsid w:val="00F27D8E"/>
    <w:rsid w:val="00F309DF"/>
    <w:rsid w:val="00F30ACD"/>
    <w:rsid w:val="00F30FF9"/>
    <w:rsid w:val="00F3167F"/>
    <w:rsid w:val="00F32621"/>
    <w:rsid w:val="00F32B11"/>
    <w:rsid w:val="00F32CCA"/>
    <w:rsid w:val="00F32F63"/>
    <w:rsid w:val="00F338C2"/>
    <w:rsid w:val="00F3575E"/>
    <w:rsid w:val="00F369F6"/>
    <w:rsid w:val="00F374FB"/>
    <w:rsid w:val="00F4022A"/>
    <w:rsid w:val="00F40B05"/>
    <w:rsid w:val="00F40B4B"/>
    <w:rsid w:val="00F40F68"/>
    <w:rsid w:val="00F410C7"/>
    <w:rsid w:val="00F41397"/>
    <w:rsid w:val="00F4155D"/>
    <w:rsid w:val="00F41C0A"/>
    <w:rsid w:val="00F422EF"/>
    <w:rsid w:val="00F43776"/>
    <w:rsid w:val="00F439C9"/>
    <w:rsid w:val="00F4413F"/>
    <w:rsid w:val="00F448BE"/>
    <w:rsid w:val="00F45120"/>
    <w:rsid w:val="00F4590F"/>
    <w:rsid w:val="00F46ABF"/>
    <w:rsid w:val="00F47876"/>
    <w:rsid w:val="00F503D0"/>
    <w:rsid w:val="00F51340"/>
    <w:rsid w:val="00F513E9"/>
    <w:rsid w:val="00F528A2"/>
    <w:rsid w:val="00F54A4C"/>
    <w:rsid w:val="00F56B07"/>
    <w:rsid w:val="00F56D77"/>
    <w:rsid w:val="00F57832"/>
    <w:rsid w:val="00F57F66"/>
    <w:rsid w:val="00F61A6A"/>
    <w:rsid w:val="00F61ED2"/>
    <w:rsid w:val="00F6690D"/>
    <w:rsid w:val="00F669FB"/>
    <w:rsid w:val="00F66AD7"/>
    <w:rsid w:val="00F66DA6"/>
    <w:rsid w:val="00F673D9"/>
    <w:rsid w:val="00F728C5"/>
    <w:rsid w:val="00F729BF"/>
    <w:rsid w:val="00F72C4D"/>
    <w:rsid w:val="00F72C73"/>
    <w:rsid w:val="00F73668"/>
    <w:rsid w:val="00F73768"/>
    <w:rsid w:val="00F748A4"/>
    <w:rsid w:val="00F75023"/>
    <w:rsid w:val="00F77024"/>
    <w:rsid w:val="00F77213"/>
    <w:rsid w:val="00F77F23"/>
    <w:rsid w:val="00F828F6"/>
    <w:rsid w:val="00F82FE1"/>
    <w:rsid w:val="00F839CD"/>
    <w:rsid w:val="00F83F08"/>
    <w:rsid w:val="00F8419C"/>
    <w:rsid w:val="00F843FC"/>
    <w:rsid w:val="00F84959"/>
    <w:rsid w:val="00F84EC5"/>
    <w:rsid w:val="00F85C20"/>
    <w:rsid w:val="00F86945"/>
    <w:rsid w:val="00F87F5A"/>
    <w:rsid w:val="00F90243"/>
    <w:rsid w:val="00F90CEC"/>
    <w:rsid w:val="00F91E88"/>
    <w:rsid w:val="00F92270"/>
    <w:rsid w:val="00F922C2"/>
    <w:rsid w:val="00F925C8"/>
    <w:rsid w:val="00F931FD"/>
    <w:rsid w:val="00F93239"/>
    <w:rsid w:val="00F9466E"/>
    <w:rsid w:val="00F96588"/>
    <w:rsid w:val="00F96A92"/>
    <w:rsid w:val="00F96D5C"/>
    <w:rsid w:val="00F97456"/>
    <w:rsid w:val="00F97BC7"/>
    <w:rsid w:val="00FA0804"/>
    <w:rsid w:val="00FA2A24"/>
    <w:rsid w:val="00FA2F10"/>
    <w:rsid w:val="00FA40E3"/>
    <w:rsid w:val="00FA4F22"/>
    <w:rsid w:val="00FA5236"/>
    <w:rsid w:val="00FA5F06"/>
    <w:rsid w:val="00FA6BB0"/>
    <w:rsid w:val="00FA75AE"/>
    <w:rsid w:val="00FA7B77"/>
    <w:rsid w:val="00FB0078"/>
    <w:rsid w:val="00FB0A42"/>
    <w:rsid w:val="00FB11F6"/>
    <w:rsid w:val="00FB12CD"/>
    <w:rsid w:val="00FB2A4D"/>
    <w:rsid w:val="00FB3B2F"/>
    <w:rsid w:val="00FB53AF"/>
    <w:rsid w:val="00FB5A2F"/>
    <w:rsid w:val="00FB6479"/>
    <w:rsid w:val="00FB7D2C"/>
    <w:rsid w:val="00FC01A6"/>
    <w:rsid w:val="00FC05A4"/>
    <w:rsid w:val="00FC19C4"/>
    <w:rsid w:val="00FC1BD5"/>
    <w:rsid w:val="00FC26A3"/>
    <w:rsid w:val="00FC2B3F"/>
    <w:rsid w:val="00FC32C6"/>
    <w:rsid w:val="00FC3336"/>
    <w:rsid w:val="00FC41E4"/>
    <w:rsid w:val="00FC42CC"/>
    <w:rsid w:val="00FC54E2"/>
    <w:rsid w:val="00FD0251"/>
    <w:rsid w:val="00FD05A9"/>
    <w:rsid w:val="00FD0F80"/>
    <w:rsid w:val="00FD1019"/>
    <w:rsid w:val="00FD2134"/>
    <w:rsid w:val="00FD251C"/>
    <w:rsid w:val="00FD4E22"/>
    <w:rsid w:val="00FD54E7"/>
    <w:rsid w:val="00FD59A3"/>
    <w:rsid w:val="00FE0EBF"/>
    <w:rsid w:val="00FE165C"/>
    <w:rsid w:val="00FE3E28"/>
    <w:rsid w:val="00FE4E9B"/>
    <w:rsid w:val="00FE5A06"/>
    <w:rsid w:val="00FE60F7"/>
    <w:rsid w:val="00FE6619"/>
    <w:rsid w:val="00FE7160"/>
    <w:rsid w:val="00FE74E8"/>
    <w:rsid w:val="00FE7784"/>
    <w:rsid w:val="00FE7B96"/>
    <w:rsid w:val="00FF01ED"/>
    <w:rsid w:val="00FF0797"/>
    <w:rsid w:val="00FF0EB0"/>
    <w:rsid w:val="00FF1BFA"/>
    <w:rsid w:val="00FF36DC"/>
    <w:rsid w:val="00FF386A"/>
    <w:rsid w:val="00FF4A02"/>
    <w:rsid w:val="00FF4FA5"/>
    <w:rsid w:val="00FF53FB"/>
    <w:rsid w:val="00FF587F"/>
    <w:rsid w:val="00FF6060"/>
    <w:rsid w:val="00FF6A74"/>
    <w:rsid w:val="00FF749E"/>
    <w:rsid w:val="00FF7536"/>
    <w:rsid w:val="00FF78E6"/>
    <w:rsid w:val="00FF7EC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unhideWhenUsed="0"/>
    <w:lsdException w:name="TOC Heading" w:uiPriority="39" w:qFormat="1"/>
  </w:latentStyles>
  <w:style w:type="paragraph" w:default="1" w:styleId="Normal">
    <w:name w:val="Normal"/>
    <w:qFormat/>
    <w:rsid w:val="00F669FB"/>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qFormat/>
    <w:rsid w:val="00F669FB"/>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qFormat/>
    <w:rsid w:val="00F669FB"/>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qFormat/>
    <w:rsid w:val="00F669FB"/>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qFormat/>
    <w:rsid w:val="00F669FB"/>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7E0842"/>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7E0842"/>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7E0842"/>
    <w:rPr>
      <w:b/>
    </w:rPr>
  </w:style>
  <w:style w:type="paragraph" w:customStyle="1" w:styleId="CoverHeading">
    <w:name w:val="Cover Heading"/>
    <w:basedOn w:val="Normal"/>
    <w:next w:val="CoverSubheading"/>
    <w:rsid w:val="007E0842"/>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7E0842"/>
    <w:pPr>
      <w:spacing w:line="280" w:lineRule="exact"/>
    </w:pPr>
    <w:rPr>
      <w:rFonts w:ascii="Arial" w:hAnsi="Arial"/>
      <w:caps/>
      <w:sz w:val="22"/>
      <w:szCs w:val="22"/>
    </w:rPr>
  </w:style>
  <w:style w:type="paragraph" w:customStyle="1" w:styleId="CoverDate">
    <w:name w:val="Cover Date"/>
    <w:basedOn w:val="CoverHeading"/>
    <w:next w:val="Para0"/>
    <w:rsid w:val="007E0842"/>
    <w:pPr>
      <w:spacing w:line="280" w:lineRule="exact"/>
    </w:pPr>
    <w:rPr>
      <w:rFonts w:ascii="Arial" w:hAnsi="Arial"/>
      <w:sz w:val="22"/>
    </w:rPr>
  </w:style>
  <w:style w:type="paragraph" w:customStyle="1" w:styleId="PageTitle">
    <w:name w:val="Page Title"/>
    <w:basedOn w:val="Para0"/>
    <w:unhideWhenUsed/>
    <w:rsid w:val="007E0842"/>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7E0842"/>
    <w:pPr>
      <w:spacing w:after="0" w:line="200" w:lineRule="exact"/>
      <w:ind w:left="567" w:right="284"/>
    </w:pPr>
    <w:rPr>
      <w:rFonts w:ascii="Arial Narrow" w:hAnsi="Arial Narrow"/>
      <w:b/>
      <w:sz w:val="16"/>
    </w:rPr>
  </w:style>
  <w:style w:type="paragraph" w:customStyle="1" w:styleId="Tablebullet">
    <w:name w:val="Table bullet"/>
    <w:basedOn w:val="Tabletext"/>
    <w:qFormat/>
    <w:rsid w:val="007E0842"/>
    <w:pPr>
      <w:numPr>
        <w:numId w:val="30"/>
      </w:numPr>
    </w:pPr>
    <w:rPr>
      <w:szCs w:val="20"/>
    </w:rPr>
  </w:style>
  <w:style w:type="paragraph" w:customStyle="1" w:styleId="Tableheading">
    <w:name w:val="Table heading"/>
    <w:basedOn w:val="Normal"/>
    <w:qFormat/>
    <w:rsid w:val="007E0842"/>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7E084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lang w:val="en-AU"/>
    </w:rPr>
  </w:style>
  <w:style w:type="paragraph" w:customStyle="1" w:styleId="ContentBulletsLetter">
    <w:name w:val="Content Bullets Letter"/>
    <w:basedOn w:val="Para0"/>
    <w:semiHidden/>
    <w:qFormat/>
    <w:rsid w:val="007E0842"/>
    <w:pPr>
      <w:numPr>
        <w:numId w:val="2"/>
      </w:numPr>
      <w:tabs>
        <w:tab w:val="num" w:pos="360"/>
      </w:tabs>
      <w:ind w:left="851" w:firstLine="0"/>
    </w:pPr>
  </w:style>
  <w:style w:type="paragraph" w:customStyle="1" w:styleId="ContentBulletsRound">
    <w:name w:val="Content Bullets Round"/>
    <w:basedOn w:val="Para0"/>
    <w:semiHidden/>
    <w:qFormat/>
    <w:rsid w:val="007E0842"/>
    <w:pPr>
      <w:numPr>
        <w:numId w:val="7"/>
      </w:numPr>
      <w:tabs>
        <w:tab w:val="num" w:pos="360"/>
      </w:tabs>
      <w:ind w:left="851" w:firstLine="0"/>
    </w:pPr>
    <w:rPr>
      <w:color w:val="000000"/>
    </w:rPr>
  </w:style>
  <w:style w:type="paragraph" w:styleId="Caption">
    <w:name w:val="caption"/>
    <w:aliases w:val="TABLE,Figure,CDM B/Caption,Item,Table Caption,caption,c,col bullet,cb,Center Bold,cbbullet,col bulletcsb,u,C2 Col Bullet,6 chart,Center Bcbold,cb 10pt,column bullet,col bullet1,cb1,Chart,chart,Center ctBold,6,char,7 chart,col trailer"/>
    <w:basedOn w:val="Tableheading"/>
    <w:next w:val="Para0"/>
    <w:link w:val="CaptionChar"/>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7E0842"/>
    <w:pPr>
      <w:numPr>
        <w:numId w:val="4"/>
      </w:numPr>
      <w:ind w:left="851"/>
    </w:pPr>
    <w:rPr>
      <w:color w:val="42145F"/>
    </w:rPr>
  </w:style>
  <w:style w:type="paragraph" w:customStyle="1" w:styleId="ContentBulletsNumber">
    <w:name w:val="Content Bullets Number"/>
    <w:basedOn w:val="Para0"/>
    <w:semiHidden/>
    <w:qFormat/>
    <w:rsid w:val="007E0842"/>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7E0842"/>
    <w:pPr>
      <w:spacing w:before="60" w:after="60"/>
    </w:pPr>
  </w:style>
  <w:style w:type="table" w:styleId="TableGrid">
    <w:name w:val="Table Grid"/>
    <w:basedOn w:val="TableNormal"/>
    <w:uiPriority w:val="59"/>
    <w:rsid w:val="00EA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7E0842"/>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7E0842"/>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7E0842"/>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7E0842"/>
    <w:pPr>
      <w:ind w:left="0"/>
      <w:jc w:val="right"/>
    </w:pPr>
  </w:style>
  <w:style w:type="paragraph" w:customStyle="1" w:styleId="ContentBulletsDash">
    <w:name w:val="Content Bullets Dash"/>
    <w:basedOn w:val="Para0"/>
    <w:semiHidden/>
    <w:qFormat/>
    <w:rsid w:val="007E0842"/>
    <w:pPr>
      <w:numPr>
        <w:numId w:val="3"/>
      </w:numPr>
      <w:ind w:left="851"/>
    </w:pPr>
  </w:style>
  <w:style w:type="paragraph" w:customStyle="1" w:styleId="ContentBulletsRomanNumeral">
    <w:name w:val="Content Bullets Roman Numeral"/>
    <w:basedOn w:val="Para0"/>
    <w:semiHidden/>
    <w:qFormat/>
    <w:rsid w:val="007E0842"/>
    <w:pPr>
      <w:numPr>
        <w:numId w:val="6"/>
      </w:numPr>
      <w:ind w:left="851"/>
    </w:pPr>
  </w:style>
  <w:style w:type="paragraph" w:customStyle="1" w:styleId="Tablenumber">
    <w:name w:val="Table number"/>
    <w:basedOn w:val="Tablebullet"/>
    <w:qFormat/>
    <w:rsid w:val="007E0842"/>
    <w:pPr>
      <w:numPr>
        <w:numId w:val="21"/>
      </w:numPr>
    </w:pPr>
  </w:style>
  <w:style w:type="paragraph" w:customStyle="1" w:styleId="Tablesmalltext">
    <w:name w:val="Table small text"/>
    <w:basedOn w:val="Normal"/>
    <w:link w:val="TablesmalltextChar"/>
    <w:qFormat/>
    <w:rsid w:val="007E0842"/>
    <w:pPr>
      <w:spacing w:before="40" w:after="40"/>
    </w:pPr>
    <w:rPr>
      <w:sz w:val="18"/>
    </w:rPr>
  </w:style>
  <w:style w:type="paragraph" w:customStyle="1" w:styleId="Tablesmallbullet">
    <w:name w:val="Table small bullet"/>
    <w:basedOn w:val="Tablesmalltext"/>
    <w:link w:val="TablesmallbulletChar"/>
    <w:qFormat/>
    <w:rsid w:val="007E0842"/>
    <w:pPr>
      <w:numPr>
        <w:numId w:val="37"/>
      </w:numPr>
    </w:pPr>
  </w:style>
  <w:style w:type="paragraph" w:customStyle="1" w:styleId="Tablesmallheading">
    <w:name w:val="Table small heading"/>
    <w:basedOn w:val="Tableheading"/>
    <w:qFormat/>
    <w:rsid w:val="007E0842"/>
    <w:pPr>
      <w:spacing w:before="60" w:after="60"/>
    </w:pPr>
    <w:rPr>
      <w:rFonts w:ascii="Arial" w:hAnsi="Arial"/>
      <w:b/>
      <w:color w:val="FFFFFF" w:themeColor="background2"/>
      <w:sz w:val="18"/>
    </w:rPr>
  </w:style>
  <w:style w:type="paragraph" w:customStyle="1" w:styleId="Tablesmallletter">
    <w:name w:val="Table small letter"/>
    <w:basedOn w:val="Tablesmallbullet"/>
    <w:qFormat/>
    <w:rsid w:val="007E0842"/>
    <w:pPr>
      <w:numPr>
        <w:numId w:val="26"/>
      </w:numPr>
    </w:pPr>
  </w:style>
  <w:style w:type="paragraph" w:customStyle="1" w:styleId="Tablesmallnumber">
    <w:name w:val="Table small number"/>
    <w:basedOn w:val="Tablesmallbullet"/>
    <w:qFormat/>
    <w:rsid w:val="007E0842"/>
    <w:pPr>
      <w:numPr>
        <w:numId w:val="25"/>
      </w:numPr>
    </w:pPr>
  </w:style>
  <w:style w:type="paragraph" w:customStyle="1" w:styleId="Sectionheading">
    <w:name w:val="Section heading"/>
    <w:basedOn w:val="Summary"/>
    <w:next w:val="Para0"/>
    <w:qFormat/>
    <w:rsid w:val="007E0842"/>
    <w:pPr>
      <w:pageBreakBefore/>
      <w:spacing w:line="360" w:lineRule="exact"/>
      <w:ind w:left="357" w:hanging="357"/>
    </w:pPr>
  </w:style>
  <w:style w:type="paragraph" w:styleId="Header">
    <w:name w:val="header"/>
    <w:basedOn w:val="PageTitle"/>
    <w:link w:val="HeaderChar"/>
    <w:unhideWhenUsed/>
    <w:rsid w:val="007E0842"/>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lang w:val="en-AU"/>
    </w:rPr>
  </w:style>
  <w:style w:type="paragraph" w:styleId="Footer">
    <w:name w:val="footer"/>
    <w:basedOn w:val="Normal"/>
    <w:link w:val="FooterChar"/>
    <w:uiPriority w:val="99"/>
    <w:unhideWhenUsed/>
    <w:rsid w:val="007E0842"/>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AU"/>
    </w:rPr>
  </w:style>
  <w:style w:type="paragraph" w:styleId="TOCHeading">
    <w:name w:val="TOC Heading"/>
    <w:basedOn w:val="Heading1"/>
    <w:next w:val="Normal"/>
    <w:uiPriority w:val="39"/>
    <w:qFormat/>
    <w:rsid w:val="00F669FB"/>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7E0842"/>
    <w:rPr>
      <w:color w:val="0000FF" w:themeColor="hyperlink"/>
      <w:u w:val="single"/>
    </w:rPr>
  </w:style>
  <w:style w:type="paragraph" w:customStyle="1" w:styleId="Sidebarheading">
    <w:name w:val="Sidebar heading"/>
    <w:basedOn w:val="Normal"/>
    <w:next w:val="Sidebartext"/>
    <w:unhideWhenUsed/>
    <w:qFormat/>
    <w:rsid w:val="007E0842"/>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7E0842"/>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7E0842"/>
    <w:pPr>
      <w:framePr w:wrap="around"/>
      <w:numPr>
        <w:numId w:val="29"/>
      </w:numPr>
      <w:spacing w:after="60"/>
    </w:pPr>
  </w:style>
  <w:style w:type="paragraph" w:customStyle="1" w:styleId="Collateralheading">
    <w:name w:val="Collateral heading"/>
    <w:basedOn w:val="Normal"/>
    <w:next w:val="Normal"/>
    <w:semiHidden/>
    <w:unhideWhenUsed/>
    <w:rsid w:val="007E0842"/>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7E0842"/>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7E0842"/>
    <w:pPr>
      <w:spacing w:after="160" w:line="320" w:lineRule="exact"/>
      <w:jc w:val="right"/>
    </w:pPr>
    <w:rPr>
      <w:rFonts w:ascii="Arial Black" w:hAnsi="Arial Black"/>
      <w:color w:val="42145F"/>
      <w:sz w:val="36"/>
    </w:rPr>
  </w:style>
  <w:style w:type="paragraph" w:styleId="ListBullet">
    <w:name w:val="List Bullet"/>
    <w:basedOn w:val="Normal"/>
    <w:uiPriority w:val="99"/>
    <w:unhideWhenUsed/>
    <w:rsid w:val="007E0842"/>
    <w:pPr>
      <w:tabs>
        <w:tab w:val="num" w:pos="370"/>
      </w:tabs>
      <w:ind w:left="370" w:hanging="360"/>
      <w:contextualSpacing/>
    </w:pPr>
  </w:style>
  <w:style w:type="paragraph" w:customStyle="1" w:styleId="Name2">
    <w:name w:val="Name 2"/>
    <w:basedOn w:val="Name1"/>
    <w:semiHidden/>
    <w:unhideWhenUsed/>
    <w:rsid w:val="007E0842"/>
    <w:rPr>
      <w:sz w:val="28"/>
    </w:rPr>
  </w:style>
  <w:style w:type="paragraph" w:customStyle="1" w:styleId="Projectrole1">
    <w:name w:val="Project role 1"/>
    <w:basedOn w:val="Normal"/>
    <w:semiHidden/>
    <w:unhideWhenUsed/>
    <w:rsid w:val="007E0842"/>
    <w:pPr>
      <w:spacing w:after="160"/>
      <w:jc w:val="right"/>
    </w:pPr>
    <w:rPr>
      <w:rFonts w:ascii="Arial Narrow" w:hAnsi="Arial Narrow"/>
      <w:caps/>
      <w:color w:val="42145F"/>
    </w:rPr>
  </w:style>
  <w:style w:type="paragraph" w:customStyle="1" w:styleId="Projectrole2">
    <w:name w:val="Project role 2"/>
    <w:basedOn w:val="Projectrole1"/>
    <w:semiHidden/>
    <w:unhideWhenUsed/>
    <w:rsid w:val="007E0842"/>
    <w:rPr>
      <w:sz w:val="16"/>
      <w:szCs w:val="16"/>
    </w:rPr>
  </w:style>
  <w:style w:type="paragraph" w:customStyle="1" w:styleId="Bodynarrow">
    <w:name w:val="Body narrow"/>
    <w:basedOn w:val="Para0narrow"/>
    <w:qFormat/>
    <w:rsid w:val="007E0842"/>
  </w:style>
  <w:style w:type="paragraph" w:customStyle="1" w:styleId="Bodynarrowbullet">
    <w:name w:val="Body narrow bullet"/>
    <w:basedOn w:val="Bodynarrow"/>
    <w:unhideWhenUsed/>
    <w:qFormat/>
    <w:rsid w:val="007E0842"/>
    <w:pPr>
      <w:numPr>
        <w:numId w:val="27"/>
      </w:numPr>
      <w:tabs>
        <w:tab w:val="left" w:pos="198"/>
      </w:tabs>
      <w:spacing w:after="60"/>
    </w:pPr>
  </w:style>
  <w:style w:type="paragraph" w:customStyle="1" w:styleId="Bodynarrowarrow">
    <w:name w:val="Body narrow arrow"/>
    <w:basedOn w:val="Para1narrowarrow"/>
    <w:semiHidden/>
    <w:unhideWhenUsed/>
    <w:rsid w:val="007E0842"/>
    <w:pPr>
      <w:numPr>
        <w:numId w:val="27"/>
      </w:numPr>
      <w:tabs>
        <w:tab w:val="clear" w:pos="198"/>
      </w:tabs>
    </w:pPr>
  </w:style>
  <w:style w:type="paragraph" w:customStyle="1" w:styleId="Disclaimer1">
    <w:name w:val="Disclaimer 1"/>
    <w:basedOn w:val="Normal"/>
    <w:semiHidden/>
    <w:unhideWhenUsed/>
    <w:rsid w:val="007E0842"/>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7E0842"/>
    <w:pPr>
      <w:framePr w:wrap="around"/>
      <w:spacing w:before="80" w:after="40" w:line="180" w:lineRule="atLeast"/>
    </w:pPr>
    <w:rPr>
      <w:sz w:val="14"/>
    </w:rPr>
  </w:style>
  <w:style w:type="paragraph" w:customStyle="1" w:styleId="Para0narrow">
    <w:name w:val="Para 0 narrow"/>
    <w:basedOn w:val="Normal"/>
    <w:unhideWhenUsed/>
    <w:qFormat/>
    <w:rsid w:val="007E0842"/>
    <w:pPr>
      <w:spacing w:before="40" w:after="120"/>
    </w:pPr>
    <w:rPr>
      <w:rFonts w:ascii="Arial Narrow" w:hAnsi="Arial Narrow"/>
      <w:sz w:val="19"/>
    </w:rPr>
  </w:style>
  <w:style w:type="paragraph" w:customStyle="1" w:styleId="Para0narrowbullet">
    <w:name w:val="Para 0 narrow bullet"/>
    <w:basedOn w:val="Para0narrow"/>
    <w:qFormat/>
    <w:rsid w:val="007E0842"/>
    <w:pPr>
      <w:numPr>
        <w:numId w:val="28"/>
      </w:numPr>
      <w:tabs>
        <w:tab w:val="left" w:pos="198"/>
      </w:tabs>
      <w:spacing w:after="60"/>
    </w:pPr>
  </w:style>
  <w:style w:type="paragraph" w:customStyle="1" w:styleId="SummaryHeading">
    <w:name w:val="SummaryHeading"/>
    <w:basedOn w:val="Sectionheading"/>
    <w:semiHidden/>
    <w:qFormat/>
    <w:rsid w:val="007E0842"/>
  </w:style>
  <w:style w:type="paragraph" w:customStyle="1" w:styleId="Para0bold">
    <w:name w:val="Para 0 bold"/>
    <w:basedOn w:val="Para0"/>
    <w:qFormat/>
    <w:rsid w:val="007E0842"/>
    <w:rPr>
      <w:b/>
    </w:rPr>
  </w:style>
  <w:style w:type="paragraph" w:customStyle="1" w:styleId="Para0number">
    <w:name w:val="Para 0 number"/>
    <w:basedOn w:val="Para0"/>
    <w:qFormat/>
    <w:rsid w:val="007E0842"/>
    <w:pPr>
      <w:tabs>
        <w:tab w:val="left" w:pos="851"/>
      </w:tabs>
      <w:spacing w:before="0"/>
      <w:ind w:left="360" w:hanging="360"/>
    </w:pPr>
  </w:style>
  <w:style w:type="paragraph" w:customStyle="1" w:styleId="Para0arrow">
    <w:name w:val="Para 0 arrow"/>
    <w:basedOn w:val="Para0"/>
    <w:qFormat/>
    <w:rsid w:val="007E0842"/>
    <w:pPr>
      <w:numPr>
        <w:numId w:val="19"/>
      </w:numPr>
      <w:tabs>
        <w:tab w:val="left" w:pos="851"/>
      </w:tabs>
      <w:spacing w:before="0"/>
    </w:pPr>
    <w:rPr>
      <w:color w:val="42145F" w:themeColor="text1"/>
    </w:rPr>
  </w:style>
  <w:style w:type="paragraph" w:customStyle="1" w:styleId="Para0dash">
    <w:name w:val="Para 0 dash"/>
    <w:basedOn w:val="Para0"/>
    <w:qFormat/>
    <w:rsid w:val="007E0842"/>
    <w:pPr>
      <w:numPr>
        <w:numId w:val="33"/>
      </w:numPr>
      <w:tabs>
        <w:tab w:val="left" w:pos="851"/>
      </w:tabs>
      <w:spacing w:before="0"/>
    </w:pPr>
  </w:style>
  <w:style w:type="paragraph" w:customStyle="1" w:styleId="Para0roman">
    <w:name w:val="Para 0 roman"/>
    <w:basedOn w:val="Para0"/>
    <w:qFormat/>
    <w:rsid w:val="007E0842"/>
    <w:pPr>
      <w:numPr>
        <w:numId w:val="32"/>
      </w:numPr>
      <w:tabs>
        <w:tab w:val="left" w:pos="851"/>
      </w:tabs>
      <w:spacing w:before="0"/>
    </w:pPr>
  </w:style>
  <w:style w:type="paragraph" w:customStyle="1" w:styleId="Para0letter">
    <w:name w:val="Para 0 letter"/>
    <w:basedOn w:val="Para0"/>
    <w:qFormat/>
    <w:rsid w:val="007E0842"/>
    <w:pPr>
      <w:numPr>
        <w:numId w:val="34"/>
      </w:numPr>
      <w:tabs>
        <w:tab w:val="left" w:pos="851"/>
      </w:tabs>
      <w:spacing w:before="0"/>
    </w:pPr>
  </w:style>
  <w:style w:type="paragraph" w:customStyle="1" w:styleId="Para0bullet">
    <w:name w:val="Para 0 bullet"/>
    <w:basedOn w:val="Para0"/>
    <w:qFormat/>
    <w:rsid w:val="007E0842"/>
    <w:pPr>
      <w:numPr>
        <w:numId w:val="35"/>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7E0842"/>
  </w:style>
  <w:style w:type="paragraph" w:customStyle="1" w:styleId="Content">
    <w:name w:val="Content"/>
    <w:basedOn w:val="Normal"/>
    <w:semiHidden/>
    <w:unhideWhenUsed/>
    <w:qFormat/>
    <w:rsid w:val="007E0842"/>
    <w:pPr>
      <w:spacing w:line="280" w:lineRule="exact"/>
    </w:pPr>
  </w:style>
  <w:style w:type="paragraph" w:styleId="TOC4">
    <w:name w:val="toc 4"/>
    <w:basedOn w:val="Normal"/>
    <w:next w:val="Normal"/>
    <w:autoRedefine/>
    <w:uiPriority w:val="39"/>
    <w:semiHidden/>
    <w:unhideWhenUsed/>
    <w:rsid w:val="007E0842"/>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7E0842"/>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7E0842"/>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7E0842"/>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7E0842"/>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7E0842"/>
  </w:style>
  <w:style w:type="paragraph" w:customStyle="1" w:styleId="Bodysubheading">
    <w:name w:val="Body sub heading"/>
    <w:basedOn w:val="Collateralsubheading"/>
    <w:next w:val="Para0narrow"/>
    <w:unhideWhenUsed/>
    <w:qFormat/>
    <w:rsid w:val="007E0842"/>
  </w:style>
  <w:style w:type="paragraph" w:customStyle="1" w:styleId="CVTitle">
    <w:name w:val="CVTitle"/>
    <w:basedOn w:val="Projectrole1"/>
    <w:semiHidden/>
    <w:unhideWhenUsed/>
    <w:rsid w:val="007E0842"/>
  </w:style>
  <w:style w:type="paragraph" w:customStyle="1" w:styleId="CVHead">
    <w:name w:val="CVHead"/>
    <w:basedOn w:val="Collateralheading"/>
    <w:semiHidden/>
    <w:unhideWhenUsed/>
    <w:rsid w:val="007E0842"/>
  </w:style>
  <w:style w:type="paragraph" w:customStyle="1" w:styleId="PHHeading1">
    <w:name w:val="PHHeading 1"/>
    <w:basedOn w:val="CVHead"/>
    <w:semiHidden/>
    <w:unhideWhenUsed/>
    <w:rsid w:val="007E0842"/>
  </w:style>
  <w:style w:type="paragraph" w:customStyle="1" w:styleId="PHHeading2">
    <w:name w:val="PHHeading 2"/>
    <w:basedOn w:val="Collateralsubheading"/>
    <w:semiHidden/>
    <w:unhideWhenUsed/>
    <w:rsid w:val="007E0842"/>
  </w:style>
  <w:style w:type="paragraph" w:customStyle="1" w:styleId="PHHeading3">
    <w:name w:val="PHHeading 3"/>
    <w:basedOn w:val="PHHeading2"/>
    <w:semiHidden/>
    <w:unhideWhenUsed/>
    <w:rsid w:val="007E0842"/>
  </w:style>
  <w:style w:type="paragraph" w:customStyle="1" w:styleId="Para1">
    <w:name w:val="Para 1"/>
    <w:basedOn w:val="Para0"/>
    <w:unhideWhenUsed/>
    <w:rsid w:val="007E0842"/>
    <w:pPr>
      <w:ind w:left="425"/>
    </w:pPr>
  </w:style>
  <w:style w:type="paragraph" w:customStyle="1" w:styleId="Para1bullet">
    <w:name w:val="Para 1 bullet"/>
    <w:basedOn w:val="Para1"/>
    <w:unhideWhenUsed/>
    <w:rsid w:val="007E0842"/>
    <w:pPr>
      <w:numPr>
        <w:numId w:val="8"/>
      </w:numPr>
      <w:spacing w:before="0"/>
      <w:ind w:left="850" w:hanging="425"/>
    </w:pPr>
  </w:style>
  <w:style w:type="paragraph" w:customStyle="1" w:styleId="Para1dash">
    <w:name w:val="Para 1 dash"/>
    <w:basedOn w:val="Para1bullet"/>
    <w:unhideWhenUsed/>
    <w:rsid w:val="007E0842"/>
    <w:pPr>
      <w:numPr>
        <w:ilvl w:val="1"/>
        <w:numId w:val="35"/>
      </w:numPr>
    </w:pPr>
  </w:style>
  <w:style w:type="paragraph" w:customStyle="1" w:styleId="Para1letter">
    <w:name w:val="Para 1 letter"/>
    <w:basedOn w:val="Para1bullet"/>
    <w:unhideWhenUsed/>
    <w:rsid w:val="007E0842"/>
    <w:pPr>
      <w:numPr>
        <w:ilvl w:val="1"/>
        <w:numId w:val="31"/>
      </w:numPr>
    </w:pPr>
  </w:style>
  <w:style w:type="paragraph" w:customStyle="1" w:styleId="Para1number">
    <w:name w:val="Para 1 number"/>
    <w:basedOn w:val="Para1bullet"/>
    <w:unhideWhenUsed/>
    <w:rsid w:val="007E0842"/>
    <w:pPr>
      <w:numPr>
        <w:numId w:val="9"/>
      </w:numPr>
      <w:ind w:left="850" w:hanging="425"/>
    </w:pPr>
  </w:style>
  <w:style w:type="paragraph" w:customStyle="1" w:styleId="Summary">
    <w:name w:val="Summary"/>
    <w:basedOn w:val="Normal"/>
    <w:next w:val="Para0"/>
    <w:qFormat/>
    <w:rsid w:val="007E0842"/>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7E0842"/>
    <w:pPr>
      <w:numPr>
        <w:ilvl w:val="0"/>
        <w:numId w:val="0"/>
      </w:numPr>
    </w:pPr>
  </w:style>
  <w:style w:type="paragraph" w:customStyle="1" w:styleId="SectionSubheading2">
    <w:name w:val="Section Sub heading 2"/>
    <w:basedOn w:val="Heading3"/>
    <w:next w:val="Para0"/>
    <w:qFormat/>
    <w:rsid w:val="007E0842"/>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7E0842"/>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7E0842"/>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4"/>
      </w:numPr>
    </w:pPr>
  </w:style>
  <w:style w:type="paragraph" w:customStyle="1" w:styleId="Para2bold">
    <w:name w:val="Para 2 bold"/>
    <w:basedOn w:val="Para2"/>
    <w:rsid w:val="003E59A6"/>
    <w:rPr>
      <w:b/>
    </w:rPr>
  </w:style>
  <w:style w:type="paragraph" w:customStyle="1" w:styleId="Para2number">
    <w:name w:val="Para 2 number"/>
    <w:basedOn w:val="Para2bullet"/>
    <w:rsid w:val="007E0842"/>
    <w:pPr>
      <w:numPr>
        <w:numId w:val="14"/>
      </w:numPr>
      <w:ind w:left="1276" w:hanging="425"/>
    </w:pPr>
  </w:style>
  <w:style w:type="paragraph" w:customStyle="1" w:styleId="Para2roman">
    <w:name w:val="Para 2 roman"/>
    <w:basedOn w:val="Para2number"/>
    <w:rsid w:val="00A076C0"/>
    <w:pPr>
      <w:numPr>
        <w:ilvl w:val="2"/>
        <w:numId w:val="31"/>
      </w:numPr>
    </w:pPr>
  </w:style>
  <w:style w:type="paragraph" w:customStyle="1" w:styleId="TableContent">
    <w:name w:val="Table Content"/>
    <w:basedOn w:val="Normal"/>
    <w:qFormat/>
    <w:rsid w:val="007E0842"/>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Ind w:w="0" w:type="dxa"/>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CellMar>
        <w:top w:w="0" w:type="dxa"/>
        <w:left w:w="108" w:type="dxa"/>
        <w:bottom w:w="0" w:type="dxa"/>
        <w:right w:w="108" w:type="dxa"/>
      </w:tblCellMar>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rsid w:val="00AE42BA"/>
    <w:rPr>
      <w:rFonts w:ascii="Arial" w:hAnsi="Arial"/>
      <w:sz w:val="20"/>
      <w:lang w:val="en-AU"/>
    </w:rPr>
  </w:style>
  <w:style w:type="paragraph" w:styleId="ListParagraph">
    <w:name w:val="List Paragraph"/>
    <w:basedOn w:val="Normal"/>
    <w:uiPriority w:val="34"/>
    <w:qFormat/>
    <w:rsid w:val="004F3874"/>
    <w:pPr>
      <w:spacing w:after="200" w:line="276" w:lineRule="auto"/>
      <w:ind w:left="720"/>
    </w:pPr>
    <w:rPr>
      <w:rFonts w:ascii="Calibri" w:eastAsiaTheme="minorHAnsi" w:hAnsi="Calibri" w:cs="Times New Roman"/>
      <w:sz w:val="22"/>
      <w:szCs w:val="22"/>
      <w:lang w:eastAsia="en-AU"/>
    </w:rPr>
  </w:style>
  <w:style w:type="paragraph" w:customStyle="1" w:styleId="Tablepara2">
    <w:name w:val="Table para 2"/>
    <w:basedOn w:val="Tablesmallbullet"/>
    <w:link w:val="Tablepara2Char"/>
    <w:qFormat/>
    <w:rsid w:val="007E0842"/>
    <w:pPr>
      <w:numPr>
        <w:numId w:val="36"/>
      </w:numPr>
    </w:pPr>
  </w:style>
  <w:style w:type="character" w:customStyle="1" w:styleId="TablesmalltextChar">
    <w:name w:val="Table small text Char"/>
    <w:basedOn w:val="DefaultParagraphFont"/>
    <w:link w:val="Tablesmalltext"/>
    <w:rsid w:val="008E4758"/>
    <w:rPr>
      <w:rFonts w:ascii="Arial" w:hAnsi="Arial"/>
      <w:sz w:val="18"/>
      <w:lang w:val="en-AU"/>
    </w:rPr>
  </w:style>
  <w:style w:type="character" w:customStyle="1" w:styleId="TablesmallbulletChar">
    <w:name w:val="Table small bullet Char"/>
    <w:basedOn w:val="TablesmalltextChar"/>
    <w:link w:val="Tablesmallbullet"/>
    <w:rsid w:val="00510714"/>
    <w:rPr>
      <w:rFonts w:ascii="Arial" w:hAnsi="Arial"/>
      <w:sz w:val="18"/>
      <w:lang w:val="en-AU"/>
    </w:rPr>
  </w:style>
  <w:style w:type="character" w:customStyle="1" w:styleId="Tablepara2Char">
    <w:name w:val="Table para 2 Char"/>
    <w:basedOn w:val="TablesmallbulletChar"/>
    <w:link w:val="Tablepara2"/>
    <w:rsid w:val="008E4758"/>
    <w:rPr>
      <w:rFonts w:ascii="Arial" w:hAnsi="Arial"/>
      <w:sz w:val="18"/>
      <w:lang w:val="en-AU"/>
    </w:rPr>
  </w:style>
  <w:style w:type="paragraph" w:styleId="EndnoteText">
    <w:name w:val="endnote text"/>
    <w:basedOn w:val="Normal"/>
    <w:link w:val="EndnoteTextChar"/>
    <w:uiPriority w:val="99"/>
    <w:semiHidden/>
    <w:unhideWhenUsed/>
    <w:rsid w:val="007E0842"/>
    <w:pPr>
      <w:spacing w:after="0" w:line="240" w:lineRule="auto"/>
    </w:pPr>
    <w:rPr>
      <w:szCs w:val="20"/>
    </w:rPr>
  </w:style>
  <w:style w:type="character" w:customStyle="1" w:styleId="EndnoteTextChar">
    <w:name w:val="Endnote Text Char"/>
    <w:basedOn w:val="DefaultParagraphFont"/>
    <w:link w:val="EndnoteText"/>
    <w:uiPriority w:val="99"/>
    <w:semiHidden/>
    <w:rsid w:val="009F092F"/>
    <w:rPr>
      <w:rFonts w:ascii="Arial" w:hAnsi="Arial"/>
      <w:sz w:val="20"/>
      <w:szCs w:val="20"/>
      <w:lang w:val="en-AU"/>
    </w:rPr>
  </w:style>
  <w:style w:type="character" w:styleId="EndnoteReference">
    <w:name w:val="endnote reference"/>
    <w:basedOn w:val="DefaultParagraphFont"/>
    <w:uiPriority w:val="99"/>
    <w:semiHidden/>
    <w:unhideWhenUsed/>
    <w:rsid w:val="007E0842"/>
    <w:rPr>
      <w:vertAlign w:val="superscript"/>
    </w:rPr>
  </w:style>
  <w:style w:type="character" w:styleId="CommentReference">
    <w:name w:val="annotation reference"/>
    <w:basedOn w:val="DefaultParagraphFont"/>
    <w:uiPriority w:val="99"/>
    <w:semiHidden/>
    <w:unhideWhenUsed/>
    <w:rsid w:val="007E0842"/>
    <w:rPr>
      <w:sz w:val="16"/>
      <w:szCs w:val="16"/>
    </w:rPr>
  </w:style>
  <w:style w:type="paragraph" w:styleId="CommentText">
    <w:name w:val="annotation text"/>
    <w:basedOn w:val="Normal"/>
    <w:link w:val="CommentTextChar"/>
    <w:uiPriority w:val="99"/>
    <w:unhideWhenUsed/>
    <w:rsid w:val="007E0842"/>
    <w:pPr>
      <w:spacing w:line="240" w:lineRule="auto"/>
    </w:pPr>
    <w:rPr>
      <w:szCs w:val="20"/>
    </w:rPr>
  </w:style>
  <w:style w:type="character" w:customStyle="1" w:styleId="CommentTextChar">
    <w:name w:val="Comment Text Char"/>
    <w:basedOn w:val="DefaultParagraphFont"/>
    <w:link w:val="CommentText"/>
    <w:uiPriority w:val="99"/>
    <w:rsid w:val="004F5988"/>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E0842"/>
    <w:rPr>
      <w:b/>
      <w:bCs/>
    </w:rPr>
  </w:style>
  <w:style w:type="character" w:customStyle="1" w:styleId="CommentSubjectChar">
    <w:name w:val="Comment Subject Char"/>
    <w:basedOn w:val="CommentTextChar"/>
    <w:link w:val="CommentSubject"/>
    <w:uiPriority w:val="99"/>
    <w:semiHidden/>
    <w:rsid w:val="004F5988"/>
    <w:rPr>
      <w:rFonts w:ascii="Arial" w:hAnsi="Arial"/>
      <w:b/>
      <w:bCs/>
      <w:sz w:val="20"/>
      <w:szCs w:val="20"/>
      <w:lang w:val="en-AU"/>
    </w:rPr>
  </w:style>
  <w:style w:type="paragraph" w:customStyle="1" w:styleId="Tablewhite">
    <w:name w:val="Table white"/>
    <w:basedOn w:val="Tablesmallbullet"/>
    <w:link w:val="TablewhiteChar"/>
    <w:qFormat/>
    <w:rsid w:val="007E0842"/>
    <w:rPr>
      <w:b/>
      <w:color w:val="FFFFFF" w:themeColor="background2"/>
    </w:rPr>
  </w:style>
  <w:style w:type="character" w:customStyle="1" w:styleId="TablewhiteChar">
    <w:name w:val="Table white Char"/>
    <w:basedOn w:val="TablesmallbulletChar"/>
    <w:link w:val="Tablewhite"/>
    <w:rsid w:val="00420ECC"/>
    <w:rPr>
      <w:rFonts w:ascii="Arial" w:hAnsi="Arial"/>
      <w:b/>
      <w:color w:val="FFFFFF" w:themeColor="background2"/>
      <w:sz w:val="18"/>
      <w:lang w:val="en-AU"/>
    </w:rPr>
  </w:style>
  <w:style w:type="paragraph" w:styleId="Revision">
    <w:name w:val="Revision"/>
    <w:hidden/>
    <w:uiPriority w:val="99"/>
    <w:semiHidden/>
    <w:rsid w:val="00A82EFF"/>
    <w:rPr>
      <w:rFonts w:ascii="Arial" w:hAnsi="Arial"/>
      <w:sz w:val="20"/>
      <w:lang w:val="en-AU"/>
    </w:rPr>
  </w:style>
  <w:style w:type="paragraph" w:customStyle="1" w:styleId="Default">
    <w:name w:val="Default"/>
    <w:rsid w:val="00A47577"/>
    <w:pPr>
      <w:autoSpaceDE w:val="0"/>
      <w:autoSpaceDN w:val="0"/>
      <w:adjustRightInd w:val="0"/>
    </w:pPr>
    <w:rPr>
      <w:rFonts w:ascii="Calibri" w:hAnsi="Calibri" w:cs="Calibri"/>
      <w:color w:val="000000"/>
      <w:lang w:val="en-AU"/>
    </w:rPr>
  </w:style>
  <w:style w:type="character" w:customStyle="1" w:styleId="CaptionChar">
    <w:name w:val="Caption Char"/>
    <w:aliases w:val="TABLE Char,Figure Char,CDM B/Caption Char,Item Char,Table Caption Char,caption Char,c Char,col bullet Char,cb Char,Center Bold Char,cbbullet Char,col bulletcsb Char,u Char,C2 Col Bullet Char,6 chart Char,Center Bcbold Char,cb 10pt Char"/>
    <w:link w:val="Caption"/>
    <w:uiPriority w:val="35"/>
    <w:rsid w:val="007A0B65"/>
    <w:rPr>
      <w:rFonts w:ascii="Arial Narrow" w:hAnsi="Arial Narrow"/>
      <w:b/>
      <w:sz w:val="20"/>
      <w:lang w:val="en-AU"/>
    </w:rPr>
  </w:style>
  <w:style w:type="table" w:styleId="LightList">
    <w:name w:val="Light List"/>
    <w:basedOn w:val="TableNormal"/>
    <w:uiPriority w:val="61"/>
    <w:rsid w:val="000B5AAB"/>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pPr>
        <w:spacing w:before="0" w:after="0" w:line="240" w:lineRule="auto"/>
      </w:pPr>
      <w:rPr>
        <w:b/>
        <w:bCs/>
        <w:color w:val="939598" w:themeColor="background1"/>
      </w:rPr>
      <w:tblPr/>
      <w:tcPr>
        <w:shd w:val="clear" w:color="auto" w:fill="42145F" w:themeFill="text1"/>
      </w:tcPr>
    </w:tblStylePr>
    <w:tblStylePr w:type="lastRow">
      <w:pPr>
        <w:spacing w:before="0" w:after="0" w:line="240" w:lineRule="auto"/>
      </w:pPr>
      <w:rPr>
        <w:b/>
        <w:bCs/>
      </w:rPr>
      <w:tblPr/>
      <w:tcPr>
        <w:tcBorders>
          <w:top w:val="double" w:sz="6" w:space="0" w:color="42145F" w:themeColor="text1"/>
          <w:left w:val="single" w:sz="8" w:space="0" w:color="42145F" w:themeColor="text1"/>
          <w:bottom w:val="single" w:sz="8" w:space="0" w:color="42145F" w:themeColor="text1"/>
          <w:right w:val="single" w:sz="8" w:space="0" w:color="42145F" w:themeColor="text1"/>
        </w:tcBorders>
      </w:tcPr>
    </w:tblStylePr>
    <w:tblStylePr w:type="firstCol">
      <w:rPr>
        <w:b/>
        <w:bCs/>
      </w:rPr>
    </w:tblStylePr>
    <w:tblStylePr w:type="lastCol">
      <w:rPr>
        <w:b/>
        <w:bCs/>
      </w:rPr>
    </w:tblStylePr>
    <w:tblStylePr w:type="band1Vert">
      <w:tblPr/>
      <w:tcPr>
        <w:tcBorders>
          <w:top w:val="single" w:sz="8" w:space="0" w:color="42145F" w:themeColor="text1"/>
          <w:left w:val="single" w:sz="8" w:space="0" w:color="42145F" w:themeColor="text1"/>
          <w:bottom w:val="single" w:sz="8" w:space="0" w:color="42145F" w:themeColor="text1"/>
          <w:right w:val="single" w:sz="8" w:space="0" w:color="42145F" w:themeColor="text1"/>
        </w:tcBorders>
      </w:tcPr>
    </w:tblStylePr>
    <w:tblStylePr w:type="band1Horz">
      <w:tblPr/>
      <w:tcPr>
        <w:tcBorders>
          <w:top w:val="single" w:sz="8" w:space="0" w:color="42145F" w:themeColor="text1"/>
          <w:left w:val="single" w:sz="8" w:space="0" w:color="42145F" w:themeColor="text1"/>
          <w:bottom w:val="single" w:sz="8" w:space="0" w:color="42145F" w:themeColor="text1"/>
          <w:right w:val="single" w:sz="8" w:space="0" w:color="42145F" w:themeColor="text1"/>
        </w:tcBorders>
      </w:tcPr>
    </w:tblStylePr>
  </w:style>
  <w:style w:type="paragraph" w:customStyle="1" w:styleId="subhead">
    <w:name w:val="subhead"/>
    <w:basedOn w:val="Para0"/>
    <w:link w:val="subheadChar"/>
    <w:qFormat/>
    <w:rsid w:val="007E0842"/>
    <w:rPr>
      <w:b/>
      <w:i/>
    </w:rPr>
  </w:style>
  <w:style w:type="character" w:styleId="FollowedHyperlink">
    <w:name w:val="FollowedHyperlink"/>
    <w:basedOn w:val="DefaultParagraphFont"/>
    <w:uiPriority w:val="99"/>
    <w:semiHidden/>
    <w:unhideWhenUsed/>
    <w:rsid w:val="007E0842"/>
    <w:rPr>
      <w:color w:val="800080" w:themeColor="followedHyperlink"/>
      <w:u w:val="single"/>
    </w:rPr>
  </w:style>
  <w:style w:type="character" w:customStyle="1" w:styleId="subheadChar">
    <w:name w:val="subhead Char"/>
    <w:basedOn w:val="Para0Char"/>
    <w:link w:val="subhead"/>
    <w:rsid w:val="00E97C45"/>
    <w:rPr>
      <w:rFonts w:ascii="Arial" w:hAnsi="Arial"/>
      <w:b/>
      <w:i/>
      <w:sz w:val="20"/>
      <w:lang w:val="en-AU"/>
    </w:rPr>
  </w:style>
  <w:style w:type="paragraph" w:styleId="NormalWeb">
    <w:name w:val="Normal (Web)"/>
    <w:basedOn w:val="Normal"/>
    <w:uiPriority w:val="99"/>
    <w:unhideWhenUsed/>
    <w:rsid w:val="007E0842"/>
    <w:pPr>
      <w:spacing w:before="100" w:beforeAutospacing="1" w:after="100" w:afterAutospacing="1" w:line="240" w:lineRule="auto"/>
    </w:pPr>
    <w:rPr>
      <w:rFonts w:ascii="Times New Roman" w:hAnsi="Times New Roman" w:cs="Times New Roman"/>
      <w:sz w:val="24"/>
      <w:lang w:eastAsia="en-AU"/>
    </w:rPr>
  </w:style>
  <w:style w:type="character" w:styleId="PlaceholderText">
    <w:name w:val="Placeholder Text"/>
    <w:basedOn w:val="DefaultParagraphFont"/>
    <w:uiPriority w:val="99"/>
    <w:semiHidden/>
    <w:rsid w:val="0064568A"/>
    <w:rPr>
      <w:color w:val="808080"/>
    </w:rPr>
  </w:style>
  <w:style w:type="character" w:styleId="Strong">
    <w:name w:val="Strong"/>
    <w:basedOn w:val="DefaultParagraphFont"/>
    <w:uiPriority w:val="22"/>
    <w:qFormat/>
    <w:rsid w:val="00236450"/>
    <w:rPr>
      <w:b/>
      <w:bCs/>
    </w:rPr>
  </w:style>
  <w:style w:type="table" w:customStyle="1" w:styleId="MediumGrid1-Accent11">
    <w:name w:val="Medium Grid 1 - Accent 11"/>
    <w:rsid w:val="007E0842"/>
    <w:rPr>
      <w:rFonts w:ascii="Calibri" w:eastAsia="Times New Roman" w:hAnsi="Calibri" w:cs="Times New Roman"/>
      <w:sz w:val="20"/>
      <w:szCs w:val="20"/>
      <w:lang w:val="en-AU" w:eastAsia="en-AU"/>
    </w:rPr>
    <w:tblPr>
      <w:tblStyleRowBandSize w:val="1"/>
      <w:tblStyleColBandSize w:val="1"/>
      <w:tblInd w:w="0" w:type="dxa"/>
      <w:tblBorders>
        <w:top w:val="single" w:sz="8" w:space="0" w:color="ECEBE9"/>
        <w:left w:val="single" w:sz="8" w:space="0" w:color="ECEBE9"/>
        <w:bottom w:val="single" w:sz="8" w:space="0" w:color="ECEBE9"/>
        <w:right w:val="single" w:sz="8" w:space="0" w:color="ECEBE9"/>
        <w:insideH w:val="single" w:sz="8" w:space="0" w:color="ECEBE9"/>
        <w:insideV w:val="single" w:sz="8" w:space="0" w:color="ECEBE9"/>
      </w:tblBorders>
      <w:tblCellMar>
        <w:top w:w="0" w:type="dxa"/>
        <w:left w:w="108" w:type="dxa"/>
        <w:bottom w:w="0" w:type="dxa"/>
        <w:right w:w="108" w:type="dxa"/>
      </w:tblCellMar>
    </w:tblPr>
    <w:tcPr>
      <w:shd w:val="clear" w:color="auto" w:fill="F8F8F7"/>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unhideWhenUsed="0"/>
    <w:lsdException w:name="TOC Heading" w:uiPriority="39" w:qFormat="1"/>
  </w:latentStyles>
  <w:style w:type="paragraph" w:default="1" w:styleId="Normal">
    <w:name w:val="Normal"/>
    <w:qFormat/>
    <w:rsid w:val="00F669FB"/>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170FDB"/>
    <w:pPr>
      <w:keepNext/>
      <w:keepLines/>
      <w:pageBreakBefore/>
      <w:numPr>
        <w:numId w:val="1"/>
      </w:numPr>
      <w:spacing w:line="360" w:lineRule="exact"/>
      <w:outlineLvl w:val="0"/>
    </w:pPr>
    <w:rPr>
      <w:rFonts w:ascii="Arial Narrow" w:eastAsiaTheme="majorEastAsia" w:hAnsi="Arial Narrow" w:cstheme="majorBidi"/>
      <w:b/>
      <w:bCs/>
      <w:color w:val="42145F"/>
      <w:sz w:val="32"/>
      <w:szCs w:val="32"/>
    </w:rPr>
  </w:style>
  <w:style w:type="paragraph" w:styleId="Heading2">
    <w:name w:val="heading 2"/>
    <w:basedOn w:val="Para0"/>
    <w:next w:val="Para0"/>
    <w:link w:val="Heading2Char"/>
    <w:uiPriority w:val="9"/>
    <w:qFormat/>
    <w:rsid w:val="00D625F4"/>
    <w:pPr>
      <w:keepNext/>
      <w:keepLines/>
      <w:numPr>
        <w:ilvl w:val="1"/>
        <w:numId w:val="1"/>
      </w:numPr>
      <w:outlineLvl w:val="1"/>
    </w:pPr>
    <w:rPr>
      <w:rFonts w:ascii="Arial Narrow" w:eastAsiaTheme="majorEastAsia" w:hAnsi="Arial Narrow" w:cstheme="majorBidi"/>
      <w:b/>
      <w:bCs/>
      <w:color w:val="42145F"/>
      <w:sz w:val="24"/>
      <w:szCs w:val="26"/>
    </w:rPr>
  </w:style>
  <w:style w:type="paragraph" w:styleId="Heading3">
    <w:name w:val="heading 3"/>
    <w:basedOn w:val="Para0"/>
    <w:next w:val="Para0"/>
    <w:link w:val="Heading3Char"/>
    <w:uiPriority w:val="9"/>
    <w:qFormat/>
    <w:rsid w:val="00D625F4"/>
    <w:pPr>
      <w:keepNext/>
      <w:keepLines/>
      <w:numPr>
        <w:ilvl w:val="2"/>
        <w:numId w:val="1"/>
      </w:numPr>
      <w:outlineLvl w:val="2"/>
    </w:pPr>
    <w:rPr>
      <w:rFonts w:ascii="Arial Narrow" w:eastAsiaTheme="majorEastAsia" w:hAnsi="Arial Narrow" w:cstheme="majorBidi"/>
      <w:b/>
      <w:bCs/>
      <w:color w:val="42145F"/>
    </w:rPr>
  </w:style>
  <w:style w:type="paragraph" w:styleId="Heading4">
    <w:name w:val="heading 4"/>
    <w:basedOn w:val="Para0"/>
    <w:next w:val="Para0"/>
    <w:link w:val="Heading4Char"/>
    <w:uiPriority w:val="9"/>
    <w:qFormat/>
    <w:rsid w:val="00F669FB"/>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basedOn w:val="Para0"/>
    <w:next w:val="Para0"/>
    <w:link w:val="Heading5Char"/>
    <w:uiPriority w:val="9"/>
    <w:qFormat/>
    <w:rsid w:val="00F669FB"/>
    <w:pPr>
      <w:keepNext/>
      <w:keepLines/>
      <w:numPr>
        <w:ilvl w:val="4"/>
        <w:numId w:val="1"/>
      </w:numPr>
      <w:outlineLvl w:val="4"/>
    </w:pPr>
    <w:rPr>
      <w:rFonts w:ascii="Arial Narrow" w:eastAsiaTheme="majorEastAsia" w:hAnsi="Arial Narrow" w:cstheme="majorBidi"/>
      <w:b/>
      <w:color w:val="42145F"/>
    </w:rPr>
  </w:style>
  <w:style w:type="paragraph" w:styleId="Heading6">
    <w:name w:val="heading 6"/>
    <w:basedOn w:val="Para0"/>
    <w:next w:val="Para0"/>
    <w:link w:val="Heading6Char"/>
    <w:uiPriority w:val="9"/>
    <w:qFormat/>
    <w:rsid w:val="00F669FB"/>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qFormat/>
    <w:rsid w:val="00F669FB"/>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7E0842"/>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3"/>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7E0842"/>
    <w:pPr>
      <w:spacing w:before="240" w:after="120"/>
    </w:pPr>
  </w:style>
  <w:style w:type="character" w:customStyle="1" w:styleId="Heading1Char">
    <w:name w:val="Heading 1 Char"/>
    <w:basedOn w:val="DefaultParagraphFont"/>
    <w:link w:val="Heading1"/>
    <w:uiPriority w:val="9"/>
    <w:rsid w:val="00170FDB"/>
    <w:rPr>
      <w:rFonts w:ascii="Arial Narrow" w:eastAsiaTheme="majorEastAsia" w:hAnsi="Arial Narrow" w:cstheme="majorBidi"/>
      <w:b/>
      <w:bCs/>
      <w:color w:val="42145F"/>
      <w:sz w:val="32"/>
      <w:szCs w:val="32"/>
      <w:lang w:val="en-AU"/>
    </w:rPr>
  </w:style>
  <w:style w:type="character" w:customStyle="1" w:styleId="Heading2Char">
    <w:name w:val="Heading 2 Char"/>
    <w:basedOn w:val="DefaultParagraphFont"/>
    <w:link w:val="Heading2"/>
    <w:uiPriority w:val="9"/>
    <w:rsid w:val="00D625F4"/>
    <w:rPr>
      <w:rFonts w:ascii="Arial Narrow" w:eastAsiaTheme="majorEastAsia" w:hAnsi="Arial Narrow" w:cstheme="majorBidi"/>
      <w:b/>
      <w:bCs/>
      <w:color w:val="42145F"/>
      <w:szCs w:val="26"/>
      <w:lang w:val="en-AU"/>
    </w:rPr>
  </w:style>
  <w:style w:type="character" w:customStyle="1" w:styleId="Heading3Char">
    <w:name w:val="Heading 3 Char"/>
    <w:basedOn w:val="DefaultParagraphFont"/>
    <w:link w:val="Heading3"/>
    <w:uiPriority w:val="9"/>
    <w:rsid w:val="00D625F4"/>
    <w:rPr>
      <w:rFonts w:ascii="Arial Narrow" w:eastAsiaTheme="majorEastAsia" w:hAnsi="Arial Narrow" w:cstheme="majorBidi"/>
      <w:b/>
      <w:bCs/>
      <w:color w:val="42145F"/>
      <w:sz w:val="20"/>
      <w:lang w:val="en-AU"/>
    </w:rPr>
  </w:style>
  <w:style w:type="character" w:customStyle="1" w:styleId="Heading4Char">
    <w:name w:val="Heading 4 Char"/>
    <w:basedOn w:val="DefaultParagraphFont"/>
    <w:link w:val="Heading4"/>
    <w:uiPriority w:val="9"/>
    <w:rsid w:val="00D625F4"/>
    <w:rPr>
      <w:rFonts w:ascii="Arial Narrow" w:eastAsiaTheme="majorEastAsia" w:hAnsi="Arial Narrow" w:cstheme="majorBidi"/>
      <w:b/>
      <w:bCs/>
      <w:iCs/>
      <w:color w:val="42145F"/>
      <w:sz w:val="20"/>
      <w:lang w:val="en-AU"/>
    </w:rPr>
  </w:style>
  <w:style w:type="character" w:customStyle="1" w:styleId="Heading5Char">
    <w:name w:val="Heading 5 Char"/>
    <w:basedOn w:val="DefaultParagraphFont"/>
    <w:link w:val="Heading5"/>
    <w:uiPriority w:val="9"/>
    <w:rsid w:val="00D625F4"/>
    <w:rPr>
      <w:rFonts w:ascii="Arial Narrow" w:eastAsiaTheme="majorEastAsia" w:hAnsi="Arial Narrow" w:cstheme="majorBidi"/>
      <w:b/>
      <w:color w:val="42145F"/>
      <w:sz w:val="20"/>
      <w:lang w:val="en-AU"/>
    </w:rPr>
  </w:style>
  <w:style w:type="character" w:customStyle="1" w:styleId="Heading6Char">
    <w:name w:val="Heading 6 Char"/>
    <w:basedOn w:val="DefaultParagraphFont"/>
    <w:link w:val="Heading6"/>
    <w:uiPriority w:val="9"/>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7E0842"/>
    <w:rPr>
      <w:b/>
    </w:rPr>
  </w:style>
  <w:style w:type="paragraph" w:customStyle="1" w:styleId="CoverHeading">
    <w:name w:val="Cover Heading"/>
    <w:basedOn w:val="Normal"/>
    <w:next w:val="CoverSubheading"/>
    <w:rsid w:val="007E0842"/>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7E0842"/>
    <w:pPr>
      <w:spacing w:line="280" w:lineRule="exact"/>
    </w:pPr>
    <w:rPr>
      <w:rFonts w:ascii="Arial" w:hAnsi="Arial"/>
      <w:caps/>
      <w:sz w:val="22"/>
      <w:szCs w:val="22"/>
    </w:rPr>
  </w:style>
  <w:style w:type="paragraph" w:customStyle="1" w:styleId="CoverDate">
    <w:name w:val="Cover Date"/>
    <w:basedOn w:val="CoverHeading"/>
    <w:next w:val="Para0"/>
    <w:rsid w:val="007E0842"/>
    <w:pPr>
      <w:spacing w:line="280" w:lineRule="exact"/>
    </w:pPr>
    <w:rPr>
      <w:rFonts w:ascii="Arial" w:hAnsi="Arial"/>
      <w:sz w:val="22"/>
    </w:rPr>
  </w:style>
  <w:style w:type="paragraph" w:customStyle="1" w:styleId="PageTitle">
    <w:name w:val="Page Title"/>
    <w:basedOn w:val="Para0"/>
    <w:unhideWhenUsed/>
    <w:rsid w:val="007E0842"/>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7E0842"/>
    <w:pPr>
      <w:spacing w:after="0" w:line="200" w:lineRule="exact"/>
      <w:ind w:left="567" w:right="284"/>
    </w:pPr>
    <w:rPr>
      <w:rFonts w:ascii="Arial Narrow" w:hAnsi="Arial Narrow"/>
      <w:b/>
      <w:sz w:val="16"/>
    </w:rPr>
  </w:style>
  <w:style w:type="paragraph" w:customStyle="1" w:styleId="Tablebullet">
    <w:name w:val="Table bullet"/>
    <w:basedOn w:val="Tabletext"/>
    <w:qFormat/>
    <w:rsid w:val="007E0842"/>
    <w:pPr>
      <w:numPr>
        <w:numId w:val="30"/>
      </w:numPr>
    </w:pPr>
    <w:rPr>
      <w:szCs w:val="20"/>
    </w:rPr>
  </w:style>
  <w:style w:type="paragraph" w:customStyle="1" w:styleId="Tableheading">
    <w:name w:val="Table heading"/>
    <w:basedOn w:val="Normal"/>
    <w:qFormat/>
    <w:rsid w:val="007E0842"/>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7E084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lang w:val="en-AU"/>
    </w:rPr>
  </w:style>
  <w:style w:type="paragraph" w:customStyle="1" w:styleId="ContentBulletsLetter">
    <w:name w:val="Content Bullets Letter"/>
    <w:basedOn w:val="Para0"/>
    <w:semiHidden/>
    <w:qFormat/>
    <w:rsid w:val="007E0842"/>
    <w:pPr>
      <w:numPr>
        <w:numId w:val="2"/>
      </w:numPr>
      <w:tabs>
        <w:tab w:val="num" w:pos="360"/>
      </w:tabs>
      <w:ind w:left="851" w:firstLine="0"/>
    </w:pPr>
  </w:style>
  <w:style w:type="paragraph" w:customStyle="1" w:styleId="ContentBulletsRound">
    <w:name w:val="Content Bullets Round"/>
    <w:basedOn w:val="Para0"/>
    <w:semiHidden/>
    <w:qFormat/>
    <w:rsid w:val="007E0842"/>
    <w:pPr>
      <w:numPr>
        <w:numId w:val="7"/>
      </w:numPr>
      <w:tabs>
        <w:tab w:val="num" w:pos="360"/>
      </w:tabs>
      <w:ind w:left="851" w:firstLine="0"/>
    </w:pPr>
    <w:rPr>
      <w:color w:val="000000"/>
    </w:rPr>
  </w:style>
  <w:style w:type="paragraph" w:styleId="Caption">
    <w:name w:val="caption"/>
    <w:aliases w:val="TABLE,Figure,CDM B/Caption,Item,Table Caption,caption,c,col bullet,cb,Center Bold,cbbullet,col bulletcsb,u,C2 Col Bullet,6 chart,Center Bcbold,cb 10pt,column bullet,col bullet1,cb1,Chart,chart,Center ctBold,6,char,7 chart,col trailer"/>
    <w:basedOn w:val="Tableheading"/>
    <w:next w:val="Para0"/>
    <w:link w:val="CaptionChar"/>
    <w:uiPriority w:val="35"/>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7E0842"/>
    <w:pPr>
      <w:numPr>
        <w:numId w:val="4"/>
      </w:numPr>
      <w:ind w:left="851"/>
    </w:pPr>
    <w:rPr>
      <w:color w:val="42145F"/>
    </w:rPr>
  </w:style>
  <w:style w:type="paragraph" w:customStyle="1" w:styleId="ContentBulletsNumber">
    <w:name w:val="Content Bullets Number"/>
    <w:basedOn w:val="Para0"/>
    <w:semiHidden/>
    <w:qFormat/>
    <w:rsid w:val="007E0842"/>
    <w:pPr>
      <w:numPr>
        <w:numId w:val="5"/>
      </w:numPr>
      <w:ind w:left="851"/>
    </w:pPr>
  </w:style>
  <w:style w:type="paragraph" w:styleId="FootnoteText">
    <w:name w:val="footnote text"/>
    <w:basedOn w:val="Normal"/>
    <w:link w:val="FootnoteTextChar"/>
    <w:uiPriority w:val="99"/>
    <w:semiHidden/>
    <w:rsid w:val="008229E6"/>
    <w:pPr>
      <w:spacing w:after="60" w:line="210" w:lineRule="exact"/>
      <w:ind w:left="136" w:hanging="136"/>
    </w:pPr>
    <w:rPr>
      <w:color w:val="000000"/>
      <w:sz w:val="17"/>
    </w:rPr>
  </w:style>
  <w:style w:type="character" w:customStyle="1" w:styleId="FootnoteTextChar">
    <w:name w:val="Footnote Text Char"/>
    <w:basedOn w:val="DefaultParagraphFont"/>
    <w:link w:val="FootnoteText"/>
    <w:uiPriority w:val="99"/>
    <w:semiHidden/>
    <w:rsid w:val="000B07EA"/>
    <w:rPr>
      <w:rFonts w:ascii="Arial" w:hAnsi="Arial"/>
      <w:color w:val="000000"/>
      <w:sz w:val="17"/>
    </w:rPr>
  </w:style>
  <w:style w:type="paragraph" w:customStyle="1" w:styleId="Tabletext">
    <w:name w:val="Table text"/>
    <w:basedOn w:val="Normal"/>
    <w:qFormat/>
    <w:rsid w:val="007E0842"/>
    <w:pPr>
      <w:spacing w:before="60" w:after="60"/>
    </w:pPr>
  </w:style>
  <w:style w:type="table" w:styleId="TableGrid">
    <w:name w:val="Table Grid"/>
    <w:basedOn w:val="TableNormal"/>
    <w:uiPriority w:val="59"/>
    <w:rsid w:val="00EA3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7E0842"/>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7E0842"/>
    <w:pPr>
      <w:numPr>
        <w:numId w:val="22"/>
      </w:numPr>
    </w:pPr>
  </w:style>
  <w:style w:type="paragraph" w:styleId="TOC1">
    <w:name w:val="toc 1"/>
    <w:basedOn w:val="Normal"/>
    <w:next w:val="Normal"/>
    <w:autoRedefine/>
    <w:uiPriority w:val="39"/>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semiHidden/>
    <w:rsid w:val="00567977"/>
    <w:rPr>
      <w:rFonts w:ascii="Arial" w:hAnsi="Arial"/>
      <w:sz w:val="17"/>
      <w:vertAlign w:val="superscript"/>
    </w:rPr>
  </w:style>
  <w:style w:type="paragraph" w:styleId="TOC3">
    <w:name w:val="toc 3"/>
    <w:basedOn w:val="Normal"/>
    <w:next w:val="Normal"/>
    <w:autoRedefine/>
    <w:uiPriority w:val="39"/>
    <w:semiHidden/>
    <w:unhideWhenUsed/>
    <w:rsid w:val="007E0842"/>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7E0842"/>
    <w:pPr>
      <w:ind w:left="0"/>
      <w:jc w:val="right"/>
    </w:pPr>
  </w:style>
  <w:style w:type="paragraph" w:customStyle="1" w:styleId="ContentBulletsDash">
    <w:name w:val="Content Bullets Dash"/>
    <w:basedOn w:val="Para0"/>
    <w:semiHidden/>
    <w:qFormat/>
    <w:rsid w:val="007E0842"/>
    <w:pPr>
      <w:numPr>
        <w:numId w:val="3"/>
      </w:numPr>
      <w:ind w:left="851"/>
    </w:pPr>
  </w:style>
  <w:style w:type="paragraph" w:customStyle="1" w:styleId="ContentBulletsRomanNumeral">
    <w:name w:val="Content Bullets Roman Numeral"/>
    <w:basedOn w:val="Para0"/>
    <w:semiHidden/>
    <w:qFormat/>
    <w:rsid w:val="007E0842"/>
    <w:pPr>
      <w:numPr>
        <w:numId w:val="6"/>
      </w:numPr>
      <w:ind w:left="851"/>
    </w:pPr>
  </w:style>
  <w:style w:type="paragraph" w:customStyle="1" w:styleId="Tablenumber">
    <w:name w:val="Table number"/>
    <w:basedOn w:val="Tablebullet"/>
    <w:qFormat/>
    <w:rsid w:val="007E0842"/>
    <w:pPr>
      <w:numPr>
        <w:numId w:val="21"/>
      </w:numPr>
    </w:pPr>
  </w:style>
  <w:style w:type="paragraph" w:customStyle="1" w:styleId="Tablesmalltext">
    <w:name w:val="Table small text"/>
    <w:basedOn w:val="Normal"/>
    <w:link w:val="TablesmalltextChar"/>
    <w:qFormat/>
    <w:rsid w:val="007E0842"/>
    <w:pPr>
      <w:spacing w:before="40" w:after="40"/>
    </w:pPr>
    <w:rPr>
      <w:sz w:val="18"/>
    </w:rPr>
  </w:style>
  <w:style w:type="paragraph" w:customStyle="1" w:styleId="Tablesmallbullet">
    <w:name w:val="Table small bullet"/>
    <w:basedOn w:val="Tablesmalltext"/>
    <w:link w:val="TablesmallbulletChar"/>
    <w:qFormat/>
    <w:rsid w:val="007E0842"/>
    <w:pPr>
      <w:numPr>
        <w:numId w:val="37"/>
      </w:numPr>
    </w:pPr>
  </w:style>
  <w:style w:type="paragraph" w:customStyle="1" w:styleId="Tablesmallheading">
    <w:name w:val="Table small heading"/>
    <w:basedOn w:val="Tableheading"/>
    <w:qFormat/>
    <w:rsid w:val="007E0842"/>
    <w:pPr>
      <w:spacing w:before="60" w:after="60"/>
    </w:pPr>
    <w:rPr>
      <w:rFonts w:ascii="Arial" w:hAnsi="Arial"/>
      <w:b/>
      <w:color w:val="FFFFFF" w:themeColor="background2"/>
      <w:sz w:val="18"/>
    </w:rPr>
  </w:style>
  <w:style w:type="paragraph" w:customStyle="1" w:styleId="Tablesmallletter">
    <w:name w:val="Table small letter"/>
    <w:basedOn w:val="Tablesmallbullet"/>
    <w:qFormat/>
    <w:rsid w:val="007E0842"/>
    <w:pPr>
      <w:numPr>
        <w:numId w:val="26"/>
      </w:numPr>
    </w:pPr>
  </w:style>
  <w:style w:type="paragraph" w:customStyle="1" w:styleId="Tablesmallnumber">
    <w:name w:val="Table small number"/>
    <w:basedOn w:val="Tablesmallbullet"/>
    <w:qFormat/>
    <w:rsid w:val="007E0842"/>
    <w:pPr>
      <w:numPr>
        <w:numId w:val="25"/>
      </w:numPr>
    </w:pPr>
  </w:style>
  <w:style w:type="paragraph" w:customStyle="1" w:styleId="Sectionheading">
    <w:name w:val="Section heading"/>
    <w:basedOn w:val="Summary"/>
    <w:next w:val="Para0"/>
    <w:qFormat/>
    <w:rsid w:val="007E0842"/>
    <w:pPr>
      <w:pageBreakBefore/>
      <w:spacing w:line="360" w:lineRule="exact"/>
      <w:ind w:left="357" w:hanging="357"/>
    </w:pPr>
  </w:style>
  <w:style w:type="paragraph" w:styleId="Header">
    <w:name w:val="header"/>
    <w:basedOn w:val="PageTitle"/>
    <w:link w:val="HeaderChar"/>
    <w:unhideWhenUsed/>
    <w:rsid w:val="007E0842"/>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lang w:val="en-AU"/>
    </w:rPr>
  </w:style>
  <w:style w:type="paragraph" w:styleId="Footer">
    <w:name w:val="footer"/>
    <w:basedOn w:val="Normal"/>
    <w:link w:val="FooterChar"/>
    <w:uiPriority w:val="99"/>
    <w:unhideWhenUsed/>
    <w:rsid w:val="007E0842"/>
    <w:pPr>
      <w:pBdr>
        <w:top w:val="single" w:sz="4" w:space="1" w:color="CECECE"/>
      </w:pBdr>
      <w:tabs>
        <w:tab w:val="right" w:pos="9923"/>
        <w:tab w:val="right" w:pos="14742"/>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7A09BE"/>
    <w:rPr>
      <w:rFonts w:ascii="Arial Narrow" w:eastAsia="Times" w:hAnsi="Arial Narrow" w:cs="Times New Roman"/>
      <w:b/>
      <w:color w:val="808080"/>
      <w:sz w:val="16"/>
      <w:szCs w:val="20"/>
      <w:lang w:val="en-AU"/>
    </w:rPr>
  </w:style>
  <w:style w:type="paragraph" w:styleId="TOCHeading">
    <w:name w:val="TOC Heading"/>
    <w:basedOn w:val="Heading1"/>
    <w:next w:val="Normal"/>
    <w:uiPriority w:val="39"/>
    <w:qFormat/>
    <w:rsid w:val="00F669FB"/>
    <w:pPr>
      <w:pageBreakBefore w:val="0"/>
      <w:numPr>
        <w:numId w:val="0"/>
      </w:numPr>
      <w:spacing w:before="480" w:after="0" w:line="276" w:lineRule="auto"/>
      <w:outlineLvl w:val="9"/>
    </w:pPr>
    <w:rPr>
      <w:rFonts w:asciiTheme="majorHAnsi" w:hAnsiTheme="majorHAnsi"/>
      <w:color w:val="AFACA6" w:themeColor="accent1" w:themeShade="BF"/>
      <w:sz w:val="28"/>
      <w:szCs w:val="28"/>
    </w:rPr>
  </w:style>
  <w:style w:type="character" w:styleId="Hyperlink">
    <w:name w:val="Hyperlink"/>
    <w:basedOn w:val="DefaultParagraphFont"/>
    <w:uiPriority w:val="99"/>
    <w:semiHidden/>
    <w:rsid w:val="007E0842"/>
    <w:rPr>
      <w:color w:val="0000FF" w:themeColor="hyperlink"/>
      <w:u w:val="single"/>
    </w:rPr>
  </w:style>
  <w:style w:type="paragraph" w:customStyle="1" w:styleId="Sidebarheading">
    <w:name w:val="Sidebar heading"/>
    <w:basedOn w:val="Normal"/>
    <w:next w:val="Sidebartext"/>
    <w:unhideWhenUsed/>
    <w:qFormat/>
    <w:rsid w:val="007E0842"/>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7E0842"/>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7E0842"/>
    <w:pPr>
      <w:framePr w:wrap="around"/>
      <w:numPr>
        <w:numId w:val="29"/>
      </w:numPr>
      <w:spacing w:after="60"/>
    </w:pPr>
  </w:style>
  <w:style w:type="paragraph" w:customStyle="1" w:styleId="Collateralheading">
    <w:name w:val="Collateral heading"/>
    <w:basedOn w:val="Normal"/>
    <w:next w:val="Normal"/>
    <w:semiHidden/>
    <w:unhideWhenUsed/>
    <w:rsid w:val="007E0842"/>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7E0842"/>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7E0842"/>
    <w:pPr>
      <w:spacing w:after="160" w:line="320" w:lineRule="exact"/>
      <w:jc w:val="right"/>
    </w:pPr>
    <w:rPr>
      <w:rFonts w:ascii="Arial Black" w:hAnsi="Arial Black"/>
      <w:color w:val="42145F"/>
      <w:sz w:val="36"/>
    </w:rPr>
  </w:style>
  <w:style w:type="paragraph" w:styleId="ListBullet">
    <w:name w:val="List Bullet"/>
    <w:basedOn w:val="Normal"/>
    <w:uiPriority w:val="99"/>
    <w:unhideWhenUsed/>
    <w:rsid w:val="007E0842"/>
    <w:pPr>
      <w:tabs>
        <w:tab w:val="num" w:pos="370"/>
      </w:tabs>
      <w:ind w:left="370" w:hanging="360"/>
      <w:contextualSpacing/>
    </w:pPr>
  </w:style>
  <w:style w:type="paragraph" w:customStyle="1" w:styleId="Name2">
    <w:name w:val="Name 2"/>
    <w:basedOn w:val="Name1"/>
    <w:semiHidden/>
    <w:unhideWhenUsed/>
    <w:rsid w:val="007E0842"/>
    <w:rPr>
      <w:sz w:val="28"/>
    </w:rPr>
  </w:style>
  <w:style w:type="paragraph" w:customStyle="1" w:styleId="Projectrole1">
    <w:name w:val="Project role 1"/>
    <w:basedOn w:val="Normal"/>
    <w:semiHidden/>
    <w:unhideWhenUsed/>
    <w:rsid w:val="007E0842"/>
    <w:pPr>
      <w:spacing w:after="160"/>
      <w:jc w:val="right"/>
    </w:pPr>
    <w:rPr>
      <w:rFonts w:ascii="Arial Narrow" w:hAnsi="Arial Narrow"/>
      <w:caps/>
      <w:color w:val="42145F"/>
    </w:rPr>
  </w:style>
  <w:style w:type="paragraph" w:customStyle="1" w:styleId="Projectrole2">
    <w:name w:val="Project role 2"/>
    <w:basedOn w:val="Projectrole1"/>
    <w:semiHidden/>
    <w:unhideWhenUsed/>
    <w:rsid w:val="007E0842"/>
    <w:rPr>
      <w:sz w:val="16"/>
      <w:szCs w:val="16"/>
    </w:rPr>
  </w:style>
  <w:style w:type="paragraph" w:customStyle="1" w:styleId="Bodynarrow">
    <w:name w:val="Body narrow"/>
    <w:basedOn w:val="Para0narrow"/>
    <w:qFormat/>
    <w:rsid w:val="007E0842"/>
  </w:style>
  <w:style w:type="paragraph" w:customStyle="1" w:styleId="Bodynarrowbullet">
    <w:name w:val="Body narrow bullet"/>
    <w:basedOn w:val="Bodynarrow"/>
    <w:unhideWhenUsed/>
    <w:qFormat/>
    <w:rsid w:val="007E0842"/>
    <w:pPr>
      <w:numPr>
        <w:numId w:val="27"/>
      </w:numPr>
      <w:tabs>
        <w:tab w:val="left" w:pos="198"/>
      </w:tabs>
      <w:spacing w:after="60"/>
    </w:pPr>
  </w:style>
  <w:style w:type="paragraph" w:customStyle="1" w:styleId="Bodynarrowarrow">
    <w:name w:val="Body narrow arrow"/>
    <w:basedOn w:val="Para1narrowarrow"/>
    <w:semiHidden/>
    <w:unhideWhenUsed/>
    <w:rsid w:val="007E0842"/>
    <w:pPr>
      <w:numPr>
        <w:numId w:val="27"/>
      </w:numPr>
      <w:tabs>
        <w:tab w:val="clear" w:pos="198"/>
      </w:tabs>
    </w:pPr>
  </w:style>
  <w:style w:type="paragraph" w:customStyle="1" w:styleId="Disclaimer1">
    <w:name w:val="Disclaimer 1"/>
    <w:basedOn w:val="Normal"/>
    <w:semiHidden/>
    <w:unhideWhenUsed/>
    <w:rsid w:val="007E0842"/>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7E0842"/>
    <w:pPr>
      <w:framePr w:wrap="around"/>
      <w:spacing w:before="80" w:after="40" w:line="180" w:lineRule="atLeast"/>
    </w:pPr>
    <w:rPr>
      <w:sz w:val="14"/>
    </w:rPr>
  </w:style>
  <w:style w:type="paragraph" w:customStyle="1" w:styleId="Para0narrow">
    <w:name w:val="Para 0 narrow"/>
    <w:basedOn w:val="Normal"/>
    <w:unhideWhenUsed/>
    <w:qFormat/>
    <w:rsid w:val="007E0842"/>
    <w:pPr>
      <w:spacing w:before="40" w:after="120"/>
    </w:pPr>
    <w:rPr>
      <w:rFonts w:ascii="Arial Narrow" w:hAnsi="Arial Narrow"/>
      <w:sz w:val="19"/>
    </w:rPr>
  </w:style>
  <w:style w:type="paragraph" w:customStyle="1" w:styleId="Para0narrowbullet">
    <w:name w:val="Para 0 narrow bullet"/>
    <w:basedOn w:val="Para0narrow"/>
    <w:qFormat/>
    <w:rsid w:val="007E0842"/>
    <w:pPr>
      <w:numPr>
        <w:numId w:val="28"/>
      </w:numPr>
      <w:tabs>
        <w:tab w:val="left" w:pos="198"/>
      </w:tabs>
      <w:spacing w:after="60"/>
    </w:pPr>
  </w:style>
  <w:style w:type="paragraph" w:customStyle="1" w:styleId="SummaryHeading">
    <w:name w:val="SummaryHeading"/>
    <w:basedOn w:val="Sectionheading"/>
    <w:semiHidden/>
    <w:qFormat/>
    <w:rsid w:val="007E0842"/>
  </w:style>
  <w:style w:type="paragraph" w:customStyle="1" w:styleId="Para0bold">
    <w:name w:val="Para 0 bold"/>
    <w:basedOn w:val="Para0"/>
    <w:qFormat/>
    <w:rsid w:val="007E0842"/>
    <w:rPr>
      <w:b/>
    </w:rPr>
  </w:style>
  <w:style w:type="paragraph" w:customStyle="1" w:styleId="Para0number">
    <w:name w:val="Para 0 number"/>
    <w:basedOn w:val="Para0"/>
    <w:qFormat/>
    <w:rsid w:val="007E0842"/>
    <w:pPr>
      <w:tabs>
        <w:tab w:val="left" w:pos="851"/>
      </w:tabs>
      <w:spacing w:before="0"/>
      <w:ind w:left="360" w:hanging="360"/>
    </w:pPr>
  </w:style>
  <w:style w:type="paragraph" w:customStyle="1" w:styleId="Para0arrow">
    <w:name w:val="Para 0 arrow"/>
    <w:basedOn w:val="Para0"/>
    <w:qFormat/>
    <w:rsid w:val="007E0842"/>
    <w:pPr>
      <w:numPr>
        <w:numId w:val="19"/>
      </w:numPr>
      <w:tabs>
        <w:tab w:val="left" w:pos="851"/>
      </w:tabs>
      <w:spacing w:before="0"/>
    </w:pPr>
    <w:rPr>
      <w:color w:val="42145F" w:themeColor="text1"/>
    </w:rPr>
  </w:style>
  <w:style w:type="paragraph" w:customStyle="1" w:styleId="Para0dash">
    <w:name w:val="Para 0 dash"/>
    <w:basedOn w:val="Para0"/>
    <w:qFormat/>
    <w:rsid w:val="007E0842"/>
    <w:pPr>
      <w:numPr>
        <w:numId w:val="33"/>
      </w:numPr>
      <w:tabs>
        <w:tab w:val="left" w:pos="851"/>
      </w:tabs>
      <w:spacing w:before="0"/>
    </w:pPr>
  </w:style>
  <w:style w:type="paragraph" w:customStyle="1" w:styleId="Para0roman">
    <w:name w:val="Para 0 roman"/>
    <w:basedOn w:val="Para0"/>
    <w:qFormat/>
    <w:rsid w:val="007E0842"/>
    <w:pPr>
      <w:numPr>
        <w:numId w:val="32"/>
      </w:numPr>
      <w:tabs>
        <w:tab w:val="left" w:pos="851"/>
      </w:tabs>
      <w:spacing w:before="0"/>
    </w:pPr>
  </w:style>
  <w:style w:type="paragraph" w:customStyle="1" w:styleId="Para0letter">
    <w:name w:val="Para 0 letter"/>
    <w:basedOn w:val="Para0"/>
    <w:qFormat/>
    <w:rsid w:val="007E0842"/>
    <w:pPr>
      <w:numPr>
        <w:numId w:val="34"/>
      </w:numPr>
      <w:tabs>
        <w:tab w:val="left" w:pos="851"/>
      </w:tabs>
      <w:spacing w:before="0"/>
    </w:pPr>
  </w:style>
  <w:style w:type="paragraph" w:customStyle="1" w:styleId="Para0bullet">
    <w:name w:val="Para 0 bullet"/>
    <w:basedOn w:val="Para0"/>
    <w:qFormat/>
    <w:rsid w:val="007E0842"/>
    <w:pPr>
      <w:numPr>
        <w:numId w:val="35"/>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7E0842"/>
  </w:style>
  <w:style w:type="paragraph" w:customStyle="1" w:styleId="Content">
    <w:name w:val="Content"/>
    <w:basedOn w:val="Normal"/>
    <w:semiHidden/>
    <w:unhideWhenUsed/>
    <w:qFormat/>
    <w:rsid w:val="007E0842"/>
    <w:pPr>
      <w:spacing w:line="280" w:lineRule="exact"/>
    </w:pPr>
  </w:style>
  <w:style w:type="paragraph" w:styleId="TOC4">
    <w:name w:val="toc 4"/>
    <w:basedOn w:val="Normal"/>
    <w:next w:val="Normal"/>
    <w:autoRedefine/>
    <w:uiPriority w:val="39"/>
    <w:semiHidden/>
    <w:unhideWhenUsed/>
    <w:rsid w:val="007E0842"/>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7E0842"/>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7E0842"/>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7E0842"/>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7E0842"/>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7E0842"/>
  </w:style>
  <w:style w:type="paragraph" w:customStyle="1" w:styleId="Bodysubheading">
    <w:name w:val="Body sub heading"/>
    <w:basedOn w:val="Collateralsubheading"/>
    <w:next w:val="Para0narrow"/>
    <w:unhideWhenUsed/>
    <w:qFormat/>
    <w:rsid w:val="007E0842"/>
  </w:style>
  <w:style w:type="paragraph" w:customStyle="1" w:styleId="CVTitle">
    <w:name w:val="CVTitle"/>
    <w:basedOn w:val="Projectrole1"/>
    <w:semiHidden/>
    <w:unhideWhenUsed/>
    <w:rsid w:val="007E0842"/>
  </w:style>
  <w:style w:type="paragraph" w:customStyle="1" w:styleId="CVHead">
    <w:name w:val="CVHead"/>
    <w:basedOn w:val="Collateralheading"/>
    <w:semiHidden/>
    <w:unhideWhenUsed/>
    <w:rsid w:val="007E0842"/>
  </w:style>
  <w:style w:type="paragraph" w:customStyle="1" w:styleId="PHHeading1">
    <w:name w:val="PHHeading 1"/>
    <w:basedOn w:val="CVHead"/>
    <w:semiHidden/>
    <w:unhideWhenUsed/>
    <w:rsid w:val="007E0842"/>
  </w:style>
  <w:style w:type="paragraph" w:customStyle="1" w:styleId="PHHeading2">
    <w:name w:val="PHHeading 2"/>
    <w:basedOn w:val="Collateralsubheading"/>
    <w:semiHidden/>
    <w:unhideWhenUsed/>
    <w:rsid w:val="007E0842"/>
  </w:style>
  <w:style w:type="paragraph" w:customStyle="1" w:styleId="PHHeading3">
    <w:name w:val="PHHeading 3"/>
    <w:basedOn w:val="PHHeading2"/>
    <w:semiHidden/>
    <w:unhideWhenUsed/>
    <w:rsid w:val="007E0842"/>
  </w:style>
  <w:style w:type="paragraph" w:customStyle="1" w:styleId="Para1">
    <w:name w:val="Para 1"/>
    <w:basedOn w:val="Para0"/>
    <w:unhideWhenUsed/>
    <w:rsid w:val="007E0842"/>
    <w:pPr>
      <w:ind w:left="425"/>
    </w:pPr>
  </w:style>
  <w:style w:type="paragraph" w:customStyle="1" w:styleId="Para1bullet">
    <w:name w:val="Para 1 bullet"/>
    <w:basedOn w:val="Para1"/>
    <w:unhideWhenUsed/>
    <w:rsid w:val="007E0842"/>
    <w:pPr>
      <w:numPr>
        <w:numId w:val="8"/>
      </w:numPr>
      <w:spacing w:before="0"/>
      <w:ind w:left="850" w:hanging="425"/>
    </w:pPr>
  </w:style>
  <w:style w:type="paragraph" w:customStyle="1" w:styleId="Para1dash">
    <w:name w:val="Para 1 dash"/>
    <w:basedOn w:val="Para1bullet"/>
    <w:unhideWhenUsed/>
    <w:rsid w:val="007E0842"/>
    <w:pPr>
      <w:numPr>
        <w:ilvl w:val="1"/>
        <w:numId w:val="35"/>
      </w:numPr>
    </w:pPr>
  </w:style>
  <w:style w:type="paragraph" w:customStyle="1" w:styleId="Para1letter">
    <w:name w:val="Para 1 letter"/>
    <w:basedOn w:val="Para1bullet"/>
    <w:unhideWhenUsed/>
    <w:rsid w:val="007E0842"/>
    <w:pPr>
      <w:numPr>
        <w:ilvl w:val="1"/>
        <w:numId w:val="31"/>
      </w:numPr>
    </w:pPr>
  </w:style>
  <w:style w:type="paragraph" w:customStyle="1" w:styleId="Para1number">
    <w:name w:val="Para 1 number"/>
    <w:basedOn w:val="Para1bullet"/>
    <w:unhideWhenUsed/>
    <w:rsid w:val="007E0842"/>
    <w:pPr>
      <w:numPr>
        <w:numId w:val="9"/>
      </w:numPr>
      <w:ind w:left="850" w:hanging="425"/>
    </w:pPr>
  </w:style>
  <w:style w:type="paragraph" w:customStyle="1" w:styleId="Summary">
    <w:name w:val="Summary"/>
    <w:basedOn w:val="Normal"/>
    <w:next w:val="Para0"/>
    <w:qFormat/>
    <w:rsid w:val="007E0842"/>
    <w:pPr>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7E0842"/>
    <w:pPr>
      <w:numPr>
        <w:ilvl w:val="0"/>
        <w:numId w:val="0"/>
      </w:numPr>
    </w:pPr>
  </w:style>
  <w:style w:type="paragraph" w:customStyle="1" w:styleId="SectionSubheading2">
    <w:name w:val="Section Sub heading 2"/>
    <w:basedOn w:val="Heading3"/>
    <w:next w:val="Para0"/>
    <w:qFormat/>
    <w:rsid w:val="007E0842"/>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7E0842"/>
    <w:pPr>
      <w:numPr>
        <w:ilvl w:val="1"/>
        <w:numId w:val="13"/>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7E0842"/>
    <w:pPr>
      <w:numPr>
        <w:ilvl w:val="2"/>
        <w:numId w:val="13"/>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4"/>
      </w:numPr>
    </w:pPr>
  </w:style>
  <w:style w:type="paragraph" w:customStyle="1" w:styleId="Para2bold">
    <w:name w:val="Para 2 bold"/>
    <w:basedOn w:val="Para2"/>
    <w:rsid w:val="003E59A6"/>
    <w:rPr>
      <w:b/>
    </w:rPr>
  </w:style>
  <w:style w:type="paragraph" w:customStyle="1" w:styleId="Para2number">
    <w:name w:val="Para 2 number"/>
    <w:basedOn w:val="Para2bullet"/>
    <w:rsid w:val="007E0842"/>
    <w:pPr>
      <w:numPr>
        <w:numId w:val="14"/>
      </w:numPr>
      <w:ind w:left="1276" w:hanging="425"/>
    </w:pPr>
  </w:style>
  <w:style w:type="paragraph" w:customStyle="1" w:styleId="Para2roman">
    <w:name w:val="Para 2 roman"/>
    <w:basedOn w:val="Para2number"/>
    <w:rsid w:val="00A076C0"/>
    <w:pPr>
      <w:numPr>
        <w:ilvl w:val="2"/>
        <w:numId w:val="31"/>
      </w:numPr>
    </w:pPr>
  </w:style>
  <w:style w:type="paragraph" w:customStyle="1" w:styleId="TableContent">
    <w:name w:val="Table Content"/>
    <w:basedOn w:val="Normal"/>
    <w:qFormat/>
    <w:rsid w:val="007E0842"/>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3"/>
      </w:numPr>
    </w:pPr>
  </w:style>
  <w:style w:type="numbering" w:customStyle="1" w:styleId="SKMNumberedList2">
    <w:name w:val="SKM Numbered List 2"/>
    <w:uiPriority w:val="99"/>
    <w:rsid w:val="00AE6C85"/>
    <w:pPr>
      <w:numPr>
        <w:numId w:val="15"/>
      </w:numPr>
    </w:pPr>
  </w:style>
  <w:style w:type="numbering" w:customStyle="1" w:styleId="SKMNumberedList3">
    <w:name w:val="SKM Numbered List 3"/>
    <w:uiPriority w:val="99"/>
    <w:rsid w:val="00C21EF5"/>
    <w:pPr>
      <w:numPr>
        <w:numId w:val="16"/>
      </w:numPr>
    </w:pPr>
  </w:style>
  <w:style w:type="numbering" w:customStyle="1" w:styleId="SKMBulletList1">
    <w:name w:val="SKM Bullet List 1"/>
    <w:uiPriority w:val="99"/>
    <w:rsid w:val="006A7869"/>
    <w:pPr>
      <w:numPr>
        <w:numId w:val="17"/>
      </w:numPr>
    </w:pPr>
  </w:style>
  <w:style w:type="numbering" w:customStyle="1" w:styleId="SKMBulletList2">
    <w:name w:val="SKM Bullet List 2"/>
    <w:uiPriority w:val="99"/>
    <w:rsid w:val="00AE6C85"/>
    <w:pPr>
      <w:numPr>
        <w:numId w:val="18"/>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Ind w:w="0" w:type="dxa"/>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CellMar>
        <w:top w:w="0" w:type="dxa"/>
        <w:left w:w="108" w:type="dxa"/>
        <w:bottom w:w="0" w:type="dxa"/>
        <w:right w:w="108" w:type="dxa"/>
      </w:tblCellMar>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19"/>
      </w:numPr>
    </w:pPr>
  </w:style>
  <w:style w:type="numbering" w:customStyle="1" w:styleId="SKMTableList1">
    <w:name w:val="SKM Table List 1"/>
    <w:uiPriority w:val="99"/>
    <w:rsid w:val="003552CE"/>
    <w:pPr>
      <w:numPr>
        <w:numId w:val="20"/>
      </w:numPr>
    </w:pPr>
  </w:style>
  <w:style w:type="numbering" w:customStyle="1" w:styleId="SKMTableNumberedList1">
    <w:name w:val="SKM Table Numbered List 1"/>
    <w:uiPriority w:val="99"/>
    <w:rsid w:val="00520778"/>
    <w:pPr>
      <w:numPr>
        <w:numId w:val="21"/>
      </w:numPr>
    </w:pPr>
  </w:style>
  <w:style w:type="numbering" w:customStyle="1" w:styleId="SKMTableNumberedList2">
    <w:name w:val="SKM Table Numbered List 2"/>
    <w:uiPriority w:val="99"/>
    <w:rsid w:val="00520778"/>
    <w:pPr>
      <w:numPr>
        <w:numId w:val="22"/>
      </w:numPr>
    </w:pPr>
  </w:style>
  <w:style w:type="numbering" w:customStyle="1" w:styleId="SKMSmallTableList1">
    <w:name w:val="SKM Small Table List 1"/>
    <w:uiPriority w:val="99"/>
    <w:rsid w:val="00E57B6A"/>
    <w:pPr>
      <w:numPr>
        <w:numId w:val="24"/>
      </w:numPr>
    </w:pPr>
  </w:style>
  <w:style w:type="numbering" w:customStyle="1" w:styleId="SKMSmallTableNumberedList1">
    <w:name w:val="SKM Small Table Numbered List 1"/>
    <w:uiPriority w:val="99"/>
    <w:rsid w:val="003C057C"/>
    <w:pPr>
      <w:numPr>
        <w:numId w:val="25"/>
      </w:numPr>
    </w:pPr>
  </w:style>
  <w:style w:type="numbering" w:customStyle="1" w:styleId="SKMSmallTableNumberedList2">
    <w:name w:val="SKM Small Table Numbered List 2"/>
    <w:uiPriority w:val="99"/>
    <w:rsid w:val="00463857"/>
    <w:pPr>
      <w:numPr>
        <w:numId w:val="26"/>
      </w:numPr>
    </w:pPr>
  </w:style>
  <w:style w:type="numbering" w:customStyle="1" w:styleId="SKMBodyList">
    <w:name w:val="SKM Body List"/>
    <w:uiPriority w:val="99"/>
    <w:rsid w:val="0053463E"/>
    <w:pPr>
      <w:numPr>
        <w:numId w:val="27"/>
      </w:numPr>
    </w:pPr>
  </w:style>
  <w:style w:type="numbering" w:customStyle="1" w:styleId="SKMNarrowList">
    <w:name w:val="SKM Narrow List"/>
    <w:uiPriority w:val="99"/>
    <w:rsid w:val="00FE7784"/>
    <w:pPr>
      <w:numPr>
        <w:numId w:val="28"/>
      </w:numPr>
    </w:pPr>
  </w:style>
  <w:style w:type="numbering" w:customStyle="1" w:styleId="SKMSidebarList">
    <w:name w:val="SKM Sidebar List"/>
    <w:uiPriority w:val="99"/>
    <w:rsid w:val="006C293D"/>
    <w:pPr>
      <w:numPr>
        <w:numId w:val="29"/>
      </w:numPr>
    </w:pPr>
  </w:style>
  <w:style w:type="character" w:customStyle="1" w:styleId="Para0Char">
    <w:name w:val="Para 0 Char"/>
    <w:basedOn w:val="DefaultParagraphFont"/>
    <w:link w:val="Para0"/>
    <w:rsid w:val="00AE42BA"/>
    <w:rPr>
      <w:rFonts w:ascii="Arial" w:hAnsi="Arial"/>
      <w:sz w:val="20"/>
      <w:lang w:val="en-AU"/>
    </w:rPr>
  </w:style>
  <w:style w:type="paragraph" w:styleId="ListParagraph">
    <w:name w:val="List Paragraph"/>
    <w:basedOn w:val="Normal"/>
    <w:uiPriority w:val="34"/>
    <w:qFormat/>
    <w:rsid w:val="004F3874"/>
    <w:pPr>
      <w:spacing w:after="200" w:line="276" w:lineRule="auto"/>
      <w:ind w:left="720"/>
    </w:pPr>
    <w:rPr>
      <w:rFonts w:ascii="Calibri" w:eastAsiaTheme="minorHAnsi" w:hAnsi="Calibri" w:cs="Times New Roman"/>
      <w:sz w:val="22"/>
      <w:szCs w:val="22"/>
      <w:lang w:eastAsia="en-AU"/>
    </w:rPr>
  </w:style>
  <w:style w:type="paragraph" w:customStyle="1" w:styleId="Tablepara2">
    <w:name w:val="Table para 2"/>
    <w:basedOn w:val="Tablesmallbullet"/>
    <w:link w:val="Tablepara2Char"/>
    <w:qFormat/>
    <w:rsid w:val="007E0842"/>
    <w:pPr>
      <w:numPr>
        <w:numId w:val="36"/>
      </w:numPr>
    </w:pPr>
  </w:style>
  <w:style w:type="character" w:customStyle="1" w:styleId="TablesmalltextChar">
    <w:name w:val="Table small text Char"/>
    <w:basedOn w:val="DefaultParagraphFont"/>
    <w:link w:val="Tablesmalltext"/>
    <w:rsid w:val="008E4758"/>
    <w:rPr>
      <w:rFonts w:ascii="Arial" w:hAnsi="Arial"/>
      <w:sz w:val="18"/>
      <w:lang w:val="en-AU"/>
    </w:rPr>
  </w:style>
  <w:style w:type="character" w:customStyle="1" w:styleId="TablesmallbulletChar">
    <w:name w:val="Table small bullet Char"/>
    <w:basedOn w:val="TablesmalltextChar"/>
    <w:link w:val="Tablesmallbullet"/>
    <w:rsid w:val="00510714"/>
    <w:rPr>
      <w:rFonts w:ascii="Arial" w:hAnsi="Arial"/>
      <w:sz w:val="18"/>
      <w:lang w:val="en-AU"/>
    </w:rPr>
  </w:style>
  <w:style w:type="character" w:customStyle="1" w:styleId="Tablepara2Char">
    <w:name w:val="Table para 2 Char"/>
    <w:basedOn w:val="TablesmallbulletChar"/>
    <w:link w:val="Tablepara2"/>
    <w:rsid w:val="008E4758"/>
    <w:rPr>
      <w:rFonts w:ascii="Arial" w:hAnsi="Arial"/>
      <w:sz w:val="18"/>
      <w:lang w:val="en-AU"/>
    </w:rPr>
  </w:style>
  <w:style w:type="paragraph" w:styleId="EndnoteText">
    <w:name w:val="endnote text"/>
    <w:basedOn w:val="Normal"/>
    <w:link w:val="EndnoteTextChar"/>
    <w:uiPriority w:val="99"/>
    <w:semiHidden/>
    <w:unhideWhenUsed/>
    <w:rsid w:val="007E0842"/>
    <w:pPr>
      <w:spacing w:after="0" w:line="240" w:lineRule="auto"/>
    </w:pPr>
    <w:rPr>
      <w:szCs w:val="20"/>
    </w:rPr>
  </w:style>
  <w:style w:type="character" w:customStyle="1" w:styleId="EndnoteTextChar">
    <w:name w:val="Endnote Text Char"/>
    <w:basedOn w:val="DefaultParagraphFont"/>
    <w:link w:val="EndnoteText"/>
    <w:uiPriority w:val="99"/>
    <w:semiHidden/>
    <w:rsid w:val="009F092F"/>
    <w:rPr>
      <w:rFonts w:ascii="Arial" w:hAnsi="Arial"/>
      <w:sz w:val="20"/>
      <w:szCs w:val="20"/>
      <w:lang w:val="en-AU"/>
    </w:rPr>
  </w:style>
  <w:style w:type="character" w:styleId="EndnoteReference">
    <w:name w:val="endnote reference"/>
    <w:basedOn w:val="DefaultParagraphFont"/>
    <w:uiPriority w:val="99"/>
    <w:semiHidden/>
    <w:unhideWhenUsed/>
    <w:rsid w:val="007E0842"/>
    <w:rPr>
      <w:vertAlign w:val="superscript"/>
    </w:rPr>
  </w:style>
  <w:style w:type="character" w:styleId="CommentReference">
    <w:name w:val="annotation reference"/>
    <w:basedOn w:val="DefaultParagraphFont"/>
    <w:uiPriority w:val="99"/>
    <w:semiHidden/>
    <w:unhideWhenUsed/>
    <w:rsid w:val="007E0842"/>
    <w:rPr>
      <w:sz w:val="16"/>
      <w:szCs w:val="16"/>
    </w:rPr>
  </w:style>
  <w:style w:type="paragraph" w:styleId="CommentText">
    <w:name w:val="annotation text"/>
    <w:basedOn w:val="Normal"/>
    <w:link w:val="CommentTextChar"/>
    <w:uiPriority w:val="99"/>
    <w:unhideWhenUsed/>
    <w:rsid w:val="007E0842"/>
    <w:pPr>
      <w:spacing w:line="240" w:lineRule="auto"/>
    </w:pPr>
    <w:rPr>
      <w:szCs w:val="20"/>
    </w:rPr>
  </w:style>
  <w:style w:type="character" w:customStyle="1" w:styleId="CommentTextChar">
    <w:name w:val="Comment Text Char"/>
    <w:basedOn w:val="DefaultParagraphFont"/>
    <w:link w:val="CommentText"/>
    <w:uiPriority w:val="99"/>
    <w:rsid w:val="004F5988"/>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E0842"/>
    <w:rPr>
      <w:b/>
      <w:bCs/>
    </w:rPr>
  </w:style>
  <w:style w:type="character" w:customStyle="1" w:styleId="CommentSubjectChar">
    <w:name w:val="Comment Subject Char"/>
    <w:basedOn w:val="CommentTextChar"/>
    <w:link w:val="CommentSubject"/>
    <w:uiPriority w:val="99"/>
    <w:semiHidden/>
    <w:rsid w:val="004F5988"/>
    <w:rPr>
      <w:rFonts w:ascii="Arial" w:hAnsi="Arial"/>
      <w:b/>
      <w:bCs/>
      <w:sz w:val="20"/>
      <w:szCs w:val="20"/>
      <w:lang w:val="en-AU"/>
    </w:rPr>
  </w:style>
  <w:style w:type="paragraph" w:customStyle="1" w:styleId="Tablewhite">
    <w:name w:val="Table white"/>
    <w:basedOn w:val="Tablesmallbullet"/>
    <w:link w:val="TablewhiteChar"/>
    <w:qFormat/>
    <w:rsid w:val="007E0842"/>
    <w:rPr>
      <w:b/>
      <w:color w:val="FFFFFF" w:themeColor="background2"/>
    </w:rPr>
  </w:style>
  <w:style w:type="character" w:customStyle="1" w:styleId="TablewhiteChar">
    <w:name w:val="Table white Char"/>
    <w:basedOn w:val="TablesmallbulletChar"/>
    <w:link w:val="Tablewhite"/>
    <w:rsid w:val="00420ECC"/>
    <w:rPr>
      <w:rFonts w:ascii="Arial" w:hAnsi="Arial"/>
      <w:b/>
      <w:color w:val="FFFFFF" w:themeColor="background2"/>
      <w:sz w:val="18"/>
      <w:lang w:val="en-AU"/>
    </w:rPr>
  </w:style>
  <w:style w:type="paragraph" w:styleId="Revision">
    <w:name w:val="Revision"/>
    <w:hidden/>
    <w:uiPriority w:val="99"/>
    <w:semiHidden/>
    <w:rsid w:val="00A82EFF"/>
    <w:rPr>
      <w:rFonts w:ascii="Arial" w:hAnsi="Arial"/>
      <w:sz w:val="20"/>
      <w:lang w:val="en-AU"/>
    </w:rPr>
  </w:style>
  <w:style w:type="paragraph" w:customStyle="1" w:styleId="Default">
    <w:name w:val="Default"/>
    <w:rsid w:val="00A47577"/>
    <w:pPr>
      <w:autoSpaceDE w:val="0"/>
      <w:autoSpaceDN w:val="0"/>
      <w:adjustRightInd w:val="0"/>
    </w:pPr>
    <w:rPr>
      <w:rFonts w:ascii="Calibri" w:hAnsi="Calibri" w:cs="Calibri"/>
      <w:color w:val="000000"/>
      <w:lang w:val="en-AU"/>
    </w:rPr>
  </w:style>
  <w:style w:type="character" w:customStyle="1" w:styleId="CaptionChar">
    <w:name w:val="Caption Char"/>
    <w:aliases w:val="TABLE Char,Figure Char,CDM B/Caption Char,Item Char,Table Caption Char,caption Char,c Char,col bullet Char,cb Char,Center Bold Char,cbbullet Char,col bulletcsb Char,u Char,C2 Col Bullet Char,6 chart Char,Center Bcbold Char,cb 10pt Char"/>
    <w:link w:val="Caption"/>
    <w:uiPriority w:val="35"/>
    <w:rsid w:val="007A0B65"/>
    <w:rPr>
      <w:rFonts w:ascii="Arial Narrow" w:hAnsi="Arial Narrow"/>
      <w:b/>
      <w:sz w:val="20"/>
      <w:lang w:val="en-AU"/>
    </w:rPr>
  </w:style>
  <w:style w:type="table" w:styleId="LightList">
    <w:name w:val="Light List"/>
    <w:basedOn w:val="TableNormal"/>
    <w:uiPriority w:val="61"/>
    <w:rsid w:val="000B5AAB"/>
    <w:tblPr>
      <w:tblStyleRowBandSize w:val="1"/>
      <w:tblStyleColBandSize w:val="1"/>
      <w:tblInd w:w="0" w:type="dxa"/>
      <w:tblBorders>
        <w:top w:val="single" w:sz="8" w:space="0" w:color="42145F" w:themeColor="text1"/>
        <w:left w:val="single" w:sz="8" w:space="0" w:color="42145F" w:themeColor="text1"/>
        <w:bottom w:val="single" w:sz="8" w:space="0" w:color="42145F" w:themeColor="text1"/>
        <w:right w:val="single" w:sz="8" w:space="0" w:color="42145F" w:themeColor="text1"/>
      </w:tblBorders>
      <w:tblCellMar>
        <w:top w:w="0" w:type="dxa"/>
        <w:left w:w="108" w:type="dxa"/>
        <w:bottom w:w="0" w:type="dxa"/>
        <w:right w:w="108" w:type="dxa"/>
      </w:tblCellMar>
    </w:tblPr>
    <w:tblStylePr w:type="firstRow">
      <w:pPr>
        <w:spacing w:before="0" w:after="0" w:line="240" w:lineRule="auto"/>
      </w:pPr>
      <w:rPr>
        <w:b/>
        <w:bCs/>
        <w:color w:val="939598" w:themeColor="background1"/>
      </w:rPr>
      <w:tblPr/>
      <w:tcPr>
        <w:shd w:val="clear" w:color="auto" w:fill="42145F" w:themeFill="text1"/>
      </w:tcPr>
    </w:tblStylePr>
    <w:tblStylePr w:type="lastRow">
      <w:pPr>
        <w:spacing w:before="0" w:after="0" w:line="240" w:lineRule="auto"/>
      </w:pPr>
      <w:rPr>
        <w:b/>
        <w:bCs/>
      </w:rPr>
      <w:tblPr/>
      <w:tcPr>
        <w:tcBorders>
          <w:top w:val="double" w:sz="6" w:space="0" w:color="42145F" w:themeColor="text1"/>
          <w:left w:val="single" w:sz="8" w:space="0" w:color="42145F" w:themeColor="text1"/>
          <w:bottom w:val="single" w:sz="8" w:space="0" w:color="42145F" w:themeColor="text1"/>
          <w:right w:val="single" w:sz="8" w:space="0" w:color="42145F" w:themeColor="text1"/>
        </w:tcBorders>
      </w:tcPr>
    </w:tblStylePr>
    <w:tblStylePr w:type="firstCol">
      <w:rPr>
        <w:b/>
        <w:bCs/>
      </w:rPr>
    </w:tblStylePr>
    <w:tblStylePr w:type="lastCol">
      <w:rPr>
        <w:b/>
        <w:bCs/>
      </w:rPr>
    </w:tblStylePr>
    <w:tblStylePr w:type="band1Vert">
      <w:tblPr/>
      <w:tcPr>
        <w:tcBorders>
          <w:top w:val="single" w:sz="8" w:space="0" w:color="42145F" w:themeColor="text1"/>
          <w:left w:val="single" w:sz="8" w:space="0" w:color="42145F" w:themeColor="text1"/>
          <w:bottom w:val="single" w:sz="8" w:space="0" w:color="42145F" w:themeColor="text1"/>
          <w:right w:val="single" w:sz="8" w:space="0" w:color="42145F" w:themeColor="text1"/>
        </w:tcBorders>
      </w:tcPr>
    </w:tblStylePr>
    <w:tblStylePr w:type="band1Horz">
      <w:tblPr/>
      <w:tcPr>
        <w:tcBorders>
          <w:top w:val="single" w:sz="8" w:space="0" w:color="42145F" w:themeColor="text1"/>
          <w:left w:val="single" w:sz="8" w:space="0" w:color="42145F" w:themeColor="text1"/>
          <w:bottom w:val="single" w:sz="8" w:space="0" w:color="42145F" w:themeColor="text1"/>
          <w:right w:val="single" w:sz="8" w:space="0" w:color="42145F" w:themeColor="text1"/>
        </w:tcBorders>
      </w:tcPr>
    </w:tblStylePr>
  </w:style>
  <w:style w:type="paragraph" w:customStyle="1" w:styleId="subhead">
    <w:name w:val="subhead"/>
    <w:basedOn w:val="Para0"/>
    <w:link w:val="subheadChar"/>
    <w:qFormat/>
    <w:rsid w:val="007E0842"/>
    <w:rPr>
      <w:b/>
      <w:i/>
    </w:rPr>
  </w:style>
  <w:style w:type="character" w:styleId="FollowedHyperlink">
    <w:name w:val="FollowedHyperlink"/>
    <w:basedOn w:val="DefaultParagraphFont"/>
    <w:uiPriority w:val="99"/>
    <w:semiHidden/>
    <w:unhideWhenUsed/>
    <w:rsid w:val="007E0842"/>
    <w:rPr>
      <w:color w:val="800080" w:themeColor="followedHyperlink"/>
      <w:u w:val="single"/>
    </w:rPr>
  </w:style>
  <w:style w:type="character" w:customStyle="1" w:styleId="subheadChar">
    <w:name w:val="subhead Char"/>
    <w:basedOn w:val="Para0Char"/>
    <w:link w:val="subhead"/>
    <w:rsid w:val="00E97C45"/>
    <w:rPr>
      <w:rFonts w:ascii="Arial" w:hAnsi="Arial"/>
      <w:b/>
      <w:i/>
      <w:sz w:val="20"/>
      <w:lang w:val="en-AU"/>
    </w:rPr>
  </w:style>
  <w:style w:type="paragraph" w:styleId="NormalWeb">
    <w:name w:val="Normal (Web)"/>
    <w:basedOn w:val="Normal"/>
    <w:uiPriority w:val="99"/>
    <w:unhideWhenUsed/>
    <w:rsid w:val="007E0842"/>
    <w:pPr>
      <w:spacing w:before="100" w:beforeAutospacing="1" w:after="100" w:afterAutospacing="1" w:line="240" w:lineRule="auto"/>
    </w:pPr>
    <w:rPr>
      <w:rFonts w:ascii="Times New Roman" w:hAnsi="Times New Roman" w:cs="Times New Roman"/>
      <w:sz w:val="24"/>
      <w:lang w:eastAsia="en-AU"/>
    </w:rPr>
  </w:style>
  <w:style w:type="character" w:styleId="PlaceholderText">
    <w:name w:val="Placeholder Text"/>
    <w:basedOn w:val="DefaultParagraphFont"/>
    <w:uiPriority w:val="99"/>
    <w:semiHidden/>
    <w:rsid w:val="0064568A"/>
    <w:rPr>
      <w:color w:val="808080"/>
    </w:rPr>
  </w:style>
  <w:style w:type="character" w:styleId="Strong">
    <w:name w:val="Strong"/>
    <w:basedOn w:val="DefaultParagraphFont"/>
    <w:uiPriority w:val="22"/>
    <w:qFormat/>
    <w:rsid w:val="00236450"/>
    <w:rPr>
      <w:b/>
      <w:bCs/>
    </w:rPr>
  </w:style>
  <w:style w:type="table" w:customStyle="1" w:styleId="MediumGrid1-Accent11">
    <w:name w:val="Medium Grid 1 - Accent 11"/>
    <w:rsid w:val="007E0842"/>
    <w:rPr>
      <w:rFonts w:ascii="Calibri" w:eastAsia="Times New Roman" w:hAnsi="Calibri" w:cs="Times New Roman"/>
      <w:sz w:val="20"/>
      <w:szCs w:val="20"/>
      <w:lang w:val="en-AU" w:eastAsia="en-AU"/>
    </w:rPr>
    <w:tblPr>
      <w:tblStyleRowBandSize w:val="1"/>
      <w:tblStyleColBandSize w:val="1"/>
      <w:tblInd w:w="0" w:type="dxa"/>
      <w:tblBorders>
        <w:top w:val="single" w:sz="8" w:space="0" w:color="ECEBE9"/>
        <w:left w:val="single" w:sz="8" w:space="0" w:color="ECEBE9"/>
        <w:bottom w:val="single" w:sz="8" w:space="0" w:color="ECEBE9"/>
        <w:right w:val="single" w:sz="8" w:space="0" w:color="ECEBE9"/>
        <w:insideH w:val="single" w:sz="8" w:space="0" w:color="ECEBE9"/>
        <w:insideV w:val="single" w:sz="8" w:space="0" w:color="ECEBE9"/>
      </w:tblBorders>
      <w:tblCellMar>
        <w:top w:w="0" w:type="dxa"/>
        <w:left w:w="108" w:type="dxa"/>
        <w:bottom w:w="0" w:type="dxa"/>
        <w:right w:w="108" w:type="dxa"/>
      </w:tblCellMar>
    </w:tblPr>
    <w:tcPr>
      <w:shd w:val="clear" w:color="auto" w:fill="F8F8F7"/>
    </w:tcPr>
  </w:style>
</w:styles>
</file>

<file path=word/webSettings.xml><?xml version="1.0" encoding="utf-8"?>
<w:webSettings xmlns:r="http://schemas.openxmlformats.org/officeDocument/2006/relationships" xmlns:w="http://schemas.openxmlformats.org/wordprocessingml/2006/main">
  <w:divs>
    <w:div w:id="8">
      <w:marLeft w:val="0"/>
      <w:marRight w:val="0"/>
      <w:marTop w:val="0"/>
      <w:marBottom w:val="0"/>
      <w:divBdr>
        <w:top w:val="none" w:sz="0" w:space="0" w:color="auto"/>
        <w:left w:val="none" w:sz="0" w:space="0" w:color="auto"/>
        <w:bottom w:val="none" w:sz="0" w:space="0" w:color="auto"/>
        <w:right w:val="none" w:sz="0" w:space="0" w:color="auto"/>
      </w:divBdr>
      <w:divsChild>
        <w:div w:id="19">
          <w:marLeft w:val="274"/>
          <w:marRight w:val="0"/>
          <w:marTop w:val="0"/>
          <w:marBottom w:val="0"/>
          <w:divBdr>
            <w:top w:val="none" w:sz="0" w:space="0" w:color="auto"/>
            <w:left w:val="none" w:sz="0" w:space="0" w:color="auto"/>
            <w:bottom w:val="none" w:sz="0" w:space="0" w:color="auto"/>
            <w:right w:val="none" w:sz="0" w:space="0" w:color="auto"/>
          </w:divBdr>
        </w:div>
        <w:div w:id="32">
          <w:marLeft w:val="274"/>
          <w:marRight w:val="0"/>
          <w:marTop w:val="0"/>
          <w:marBottom w:val="0"/>
          <w:divBdr>
            <w:top w:val="none" w:sz="0" w:space="0" w:color="auto"/>
            <w:left w:val="none" w:sz="0" w:space="0" w:color="auto"/>
            <w:bottom w:val="none" w:sz="0" w:space="0" w:color="auto"/>
            <w:right w:val="none" w:sz="0" w:space="0" w:color="auto"/>
          </w:divBdr>
        </w:div>
        <w:div w:id="79">
          <w:marLeft w:val="274"/>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20">
          <w:marLeft w:val="346"/>
          <w:marRight w:val="0"/>
          <w:marTop w:val="67"/>
          <w:marBottom w:val="240"/>
          <w:divBdr>
            <w:top w:val="none" w:sz="0" w:space="0" w:color="auto"/>
            <w:left w:val="none" w:sz="0" w:space="0" w:color="auto"/>
            <w:bottom w:val="none" w:sz="0" w:space="0" w:color="auto"/>
            <w:right w:val="none" w:sz="0" w:space="0" w:color="auto"/>
          </w:divBdr>
        </w:div>
        <w:div w:id="36">
          <w:marLeft w:val="346"/>
          <w:marRight w:val="0"/>
          <w:marTop w:val="67"/>
          <w:marBottom w:val="240"/>
          <w:divBdr>
            <w:top w:val="none" w:sz="0" w:space="0" w:color="auto"/>
            <w:left w:val="none" w:sz="0" w:space="0" w:color="auto"/>
            <w:bottom w:val="none" w:sz="0" w:space="0" w:color="auto"/>
            <w:right w:val="none" w:sz="0" w:space="0" w:color="auto"/>
          </w:divBdr>
        </w:div>
        <w:div w:id="40">
          <w:marLeft w:val="346"/>
          <w:marRight w:val="0"/>
          <w:marTop w:val="67"/>
          <w:marBottom w:val="240"/>
          <w:divBdr>
            <w:top w:val="none" w:sz="0" w:space="0" w:color="auto"/>
            <w:left w:val="none" w:sz="0" w:space="0" w:color="auto"/>
            <w:bottom w:val="none" w:sz="0" w:space="0" w:color="auto"/>
            <w:right w:val="none" w:sz="0" w:space="0" w:color="auto"/>
          </w:divBdr>
        </w:div>
        <w:div w:id="46">
          <w:marLeft w:val="346"/>
          <w:marRight w:val="0"/>
          <w:marTop w:val="67"/>
          <w:marBottom w:val="240"/>
          <w:divBdr>
            <w:top w:val="none" w:sz="0" w:space="0" w:color="auto"/>
            <w:left w:val="none" w:sz="0" w:space="0" w:color="auto"/>
            <w:bottom w:val="none" w:sz="0" w:space="0" w:color="auto"/>
            <w:right w:val="none" w:sz="0" w:space="0" w:color="auto"/>
          </w:divBdr>
        </w:div>
        <w:div w:id="75">
          <w:marLeft w:val="346"/>
          <w:marRight w:val="0"/>
          <w:marTop w:val="67"/>
          <w:marBottom w:val="24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6">
          <w:marLeft w:val="274"/>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11">
          <w:marLeft w:val="274"/>
          <w:marRight w:val="0"/>
          <w:marTop w:val="60"/>
          <w:marBottom w:val="60"/>
          <w:divBdr>
            <w:top w:val="none" w:sz="0" w:space="0" w:color="auto"/>
            <w:left w:val="none" w:sz="0" w:space="0" w:color="auto"/>
            <w:bottom w:val="none" w:sz="0" w:space="0" w:color="auto"/>
            <w:right w:val="none" w:sz="0" w:space="0" w:color="auto"/>
          </w:divBdr>
        </w:div>
        <w:div w:id="37">
          <w:marLeft w:val="274"/>
          <w:marRight w:val="0"/>
          <w:marTop w:val="60"/>
          <w:marBottom w:val="60"/>
          <w:divBdr>
            <w:top w:val="none" w:sz="0" w:space="0" w:color="auto"/>
            <w:left w:val="none" w:sz="0" w:space="0" w:color="auto"/>
            <w:bottom w:val="none" w:sz="0" w:space="0" w:color="auto"/>
            <w:right w:val="none" w:sz="0" w:space="0" w:color="auto"/>
          </w:divBdr>
        </w:div>
        <w:div w:id="49">
          <w:marLeft w:val="274"/>
          <w:marRight w:val="0"/>
          <w:marTop w:val="60"/>
          <w:marBottom w:val="60"/>
          <w:divBdr>
            <w:top w:val="none" w:sz="0" w:space="0" w:color="auto"/>
            <w:left w:val="none" w:sz="0" w:space="0" w:color="auto"/>
            <w:bottom w:val="none" w:sz="0" w:space="0" w:color="auto"/>
            <w:right w:val="none" w:sz="0" w:space="0" w:color="auto"/>
          </w:divBdr>
        </w:div>
        <w:div w:id="61">
          <w:marLeft w:val="274"/>
          <w:marRight w:val="0"/>
          <w:marTop w:val="60"/>
          <w:marBottom w:val="6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1">
          <w:marLeft w:val="274"/>
          <w:marRight w:val="0"/>
          <w:marTop w:val="0"/>
          <w:marBottom w:val="0"/>
          <w:divBdr>
            <w:top w:val="none" w:sz="0" w:space="0" w:color="auto"/>
            <w:left w:val="none" w:sz="0" w:space="0" w:color="auto"/>
            <w:bottom w:val="none" w:sz="0" w:space="0" w:color="auto"/>
            <w:right w:val="none" w:sz="0" w:space="0" w:color="auto"/>
          </w:divBdr>
        </w:div>
        <w:div w:id="51">
          <w:marLeft w:val="274"/>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
          <w:marLeft w:val="274"/>
          <w:marRight w:val="0"/>
          <w:marTop w:val="60"/>
          <w:marBottom w:val="60"/>
          <w:divBdr>
            <w:top w:val="none" w:sz="0" w:space="0" w:color="auto"/>
            <w:left w:val="none" w:sz="0" w:space="0" w:color="auto"/>
            <w:bottom w:val="none" w:sz="0" w:space="0" w:color="auto"/>
            <w:right w:val="none" w:sz="0" w:space="0" w:color="auto"/>
          </w:divBdr>
        </w:div>
        <w:div w:id="50">
          <w:marLeft w:val="274"/>
          <w:marRight w:val="0"/>
          <w:marTop w:val="60"/>
          <w:marBottom w:val="60"/>
          <w:divBdr>
            <w:top w:val="none" w:sz="0" w:space="0" w:color="auto"/>
            <w:left w:val="none" w:sz="0" w:space="0" w:color="auto"/>
            <w:bottom w:val="none" w:sz="0" w:space="0" w:color="auto"/>
            <w:right w:val="none" w:sz="0" w:space="0" w:color="auto"/>
          </w:divBdr>
        </w:div>
        <w:div w:id="55">
          <w:marLeft w:val="274"/>
          <w:marRight w:val="0"/>
          <w:marTop w:val="60"/>
          <w:marBottom w:val="60"/>
          <w:divBdr>
            <w:top w:val="none" w:sz="0" w:space="0" w:color="auto"/>
            <w:left w:val="none" w:sz="0" w:space="0" w:color="auto"/>
            <w:bottom w:val="none" w:sz="0" w:space="0" w:color="auto"/>
            <w:right w:val="none" w:sz="0" w:space="0" w:color="auto"/>
          </w:divBdr>
        </w:div>
        <w:div w:id="72">
          <w:marLeft w:val="274"/>
          <w:marRight w:val="0"/>
          <w:marTop w:val="60"/>
          <w:marBottom w:val="6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21">
          <w:marLeft w:val="274"/>
          <w:marRight w:val="0"/>
          <w:marTop w:val="0"/>
          <w:marBottom w:val="0"/>
          <w:divBdr>
            <w:top w:val="none" w:sz="0" w:space="0" w:color="auto"/>
            <w:left w:val="none" w:sz="0" w:space="0" w:color="auto"/>
            <w:bottom w:val="none" w:sz="0" w:space="0" w:color="auto"/>
            <w:right w:val="none" w:sz="0" w:space="0" w:color="auto"/>
          </w:divBdr>
        </w:div>
        <w:div w:id="33">
          <w:marLeft w:val="274"/>
          <w:marRight w:val="0"/>
          <w:marTop w:val="0"/>
          <w:marBottom w:val="0"/>
          <w:divBdr>
            <w:top w:val="none" w:sz="0" w:space="0" w:color="auto"/>
            <w:left w:val="none" w:sz="0" w:space="0" w:color="auto"/>
            <w:bottom w:val="none" w:sz="0" w:space="0" w:color="auto"/>
            <w:right w:val="none" w:sz="0" w:space="0" w:color="auto"/>
          </w:divBdr>
        </w:div>
        <w:div w:id="66">
          <w:marLeft w:val="274"/>
          <w:marRight w:val="0"/>
          <w:marTop w:val="0"/>
          <w:marBottom w:val="0"/>
          <w:divBdr>
            <w:top w:val="none" w:sz="0" w:space="0" w:color="auto"/>
            <w:left w:val="none" w:sz="0" w:space="0" w:color="auto"/>
            <w:bottom w:val="none" w:sz="0" w:space="0" w:color="auto"/>
            <w:right w:val="none" w:sz="0" w:space="0" w:color="auto"/>
          </w:divBdr>
        </w:div>
        <w:div w:id="77">
          <w:marLeft w:val="274"/>
          <w:marRight w:val="0"/>
          <w:marTop w:val="0"/>
          <w:marBottom w:val="0"/>
          <w:divBdr>
            <w:top w:val="none" w:sz="0" w:space="0" w:color="auto"/>
            <w:left w:val="none" w:sz="0" w:space="0" w:color="auto"/>
            <w:bottom w:val="none" w:sz="0" w:space="0" w:color="auto"/>
            <w:right w:val="none" w:sz="0" w:space="0" w:color="auto"/>
          </w:divBdr>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sChild>
        <w:div w:id="9">
          <w:marLeft w:val="274"/>
          <w:marRight w:val="0"/>
          <w:marTop w:val="0"/>
          <w:marBottom w:val="0"/>
          <w:divBdr>
            <w:top w:val="none" w:sz="0" w:space="0" w:color="auto"/>
            <w:left w:val="none" w:sz="0" w:space="0" w:color="auto"/>
            <w:bottom w:val="none" w:sz="0" w:space="0" w:color="auto"/>
            <w:right w:val="none" w:sz="0" w:space="0" w:color="auto"/>
          </w:divBdr>
        </w:div>
        <w:div w:id="41">
          <w:marLeft w:val="274"/>
          <w:marRight w:val="0"/>
          <w:marTop w:val="0"/>
          <w:marBottom w:val="0"/>
          <w:divBdr>
            <w:top w:val="none" w:sz="0" w:space="0" w:color="auto"/>
            <w:left w:val="none" w:sz="0" w:space="0" w:color="auto"/>
            <w:bottom w:val="none" w:sz="0" w:space="0" w:color="auto"/>
            <w:right w:val="none" w:sz="0" w:space="0" w:color="auto"/>
          </w:divBdr>
        </w:div>
        <w:div w:id="47">
          <w:marLeft w:val="274"/>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18">
          <w:marLeft w:val="274"/>
          <w:marRight w:val="0"/>
          <w:marTop w:val="0"/>
          <w:marBottom w:val="0"/>
          <w:divBdr>
            <w:top w:val="none" w:sz="0" w:space="0" w:color="auto"/>
            <w:left w:val="none" w:sz="0" w:space="0" w:color="auto"/>
            <w:bottom w:val="none" w:sz="0" w:space="0" w:color="auto"/>
            <w:right w:val="none" w:sz="0" w:space="0" w:color="auto"/>
          </w:divBdr>
        </w:div>
        <w:div w:id="71">
          <w:marLeft w:val="274"/>
          <w:marRight w:val="0"/>
          <w:marTop w:val="0"/>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9396078">
      <w:bodyDiv w:val="1"/>
      <w:marLeft w:val="0"/>
      <w:marRight w:val="0"/>
      <w:marTop w:val="0"/>
      <w:marBottom w:val="0"/>
      <w:divBdr>
        <w:top w:val="none" w:sz="0" w:space="0" w:color="auto"/>
        <w:left w:val="none" w:sz="0" w:space="0" w:color="auto"/>
        <w:bottom w:val="none" w:sz="0" w:space="0" w:color="auto"/>
        <w:right w:val="none" w:sz="0" w:space="0" w:color="auto"/>
      </w:divBdr>
    </w:div>
    <w:div w:id="254948098">
      <w:bodyDiv w:val="1"/>
      <w:marLeft w:val="0"/>
      <w:marRight w:val="0"/>
      <w:marTop w:val="0"/>
      <w:marBottom w:val="0"/>
      <w:divBdr>
        <w:top w:val="none" w:sz="0" w:space="0" w:color="auto"/>
        <w:left w:val="none" w:sz="0" w:space="0" w:color="auto"/>
        <w:bottom w:val="none" w:sz="0" w:space="0" w:color="auto"/>
        <w:right w:val="none" w:sz="0" w:space="0" w:color="auto"/>
      </w:divBdr>
    </w:div>
    <w:div w:id="265424392">
      <w:bodyDiv w:val="1"/>
      <w:marLeft w:val="0"/>
      <w:marRight w:val="0"/>
      <w:marTop w:val="0"/>
      <w:marBottom w:val="0"/>
      <w:divBdr>
        <w:top w:val="none" w:sz="0" w:space="0" w:color="auto"/>
        <w:left w:val="none" w:sz="0" w:space="0" w:color="auto"/>
        <w:bottom w:val="none" w:sz="0" w:space="0" w:color="auto"/>
        <w:right w:val="none" w:sz="0" w:space="0" w:color="auto"/>
      </w:divBdr>
      <w:divsChild>
        <w:div w:id="2071071166">
          <w:marLeft w:val="274"/>
          <w:marRight w:val="0"/>
          <w:marTop w:val="0"/>
          <w:marBottom w:val="0"/>
          <w:divBdr>
            <w:top w:val="none" w:sz="0" w:space="0" w:color="auto"/>
            <w:left w:val="none" w:sz="0" w:space="0" w:color="auto"/>
            <w:bottom w:val="none" w:sz="0" w:space="0" w:color="auto"/>
            <w:right w:val="none" w:sz="0" w:space="0" w:color="auto"/>
          </w:divBdr>
        </w:div>
        <w:div w:id="998340610">
          <w:marLeft w:val="274"/>
          <w:marRight w:val="0"/>
          <w:marTop w:val="0"/>
          <w:marBottom w:val="0"/>
          <w:divBdr>
            <w:top w:val="none" w:sz="0" w:space="0" w:color="auto"/>
            <w:left w:val="none" w:sz="0" w:space="0" w:color="auto"/>
            <w:bottom w:val="none" w:sz="0" w:space="0" w:color="auto"/>
            <w:right w:val="none" w:sz="0" w:space="0" w:color="auto"/>
          </w:divBdr>
        </w:div>
        <w:div w:id="626356145">
          <w:marLeft w:val="274"/>
          <w:marRight w:val="0"/>
          <w:marTop w:val="0"/>
          <w:marBottom w:val="0"/>
          <w:divBdr>
            <w:top w:val="none" w:sz="0" w:space="0" w:color="auto"/>
            <w:left w:val="none" w:sz="0" w:space="0" w:color="auto"/>
            <w:bottom w:val="none" w:sz="0" w:space="0" w:color="auto"/>
            <w:right w:val="none" w:sz="0" w:space="0" w:color="auto"/>
          </w:divBdr>
        </w:div>
      </w:divsChild>
    </w:div>
    <w:div w:id="315915490">
      <w:bodyDiv w:val="1"/>
      <w:marLeft w:val="0"/>
      <w:marRight w:val="0"/>
      <w:marTop w:val="0"/>
      <w:marBottom w:val="0"/>
      <w:divBdr>
        <w:top w:val="none" w:sz="0" w:space="0" w:color="auto"/>
        <w:left w:val="none" w:sz="0" w:space="0" w:color="auto"/>
        <w:bottom w:val="none" w:sz="0" w:space="0" w:color="auto"/>
        <w:right w:val="none" w:sz="0" w:space="0" w:color="auto"/>
      </w:divBdr>
    </w:div>
    <w:div w:id="358749425">
      <w:bodyDiv w:val="1"/>
      <w:marLeft w:val="0"/>
      <w:marRight w:val="0"/>
      <w:marTop w:val="0"/>
      <w:marBottom w:val="0"/>
      <w:divBdr>
        <w:top w:val="none" w:sz="0" w:space="0" w:color="auto"/>
        <w:left w:val="none" w:sz="0" w:space="0" w:color="auto"/>
        <w:bottom w:val="none" w:sz="0" w:space="0" w:color="auto"/>
        <w:right w:val="none" w:sz="0" w:space="0" w:color="auto"/>
      </w:divBdr>
    </w:div>
    <w:div w:id="445930685">
      <w:bodyDiv w:val="1"/>
      <w:marLeft w:val="0"/>
      <w:marRight w:val="0"/>
      <w:marTop w:val="0"/>
      <w:marBottom w:val="0"/>
      <w:divBdr>
        <w:top w:val="none" w:sz="0" w:space="0" w:color="auto"/>
        <w:left w:val="none" w:sz="0" w:space="0" w:color="auto"/>
        <w:bottom w:val="none" w:sz="0" w:space="0" w:color="auto"/>
        <w:right w:val="none" w:sz="0" w:space="0" w:color="auto"/>
      </w:divBdr>
      <w:divsChild>
        <w:div w:id="2008434413">
          <w:marLeft w:val="346"/>
          <w:marRight w:val="0"/>
          <w:marTop w:val="67"/>
          <w:marBottom w:val="240"/>
          <w:divBdr>
            <w:top w:val="none" w:sz="0" w:space="0" w:color="auto"/>
            <w:left w:val="none" w:sz="0" w:space="0" w:color="auto"/>
            <w:bottom w:val="none" w:sz="0" w:space="0" w:color="auto"/>
            <w:right w:val="none" w:sz="0" w:space="0" w:color="auto"/>
          </w:divBdr>
        </w:div>
        <w:div w:id="1305700544">
          <w:marLeft w:val="346"/>
          <w:marRight w:val="0"/>
          <w:marTop w:val="67"/>
          <w:marBottom w:val="240"/>
          <w:divBdr>
            <w:top w:val="none" w:sz="0" w:space="0" w:color="auto"/>
            <w:left w:val="none" w:sz="0" w:space="0" w:color="auto"/>
            <w:bottom w:val="none" w:sz="0" w:space="0" w:color="auto"/>
            <w:right w:val="none" w:sz="0" w:space="0" w:color="auto"/>
          </w:divBdr>
        </w:div>
        <w:div w:id="1187334061">
          <w:marLeft w:val="346"/>
          <w:marRight w:val="0"/>
          <w:marTop w:val="67"/>
          <w:marBottom w:val="240"/>
          <w:divBdr>
            <w:top w:val="none" w:sz="0" w:space="0" w:color="auto"/>
            <w:left w:val="none" w:sz="0" w:space="0" w:color="auto"/>
            <w:bottom w:val="none" w:sz="0" w:space="0" w:color="auto"/>
            <w:right w:val="none" w:sz="0" w:space="0" w:color="auto"/>
          </w:divBdr>
        </w:div>
        <w:div w:id="1094667440">
          <w:marLeft w:val="346"/>
          <w:marRight w:val="0"/>
          <w:marTop w:val="67"/>
          <w:marBottom w:val="240"/>
          <w:divBdr>
            <w:top w:val="none" w:sz="0" w:space="0" w:color="auto"/>
            <w:left w:val="none" w:sz="0" w:space="0" w:color="auto"/>
            <w:bottom w:val="none" w:sz="0" w:space="0" w:color="auto"/>
            <w:right w:val="none" w:sz="0" w:space="0" w:color="auto"/>
          </w:divBdr>
        </w:div>
        <w:div w:id="643974556">
          <w:marLeft w:val="346"/>
          <w:marRight w:val="0"/>
          <w:marTop w:val="67"/>
          <w:marBottom w:val="240"/>
          <w:divBdr>
            <w:top w:val="none" w:sz="0" w:space="0" w:color="auto"/>
            <w:left w:val="none" w:sz="0" w:space="0" w:color="auto"/>
            <w:bottom w:val="none" w:sz="0" w:space="0" w:color="auto"/>
            <w:right w:val="none" w:sz="0" w:space="0" w:color="auto"/>
          </w:divBdr>
        </w:div>
      </w:divsChild>
    </w:div>
    <w:div w:id="479228361">
      <w:bodyDiv w:val="1"/>
      <w:marLeft w:val="0"/>
      <w:marRight w:val="0"/>
      <w:marTop w:val="0"/>
      <w:marBottom w:val="0"/>
      <w:divBdr>
        <w:top w:val="none" w:sz="0" w:space="0" w:color="auto"/>
        <w:left w:val="none" w:sz="0" w:space="0" w:color="auto"/>
        <w:bottom w:val="none" w:sz="0" w:space="0" w:color="auto"/>
        <w:right w:val="none" w:sz="0" w:space="0" w:color="auto"/>
      </w:divBdr>
    </w:div>
    <w:div w:id="560136218">
      <w:bodyDiv w:val="1"/>
      <w:marLeft w:val="0"/>
      <w:marRight w:val="0"/>
      <w:marTop w:val="0"/>
      <w:marBottom w:val="0"/>
      <w:divBdr>
        <w:top w:val="none" w:sz="0" w:space="0" w:color="auto"/>
        <w:left w:val="none" w:sz="0" w:space="0" w:color="auto"/>
        <w:bottom w:val="none" w:sz="0" w:space="0" w:color="auto"/>
        <w:right w:val="none" w:sz="0" w:space="0" w:color="auto"/>
      </w:divBdr>
    </w:div>
    <w:div w:id="656960605">
      <w:bodyDiv w:val="1"/>
      <w:marLeft w:val="0"/>
      <w:marRight w:val="0"/>
      <w:marTop w:val="0"/>
      <w:marBottom w:val="0"/>
      <w:divBdr>
        <w:top w:val="none" w:sz="0" w:space="0" w:color="auto"/>
        <w:left w:val="none" w:sz="0" w:space="0" w:color="auto"/>
        <w:bottom w:val="none" w:sz="0" w:space="0" w:color="auto"/>
        <w:right w:val="none" w:sz="0" w:space="0" w:color="auto"/>
      </w:divBdr>
    </w:div>
    <w:div w:id="671879891">
      <w:bodyDiv w:val="1"/>
      <w:marLeft w:val="0"/>
      <w:marRight w:val="0"/>
      <w:marTop w:val="0"/>
      <w:marBottom w:val="0"/>
      <w:divBdr>
        <w:top w:val="none" w:sz="0" w:space="0" w:color="auto"/>
        <w:left w:val="none" w:sz="0" w:space="0" w:color="auto"/>
        <w:bottom w:val="none" w:sz="0" w:space="0" w:color="auto"/>
        <w:right w:val="none" w:sz="0" w:space="0" w:color="auto"/>
      </w:divBdr>
      <w:divsChild>
        <w:div w:id="1157309467">
          <w:marLeft w:val="0"/>
          <w:marRight w:val="0"/>
          <w:marTop w:val="0"/>
          <w:marBottom w:val="0"/>
          <w:divBdr>
            <w:top w:val="none" w:sz="0" w:space="0" w:color="auto"/>
            <w:left w:val="none" w:sz="0" w:space="0" w:color="auto"/>
            <w:bottom w:val="none" w:sz="0" w:space="0" w:color="auto"/>
            <w:right w:val="none" w:sz="0" w:space="0" w:color="auto"/>
          </w:divBdr>
          <w:divsChild>
            <w:div w:id="2092119449">
              <w:marLeft w:val="0"/>
              <w:marRight w:val="0"/>
              <w:marTop w:val="0"/>
              <w:marBottom w:val="0"/>
              <w:divBdr>
                <w:top w:val="none" w:sz="0" w:space="0" w:color="auto"/>
                <w:left w:val="none" w:sz="0" w:space="0" w:color="auto"/>
                <w:bottom w:val="none" w:sz="0" w:space="0" w:color="auto"/>
                <w:right w:val="none" w:sz="0" w:space="0" w:color="auto"/>
              </w:divBdr>
              <w:divsChild>
                <w:div w:id="753237539">
                  <w:marLeft w:val="0"/>
                  <w:marRight w:val="0"/>
                  <w:marTop w:val="0"/>
                  <w:marBottom w:val="0"/>
                  <w:divBdr>
                    <w:top w:val="none" w:sz="0" w:space="0" w:color="auto"/>
                    <w:left w:val="none" w:sz="0" w:space="0" w:color="auto"/>
                    <w:bottom w:val="none" w:sz="0" w:space="0" w:color="auto"/>
                    <w:right w:val="none" w:sz="0" w:space="0" w:color="auto"/>
                  </w:divBdr>
                  <w:divsChild>
                    <w:div w:id="1266692217">
                      <w:marLeft w:val="0"/>
                      <w:marRight w:val="0"/>
                      <w:marTop w:val="0"/>
                      <w:marBottom w:val="0"/>
                      <w:divBdr>
                        <w:top w:val="none" w:sz="0" w:space="0" w:color="auto"/>
                        <w:left w:val="none" w:sz="0" w:space="0" w:color="auto"/>
                        <w:bottom w:val="none" w:sz="0" w:space="0" w:color="auto"/>
                        <w:right w:val="none" w:sz="0" w:space="0" w:color="auto"/>
                      </w:divBdr>
                      <w:divsChild>
                        <w:div w:id="118501705">
                          <w:marLeft w:val="0"/>
                          <w:marRight w:val="0"/>
                          <w:marTop w:val="0"/>
                          <w:marBottom w:val="0"/>
                          <w:divBdr>
                            <w:top w:val="none" w:sz="0" w:space="0" w:color="auto"/>
                            <w:left w:val="none" w:sz="0" w:space="0" w:color="auto"/>
                            <w:bottom w:val="none" w:sz="0" w:space="0" w:color="auto"/>
                            <w:right w:val="none" w:sz="0" w:space="0" w:color="auto"/>
                          </w:divBdr>
                          <w:divsChild>
                            <w:div w:id="1693720251">
                              <w:marLeft w:val="0"/>
                              <w:marRight w:val="0"/>
                              <w:marTop w:val="0"/>
                              <w:marBottom w:val="0"/>
                              <w:divBdr>
                                <w:top w:val="none" w:sz="0" w:space="0" w:color="auto"/>
                                <w:left w:val="none" w:sz="0" w:space="0" w:color="auto"/>
                                <w:bottom w:val="none" w:sz="0" w:space="0" w:color="auto"/>
                                <w:right w:val="none" w:sz="0" w:space="0" w:color="auto"/>
                              </w:divBdr>
                              <w:divsChild>
                                <w:div w:id="1996107625">
                                  <w:marLeft w:val="0"/>
                                  <w:marRight w:val="0"/>
                                  <w:marTop w:val="0"/>
                                  <w:marBottom w:val="0"/>
                                  <w:divBdr>
                                    <w:top w:val="none" w:sz="0" w:space="0" w:color="auto"/>
                                    <w:left w:val="none" w:sz="0" w:space="0" w:color="auto"/>
                                    <w:bottom w:val="none" w:sz="0" w:space="0" w:color="auto"/>
                                    <w:right w:val="none" w:sz="0" w:space="0" w:color="auto"/>
                                  </w:divBdr>
                                  <w:divsChild>
                                    <w:div w:id="86003437">
                                      <w:marLeft w:val="0"/>
                                      <w:marRight w:val="0"/>
                                      <w:marTop w:val="0"/>
                                      <w:marBottom w:val="0"/>
                                      <w:divBdr>
                                        <w:top w:val="none" w:sz="0" w:space="0" w:color="auto"/>
                                        <w:left w:val="none" w:sz="0" w:space="0" w:color="auto"/>
                                        <w:bottom w:val="none" w:sz="0" w:space="0" w:color="auto"/>
                                        <w:right w:val="none" w:sz="0" w:space="0" w:color="auto"/>
                                      </w:divBdr>
                                      <w:divsChild>
                                        <w:div w:id="7202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216463">
      <w:bodyDiv w:val="1"/>
      <w:marLeft w:val="0"/>
      <w:marRight w:val="0"/>
      <w:marTop w:val="0"/>
      <w:marBottom w:val="0"/>
      <w:divBdr>
        <w:top w:val="none" w:sz="0" w:space="0" w:color="auto"/>
        <w:left w:val="none" w:sz="0" w:space="0" w:color="auto"/>
        <w:bottom w:val="none" w:sz="0" w:space="0" w:color="auto"/>
        <w:right w:val="none" w:sz="0" w:space="0" w:color="auto"/>
      </w:divBdr>
    </w:div>
    <w:div w:id="809635832">
      <w:bodyDiv w:val="1"/>
      <w:marLeft w:val="0"/>
      <w:marRight w:val="0"/>
      <w:marTop w:val="0"/>
      <w:marBottom w:val="0"/>
      <w:divBdr>
        <w:top w:val="none" w:sz="0" w:space="0" w:color="auto"/>
        <w:left w:val="none" w:sz="0" w:space="0" w:color="auto"/>
        <w:bottom w:val="none" w:sz="0" w:space="0" w:color="auto"/>
        <w:right w:val="none" w:sz="0" w:space="0" w:color="auto"/>
      </w:divBdr>
      <w:divsChild>
        <w:div w:id="193614695">
          <w:marLeft w:val="274"/>
          <w:marRight w:val="0"/>
          <w:marTop w:val="0"/>
          <w:marBottom w:val="0"/>
          <w:divBdr>
            <w:top w:val="none" w:sz="0" w:space="0" w:color="auto"/>
            <w:left w:val="none" w:sz="0" w:space="0" w:color="auto"/>
            <w:bottom w:val="none" w:sz="0" w:space="0" w:color="auto"/>
            <w:right w:val="none" w:sz="0" w:space="0" w:color="auto"/>
          </w:divBdr>
        </w:div>
      </w:divsChild>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28248273">
      <w:bodyDiv w:val="1"/>
      <w:marLeft w:val="0"/>
      <w:marRight w:val="0"/>
      <w:marTop w:val="0"/>
      <w:marBottom w:val="0"/>
      <w:divBdr>
        <w:top w:val="none" w:sz="0" w:space="0" w:color="auto"/>
        <w:left w:val="none" w:sz="0" w:space="0" w:color="auto"/>
        <w:bottom w:val="none" w:sz="0" w:space="0" w:color="auto"/>
        <w:right w:val="none" w:sz="0" w:space="0" w:color="auto"/>
      </w:divBdr>
      <w:divsChild>
        <w:div w:id="583491425">
          <w:marLeft w:val="0"/>
          <w:marRight w:val="0"/>
          <w:marTop w:val="0"/>
          <w:marBottom w:val="0"/>
          <w:divBdr>
            <w:top w:val="none" w:sz="0" w:space="0" w:color="auto"/>
            <w:left w:val="none" w:sz="0" w:space="0" w:color="auto"/>
            <w:bottom w:val="none" w:sz="0" w:space="0" w:color="auto"/>
            <w:right w:val="none" w:sz="0" w:space="0" w:color="auto"/>
          </w:divBdr>
          <w:divsChild>
            <w:div w:id="1488399494">
              <w:marLeft w:val="0"/>
              <w:marRight w:val="0"/>
              <w:marTop w:val="0"/>
              <w:marBottom w:val="0"/>
              <w:divBdr>
                <w:top w:val="none" w:sz="0" w:space="0" w:color="auto"/>
                <w:left w:val="none" w:sz="0" w:space="0" w:color="auto"/>
                <w:bottom w:val="none" w:sz="0" w:space="0" w:color="auto"/>
                <w:right w:val="none" w:sz="0" w:space="0" w:color="auto"/>
              </w:divBdr>
              <w:divsChild>
                <w:div w:id="610624801">
                  <w:marLeft w:val="0"/>
                  <w:marRight w:val="0"/>
                  <w:marTop w:val="0"/>
                  <w:marBottom w:val="0"/>
                  <w:divBdr>
                    <w:top w:val="none" w:sz="0" w:space="0" w:color="auto"/>
                    <w:left w:val="none" w:sz="0" w:space="0" w:color="auto"/>
                    <w:bottom w:val="none" w:sz="0" w:space="0" w:color="auto"/>
                    <w:right w:val="none" w:sz="0" w:space="0" w:color="auto"/>
                  </w:divBdr>
                  <w:divsChild>
                    <w:div w:id="197549520">
                      <w:marLeft w:val="0"/>
                      <w:marRight w:val="0"/>
                      <w:marTop w:val="0"/>
                      <w:marBottom w:val="0"/>
                      <w:divBdr>
                        <w:top w:val="none" w:sz="0" w:space="0" w:color="auto"/>
                        <w:left w:val="none" w:sz="0" w:space="0" w:color="auto"/>
                        <w:bottom w:val="none" w:sz="0" w:space="0" w:color="auto"/>
                        <w:right w:val="none" w:sz="0" w:space="0" w:color="auto"/>
                      </w:divBdr>
                      <w:divsChild>
                        <w:div w:id="1804804789">
                          <w:marLeft w:val="0"/>
                          <w:marRight w:val="0"/>
                          <w:marTop w:val="0"/>
                          <w:marBottom w:val="0"/>
                          <w:divBdr>
                            <w:top w:val="none" w:sz="0" w:space="0" w:color="auto"/>
                            <w:left w:val="none" w:sz="0" w:space="0" w:color="auto"/>
                            <w:bottom w:val="none" w:sz="0" w:space="0" w:color="auto"/>
                            <w:right w:val="none" w:sz="0" w:space="0" w:color="auto"/>
                          </w:divBdr>
                          <w:divsChild>
                            <w:div w:id="17055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254494">
      <w:bodyDiv w:val="1"/>
      <w:marLeft w:val="0"/>
      <w:marRight w:val="0"/>
      <w:marTop w:val="0"/>
      <w:marBottom w:val="0"/>
      <w:divBdr>
        <w:top w:val="none" w:sz="0" w:space="0" w:color="auto"/>
        <w:left w:val="none" w:sz="0" w:space="0" w:color="auto"/>
        <w:bottom w:val="none" w:sz="0" w:space="0" w:color="auto"/>
        <w:right w:val="none" w:sz="0" w:space="0" w:color="auto"/>
      </w:divBdr>
    </w:div>
    <w:div w:id="1048994010">
      <w:bodyDiv w:val="1"/>
      <w:marLeft w:val="0"/>
      <w:marRight w:val="0"/>
      <w:marTop w:val="0"/>
      <w:marBottom w:val="0"/>
      <w:divBdr>
        <w:top w:val="none" w:sz="0" w:space="0" w:color="auto"/>
        <w:left w:val="none" w:sz="0" w:space="0" w:color="auto"/>
        <w:bottom w:val="none" w:sz="0" w:space="0" w:color="auto"/>
        <w:right w:val="none" w:sz="0" w:space="0" w:color="auto"/>
      </w:divBdr>
    </w:div>
    <w:div w:id="1066999512">
      <w:bodyDiv w:val="1"/>
      <w:marLeft w:val="0"/>
      <w:marRight w:val="0"/>
      <w:marTop w:val="0"/>
      <w:marBottom w:val="0"/>
      <w:divBdr>
        <w:top w:val="none" w:sz="0" w:space="0" w:color="auto"/>
        <w:left w:val="none" w:sz="0" w:space="0" w:color="auto"/>
        <w:bottom w:val="none" w:sz="0" w:space="0" w:color="auto"/>
        <w:right w:val="none" w:sz="0" w:space="0" w:color="auto"/>
      </w:divBdr>
    </w:div>
    <w:div w:id="1134642089">
      <w:bodyDiv w:val="1"/>
      <w:marLeft w:val="0"/>
      <w:marRight w:val="0"/>
      <w:marTop w:val="0"/>
      <w:marBottom w:val="0"/>
      <w:divBdr>
        <w:top w:val="none" w:sz="0" w:space="0" w:color="auto"/>
        <w:left w:val="none" w:sz="0" w:space="0" w:color="auto"/>
        <w:bottom w:val="none" w:sz="0" w:space="0" w:color="auto"/>
        <w:right w:val="none" w:sz="0" w:space="0" w:color="auto"/>
      </w:divBdr>
    </w:div>
    <w:div w:id="1268543074">
      <w:bodyDiv w:val="1"/>
      <w:marLeft w:val="0"/>
      <w:marRight w:val="0"/>
      <w:marTop w:val="0"/>
      <w:marBottom w:val="0"/>
      <w:divBdr>
        <w:top w:val="none" w:sz="0" w:space="0" w:color="auto"/>
        <w:left w:val="none" w:sz="0" w:space="0" w:color="auto"/>
        <w:bottom w:val="none" w:sz="0" w:space="0" w:color="auto"/>
        <w:right w:val="none" w:sz="0" w:space="0" w:color="auto"/>
      </w:divBdr>
    </w:div>
    <w:div w:id="1280377307">
      <w:bodyDiv w:val="1"/>
      <w:marLeft w:val="0"/>
      <w:marRight w:val="0"/>
      <w:marTop w:val="0"/>
      <w:marBottom w:val="0"/>
      <w:divBdr>
        <w:top w:val="none" w:sz="0" w:space="0" w:color="auto"/>
        <w:left w:val="none" w:sz="0" w:space="0" w:color="auto"/>
        <w:bottom w:val="none" w:sz="0" w:space="0" w:color="auto"/>
        <w:right w:val="none" w:sz="0" w:space="0" w:color="auto"/>
      </w:divBdr>
    </w:div>
    <w:div w:id="1303461880">
      <w:bodyDiv w:val="1"/>
      <w:marLeft w:val="0"/>
      <w:marRight w:val="0"/>
      <w:marTop w:val="0"/>
      <w:marBottom w:val="0"/>
      <w:divBdr>
        <w:top w:val="none" w:sz="0" w:space="0" w:color="auto"/>
        <w:left w:val="none" w:sz="0" w:space="0" w:color="auto"/>
        <w:bottom w:val="none" w:sz="0" w:space="0" w:color="auto"/>
        <w:right w:val="none" w:sz="0" w:space="0" w:color="auto"/>
      </w:divBdr>
    </w:div>
    <w:div w:id="1337273297">
      <w:bodyDiv w:val="1"/>
      <w:marLeft w:val="0"/>
      <w:marRight w:val="0"/>
      <w:marTop w:val="0"/>
      <w:marBottom w:val="0"/>
      <w:divBdr>
        <w:top w:val="none" w:sz="0" w:space="0" w:color="auto"/>
        <w:left w:val="none" w:sz="0" w:space="0" w:color="auto"/>
        <w:bottom w:val="none" w:sz="0" w:space="0" w:color="auto"/>
        <w:right w:val="none" w:sz="0" w:space="0" w:color="auto"/>
      </w:divBdr>
    </w:div>
    <w:div w:id="1418094004">
      <w:bodyDiv w:val="1"/>
      <w:marLeft w:val="0"/>
      <w:marRight w:val="0"/>
      <w:marTop w:val="0"/>
      <w:marBottom w:val="0"/>
      <w:divBdr>
        <w:top w:val="none" w:sz="0" w:space="0" w:color="auto"/>
        <w:left w:val="none" w:sz="0" w:space="0" w:color="auto"/>
        <w:bottom w:val="none" w:sz="0" w:space="0" w:color="auto"/>
        <w:right w:val="none" w:sz="0" w:space="0" w:color="auto"/>
      </w:divBdr>
    </w:div>
    <w:div w:id="1459764722">
      <w:bodyDiv w:val="1"/>
      <w:marLeft w:val="0"/>
      <w:marRight w:val="0"/>
      <w:marTop w:val="0"/>
      <w:marBottom w:val="0"/>
      <w:divBdr>
        <w:top w:val="none" w:sz="0" w:space="0" w:color="auto"/>
        <w:left w:val="none" w:sz="0" w:space="0" w:color="auto"/>
        <w:bottom w:val="none" w:sz="0" w:space="0" w:color="auto"/>
        <w:right w:val="none" w:sz="0" w:space="0" w:color="auto"/>
      </w:divBdr>
    </w:div>
    <w:div w:id="1484199913">
      <w:bodyDiv w:val="1"/>
      <w:marLeft w:val="0"/>
      <w:marRight w:val="0"/>
      <w:marTop w:val="0"/>
      <w:marBottom w:val="0"/>
      <w:divBdr>
        <w:top w:val="none" w:sz="0" w:space="0" w:color="auto"/>
        <w:left w:val="none" w:sz="0" w:space="0" w:color="auto"/>
        <w:bottom w:val="none" w:sz="0" w:space="0" w:color="auto"/>
        <w:right w:val="none" w:sz="0" w:space="0" w:color="auto"/>
      </w:divBdr>
    </w:div>
    <w:div w:id="1515611088">
      <w:bodyDiv w:val="1"/>
      <w:marLeft w:val="0"/>
      <w:marRight w:val="0"/>
      <w:marTop w:val="0"/>
      <w:marBottom w:val="0"/>
      <w:divBdr>
        <w:top w:val="none" w:sz="0" w:space="0" w:color="auto"/>
        <w:left w:val="none" w:sz="0" w:space="0" w:color="auto"/>
        <w:bottom w:val="none" w:sz="0" w:space="0" w:color="auto"/>
        <w:right w:val="none" w:sz="0" w:space="0" w:color="auto"/>
      </w:divBdr>
      <w:divsChild>
        <w:div w:id="2019379334">
          <w:marLeft w:val="0"/>
          <w:marRight w:val="0"/>
          <w:marTop w:val="0"/>
          <w:marBottom w:val="0"/>
          <w:divBdr>
            <w:top w:val="none" w:sz="0" w:space="0" w:color="auto"/>
            <w:left w:val="none" w:sz="0" w:space="0" w:color="auto"/>
            <w:bottom w:val="none" w:sz="0" w:space="0" w:color="auto"/>
            <w:right w:val="none" w:sz="0" w:space="0" w:color="auto"/>
          </w:divBdr>
          <w:divsChild>
            <w:div w:id="816918835">
              <w:marLeft w:val="0"/>
              <w:marRight w:val="0"/>
              <w:marTop w:val="0"/>
              <w:marBottom w:val="0"/>
              <w:divBdr>
                <w:top w:val="none" w:sz="0" w:space="0" w:color="auto"/>
                <w:left w:val="none" w:sz="0" w:space="0" w:color="auto"/>
                <w:bottom w:val="none" w:sz="0" w:space="0" w:color="auto"/>
                <w:right w:val="none" w:sz="0" w:space="0" w:color="auto"/>
              </w:divBdr>
              <w:divsChild>
                <w:div w:id="54820390">
                  <w:marLeft w:val="0"/>
                  <w:marRight w:val="0"/>
                  <w:marTop w:val="0"/>
                  <w:marBottom w:val="0"/>
                  <w:divBdr>
                    <w:top w:val="none" w:sz="0" w:space="0" w:color="auto"/>
                    <w:left w:val="none" w:sz="0" w:space="0" w:color="auto"/>
                    <w:bottom w:val="none" w:sz="0" w:space="0" w:color="auto"/>
                    <w:right w:val="none" w:sz="0" w:space="0" w:color="auto"/>
                  </w:divBdr>
                  <w:divsChild>
                    <w:div w:id="5539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1821">
      <w:bodyDiv w:val="1"/>
      <w:marLeft w:val="0"/>
      <w:marRight w:val="0"/>
      <w:marTop w:val="0"/>
      <w:marBottom w:val="0"/>
      <w:divBdr>
        <w:top w:val="none" w:sz="0" w:space="0" w:color="auto"/>
        <w:left w:val="none" w:sz="0" w:space="0" w:color="auto"/>
        <w:bottom w:val="none" w:sz="0" w:space="0" w:color="auto"/>
        <w:right w:val="none" w:sz="0" w:space="0" w:color="auto"/>
      </w:divBdr>
      <w:divsChild>
        <w:div w:id="1370374491">
          <w:marLeft w:val="274"/>
          <w:marRight w:val="0"/>
          <w:marTop w:val="60"/>
          <w:marBottom w:val="60"/>
          <w:divBdr>
            <w:top w:val="none" w:sz="0" w:space="0" w:color="auto"/>
            <w:left w:val="none" w:sz="0" w:space="0" w:color="auto"/>
            <w:bottom w:val="none" w:sz="0" w:space="0" w:color="auto"/>
            <w:right w:val="none" w:sz="0" w:space="0" w:color="auto"/>
          </w:divBdr>
        </w:div>
        <w:div w:id="337923915">
          <w:marLeft w:val="274"/>
          <w:marRight w:val="0"/>
          <w:marTop w:val="60"/>
          <w:marBottom w:val="60"/>
          <w:divBdr>
            <w:top w:val="none" w:sz="0" w:space="0" w:color="auto"/>
            <w:left w:val="none" w:sz="0" w:space="0" w:color="auto"/>
            <w:bottom w:val="none" w:sz="0" w:space="0" w:color="auto"/>
            <w:right w:val="none" w:sz="0" w:space="0" w:color="auto"/>
          </w:divBdr>
        </w:div>
        <w:div w:id="1691685089">
          <w:marLeft w:val="274"/>
          <w:marRight w:val="0"/>
          <w:marTop w:val="60"/>
          <w:marBottom w:val="60"/>
          <w:divBdr>
            <w:top w:val="none" w:sz="0" w:space="0" w:color="auto"/>
            <w:left w:val="none" w:sz="0" w:space="0" w:color="auto"/>
            <w:bottom w:val="none" w:sz="0" w:space="0" w:color="auto"/>
            <w:right w:val="none" w:sz="0" w:space="0" w:color="auto"/>
          </w:divBdr>
        </w:div>
        <w:div w:id="1125275089">
          <w:marLeft w:val="274"/>
          <w:marRight w:val="0"/>
          <w:marTop w:val="60"/>
          <w:marBottom w:val="60"/>
          <w:divBdr>
            <w:top w:val="none" w:sz="0" w:space="0" w:color="auto"/>
            <w:left w:val="none" w:sz="0" w:space="0" w:color="auto"/>
            <w:bottom w:val="none" w:sz="0" w:space="0" w:color="auto"/>
            <w:right w:val="none" w:sz="0" w:space="0" w:color="auto"/>
          </w:divBdr>
        </w:div>
      </w:divsChild>
    </w:div>
    <w:div w:id="1563712405">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00065321">
      <w:bodyDiv w:val="1"/>
      <w:marLeft w:val="0"/>
      <w:marRight w:val="0"/>
      <w:marTop w:val="0"/>
      <w:marBottom w:val="0"/>
      <w:divBdr>
        <w:top w:val="none" w:sz="0" w:space="0" w:color="auto"/>
        <w:left w:val="none" w:sz="0" w:space="0" w:color="auto"/>
        <w:bottom w:val="none" w:sz="0" w:space="0" w:color="auto"/>
        <w:right w:val="none" w:sz="0" w:space="0" w:color="auto"/>
      </w:divBdr>
      <w:divsChild>
        <w:div w:id="1407220886">
          <w:marLeft w:val="274"/>
          <w:marRight w:val="0"/>
          <w:marTop w:val="0"/>
          <w:marBottom w:val="0"/>
          <w:divBdr>
            <w:top w:val="none" w:sz="0" w:space="0" w:color="auto"/>
            <w:left w:val="none" w:sz="0" w:space="0" w:color="auto"/>
            <w:bottom w:val="none" w:sz="0" w:space="0" w:color="auto"/>
            <w:right w:val="none" w:sz="0" w:space="0" w:color="auto"/>
          </w:divBdr>
        </w:div>
        <w:div w:id="36778807">
          <w:marLeft w:val="274"/>
          <w:marRight w:val="0"/>
          <w:marTop w:val="0"/>
          <w:marBottom w:val="0"/>
          <w:divBdr>
            <w:top w:val="none" w:sz="0" w:space="0" w:color="auto"/>
            <w:left w:val="none" w:sz="0" w:space="0" w:color="auto"/>
            <w:bottom w:val="none" w:sz="0" w:space="0" w:color="auto"/>
            <w:right w:val="none" w:sz="0" w:space="0" w:color="auto"/>
          </w:divBdr>
        </w:div>
      </w:divsChild>
    </w:div>
    <w:div w:id="1655599911">
      <w:bodyDiv w:val="1"/>
      <w:marLeft w:val="0"/>
      <w:marRight w:val="0"/>
      <w:marTop w:val="0"/>
      <w:marBottom w:val="0"/>
      <w:divBdr>
        <w:top w:val="none" w:sz="0" w:space="0" w:color="auto"/>
        <w:left w:val="none" w:sz="0" w:space="0" w:color="auto"/>
        <w:bottom w:val="none" w:sz="0" w:space="0" w:color="auto"/>
        <w:right w:val="none" w:sz="0" w:space="0" w:color="auto"/>
      </w:divBdr>
      <w:divsChild>
        <w:div w:id="1384329766">
          <w:marLeft w:val="274"/>
          <w:marRight w:val="0"/>
          <w:marTop w:val="60"/>
          <w:marBottom w:val="60"/>
          <w:divBdr>
            <w:top w:val="none" w:sz="0" w:space="0" w:color="auto"/>
            <w:left w:val="none" w:sz="0" w:space="0" w:color="auto"/>
            <w:bottom w:val="none" w:sz="0" w:space="0" w:color="auto"/>
            <w:right w:val="none" w:sz="0" w:space="0" w:color="auto"/>
          </w:divBdr>
        </w:div>
        <w:div w:id="1520435525">
          <w:marLeft w:val="274"/>
          <w:marRight w:val="0"/>
          <w:marTop w:val="60"/>
          <w:marBottom w:val="60"/>
          <w:divBdr>
            <w:top w:val="none" w:sz="0" w:space="0" w:color="auto"/>
            <w:left w:val="none" w:sz="0" w:space="0" w:color="auto"/>
            <w:bottom w:val="none" w:sz="0" w:space="0" w:color="auto"/>
            <w:right w:val="none" w:sz="0" w:space="0" w:color="auto"/>
          </w:divBdr>
        </w:div>
        <w:div w:id="100228160">
          <w:marLeft w:val="274"/>
          <w:marRight w:val="0"/>
          <w:marTop w:val="60"/>
          <w:marBottom w:val="60"/>
          <w:divBdr>
            <w:top w:val="none" w:sz="0" w:space="0" w:color="auto"/>
            <w:left w:val="none" w:sz="0" w:space="0" w:color="auto"/>
            <w:bottom w:val="none" w:sz="0" w:space="0" w:color="auto"/>
            <w:right w:val="none" w:sz="0" w:space="0" w:color="auto"/>
          </w:divBdr>
        </w:div>
        <w:div w:id="1988624710">
          <w:marLeft w:val="274"/>
          <w:marRight w:val="0"/>
          <w:marTop w:val="60"/>
          <w:marBottom w:val="60"/>
          <w:divBdr>
            <w:top w:val="none" w:sz="0" w:space="0" w:color="auto"/>
            <w:left w:val="none" w:sz="0" w:space="0" w:color="auto"/>
            <w:bottom w:val="none" w:sz="0" w:space="0" w:color="auto"/>
            <w:right w:val="none" w:sz="0" w:space="0" w:color="auto"/>
          </w:divBdr>
        </w:div>
      </w:divsChild>
    </w:div>
    <w:div w:id="1671323705">
      <w:bodyDiv w:val="1"/>
      <w:marLeft w:val="0"/>
      <w:marRight w:val="0"/>
      <w:marTop w:val="0"/>
      <w:marBottom w:val="0"/>
      <w:divBdr>
        <w:top w:val="none" w:sz="0" w:space="0" w:color="auto"/>
        <w:left w:val="none" w:sz="0" w:space="0" w:color="auto"/>
        <w:bottom w:val="none" w:sz="0" w:space="0" w:color="auto"/>
        <w:right w:val="none" w:sz="0" w:space="0" w:color="auto"/>
      </w:divBdr>
      <w:divsChild>
        <w:div w:id="1031884346">
          <w:marLeft w:val="274"/>
          <w:marRight w:val="0"/>
          <w:marTop w:val="0"/>
          <w:marBottom w:val="0"/>
          <w:divBdr>
            <w:top w:val="none" w:sz="0" w:space="0" w:color="auto"/>
            <w:left w:val="none" w:sz="0" w:space="0" w:color="auto"/>
            <w:bottom w:val="none" w:sz="0" w:space="0" w:color="auto"/>
            <w:right w:val="none" w:sz="0" w:space="0" w:color="auto"/>
          </w:divBdr>
        </w:div>
        <w:div w:id="653947674">
          <w:marLeft w:val="274"/>
          <w:marRight w:val="0"/>
          <w:marTop w:val="0"/>
          <w:marBottom w:val="0"/>
          <w:divBdr>
            <w:top w:val="none" w:sz="0" w:space="0" w:color="auto"/>
            <w:left w:val="none" w:sz="0" w:space="0" w:color="auto"/>
            <w:bottom w:val="none" w:sz="0" w:space="0" w:color="auto"/>
            <w:right w:val="none" w:sz="0" w:space="0" w:color="auto"/>
          </w:divBdr>
        </w:div>
        <w:div w:id="1716616591">
          <w:marLeft w:val="274"/>
          <w:marRight w:val="0"/>
          <w:marTop w:val="0"/>
          <w:marBottom w:val="0"/>
          <w:divBdr>
            <w:top w:val="none" w:sz="0" w:space="0" w:color="auto"/>
            <w:left w:val="none" w:sz="0" w:space="0" w:color="auto"/>
            <w:bottom w:val="none" w:sz="0" w:space="0" w:color="auto"/>
            <w:right w:val="none" w:sz="0" w:space="0" w:color="auto"/>
          </w:divBdr>
        </w:div>
        <w:div w:id="2033608303">
          <w:marLeft w:val="274"/>
          <w:marRight w:val="0"/>
          <w:marTop w:val="0"/>
          <w:marBottom w:val="0"/>
          <w:divBdr>
            <w:top w:val="none" w:sz="0" w:space="0" w:color="auto"/>
            <w:left w:val="none" w:sz="0" w:space="0" w:color="auto"/>
            <w:bottom w:val="none" w:sz="0" w:space="0" w:color="auto"/>
            <w:right w:val="none" w:sz="0" w:space="0" w:color="auto"/>
          </w:divBdr>
        </w:div>
      </w:divsChild>
    </w:div>
    <w:div w:id="1709453855">
      <w:bodyDiv w:val="1"/>
      <w:marLeft w:val="0"/>
      <w:marRight w:val="0"/>
      <w:marTop w:val="0"/>
      <w:marBottom w:val="0"/>
      <w:divBdr>
        <w:top w:val="none" w:sz="0" w:space="0" w:color="auto"/>
        <w:left w:val="none" w:sz="0" w:space="0" w:color="auto"/>
        <w:bottom w:val="none" w:sz="0" w:space="0" w:color="auto"/>
        <w:right w:val="none" w:sz="0" w:space="0" w:color="auto"/>
      </w:divBdr>
    </w:div>
    <w:div w:id="1713574787">
      <w:bodyDiv w:val="1"/>
      <w:marLeft w:val="0"/>
      <w:marRight w:val="0"/>
      <w:marTop w:val="0"/>
      <w:marBottom w:val="0"/>
      <w:divBdr>
        <w:top w:val="none" w:sz="0" w:space="0" w:color="auto"/>
        <w:left w:val="none" w:sz="0" w:space="0" w:color="auto"/>
        <w:bottom w:val="none" w:sz="0" w:space="0" w:color="auto"/>
        <w:right w:val="none" w:sz="0" w:space="0" w:color="auto"/>
      </w:divBdr>
    </w:div>
    <w:div w:id="1756242395">
      <w:bodyDiv w:val="1"/>
      <w:marLeft w:val="0"/>
      <w:marRight w:val="0"/>
      <w:marTop w:val="0"/>
      <w:marBottom w:val="0"/>
      <w:divBdr>
        <w:top w:val="none" w:sz="0" w:space="0" w:color="auto"/>
        <w:left w:val="none" w:sz="0" w:space="0" w:color="auto"/>
        <w:bottom w:val="none" w:sz="0" w:space="0" w:color="auto"/>
        <w:right w:val="none" w:sz="0" w:space="0" w:color="auto"/>
      </w:divBdr>
      <w:divsChild>
        <w:div w:id="1266381478">
          <w:marLeft w:val="274"/>
          <w:marRight w:val="0"/>
          <w:marTop w:val="0"/>
          <w:marBottom w:val="0"/>
          <w:divBdr>
            <w:top w:val="none" w:sz="0" w:space="0" w:color="auto"/>
            <w:left w:val="none" w:sz="0" w:space="0" w:color="auto"/>
            <w:bottom w:val="none" w:sz="0" w:space="0" w:color="auto"/>
            <w:right w:val="none" w:sz="0" w:space="0" w:color="auto"/>
          </w:divBdr>
        </w:div>
        <w:div w:id="272594058">
          <w:marLeft w:val="274"/>
          <w:marRight w:val="0"/>
          <w:marTop w:val="0"/>
          <w:marBottom w:val="0"/>
          <w:divBdr>
            <w:top w:val="none" w:sz="0" w:space="0" w:color="auto"/>
            <w:left w:val="none" w:sz="0" w:space="0" w:color="auto"/>
            <w:bottom w:val="none" w:sz="0" w:space="0" w:color="auto"/>
            <w:right w:val="none" w:sz="0" w:space="0" w:color="auto"/>
          </w:divBdr>
        </w:div>
        <w:div w:id="1314215571">
          <w:marLeft w:val="274"/>
          <w:marRight w:val="0"/>
          <w:marTop w:val="0"/>
          <w:marBottom w:val="0"/>
          <w:divBdr>
            <w:top w:val="none" w:sz="0" w:space="0" w:color="auto"/>
            <w:left w:val="none" w:sz="0" w:space="0" w:color="auto"/>
            <w:bottom w:val="none" w:sz="0" w:space="0" w:color="auto"/>
            <w:right w:val="none" w:sz="0" w:space="0" w:color="auto"/>
          </w:divBdr>
        </w:div>
      </w:divsChild>
    </w:div>
    <w:div w:id="1806970636">
      <w:bodyDiv w:val="1"/>
      <w:marLeft w:val="0"/>
      <w:marRight w:val="0"/>
      <w:marTop w:val="0"/>
      <w:marBottom w:val="0"/>
      <w:divBdr>
        <w:top w:val="none" w:sz="0" w:space="0" w:color="auto"/>
        <w:left w:val="none" w:sz="0" w:space="0" w:color="auto"/>
        <w:bottom w:val="none" w:sz="0" w:space="0" w:color="auto"/>
        <w:right w:val="none" w:sz="0" w:space="0" w:color="auto"/>
      </w:divBdr>
      <w:divsChild>
        <w:div w:id="1868448123">
          <w:marLeft w:val="274"/>
          <w:marRight w:val="0"/>
          <w:marTop w:val="0"/>
          <w:marBottom w:val="0"/>
          <w:divBdr>
            <w:top w:val="none" w:sz="0" w:space="0" w:color="auto"/>
            <w:left w:val="none" w:sz="0" w:space="0" w:color="auto"/>
            <w:bottom w:val="none" w:sz="0" w:space="0" w:color="auto"/>
            <w:right w:val="none" w:sz="0" w:space="0" w:color="auto"/>
          </w:divBdr>
        </w:div>
        <w:div w:id="610630337">
          <w:marLeft w:val="274"/>
          <w:marRight w:val="0"/>
          <w:marTop w:val="0"/>
          <w:marBottom w:val="0"/>
          <w:divBdr>
            <w:top w:val="none" w:sz="0" w:space="0" w:color="auto"/>
            <w:left w:val="none" w:sz="0" w:space="0" w:color="auto"/>
            <w:bottom w:val="none" w:sz="0" w:space="0" w:color="auto"/>
            <w:right w:val="none" w:sz="0" w:space="0" w:color="auto"/>
          </w:divBdr>
        </w:div>
      </w:divsChild>
    </w:div>
    <w:div w:id="1839148752">
      <w:bodyDiv w:val="1"/>
      <w:marLeft w:val="0"/>
      <w:marRight w:val="0"/>
      <w:marTop w:val="0"/>
      <w:marBottom w:val="0"/>
      <w:divBdr>
        <w:top w:val="none" w:sz="0" w:space="0" w:color="auto"/>
        <w:left w:val="none" w:sz="0" w:space="0" w:color="auto"/>
        <w:bottom w:val="none" w:sz="0" w:space="0" w:color="auto"/>
        <w:right w:val="none" w:sz="0" w:space="0" w:color="auto"/>
      </w:divBdr>
    </w:div>
    <w:div w:id="2005474188">
      <w:bodyDiv w:val="1"/>
      <w:marLeft w:val="0"/>
      <w:marRight w:val="0"/>
      <w:marTop w:val="0"/>
      <w:marBottom w:val="0"/>
      <w:divBdr>
        <w:top w:val="none" w:sz="0" w:space="0" w:color="auto"/>
        <w:left w:val="none" w:sz="0" w:space="0" w:color="auto"/>
        <w:bottom w:val="none" w:sz="0" w:space="0" w:color="auto"/>
        <w:right w:val="none" w:sz="0" w:space="0" w:color="auto"/>
      </w:divBdr>
    </w:div>
    <w:div w:id="2039618279">
      <w:bodyDiv w:val="1"/>
      <w:marLeft w:val="0"/>
      <w:marRight w:val="0"/>
      <w:marTop w:val="0"/>
      <w:marBottom w:val="0"/>
      <w:divBdr>
        <w:top w:val="none" w:sz="0" w:space="0" w:color="auto"/>
        <w:left w:val="none" w:sz="0" w:space="0" w:color="auto"/>
        <w:bottom w:val="none" w:sz="0" w:space="0" w:color="auto"/>
        <w:right w:val="none" w:sz="0" w:space="0" w:color="auto"/>
      </w:divBdr>
    </w:div>
    <w:div w:id="2087457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www.abs.gov.au/AUSSTATS/abs@.nsf/DetailsPage/6401.0Sep%202013?OpenDocument"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hyperlink" Target="http://www.environment.gov.au/cgi-bin/sprat/public/publicshowcommunity.pl?id=26&amp;status=Endangered" TargetMode="External"/><Relationship Id="rId47" Type="http://schemas.openxmlformats.org/officeDocument/2006/relationships/image" Target="media/image20.png"/><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etlandinfo.ehp.qld.gov.au/resources/static/pdf/resources/fact-sheets/profiles/p01718aa.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hyperlink" Target="http://www.finance.gov.au/publications/finance-circulars/2006/docs/Handbook_of_CB_analysi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bushheritage.org.au/places-we-protect/state_queensland/edgbaston" TargetMode="External"/><Relationship Id="rId45" Type="http://schemas.openxmlformats.org/officeDocument/2006/relationships/hyperlink" Target="http://www.dnrm.qld.gov.au/__data/assets/pdf_file/0018/106029/5year-wrp-review.pdf" TargetMode="External"/><Relationship Id="rId53"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6.xml"/><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www.outbacknow.com.au/index.php/articles/outback_itineries/bore_baths_artesian_spa_hot_springs_hot_spot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fao.org/docrep/010/ah810e/ah810e04.htm" TargetMode="External"/><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DetailsPage/6401.0Sep%202013?OpenDocument" TargetMode="External"/><Relationship Id="rId2" Type="http://schemas.openxmlformats.org/officeDocument/2006/relationships/hyperlink" Target="http://www.fao.org/docrep/010/ah810e/ah810e04.htm" TargetMode="External"/><Relationship Id="rId1" Type="http://schemas.openxmlformats.org/officeDocument/2006/relationships/hyperlink" Target="http://www.finance.gov.au/obpr/cost-benefit-analysi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dotm" TargetMode="External"/></Relationships>
</file>

<file path=word/theme/theme1.xml><?xml version="1.0" encoding="utf-8"?>
<a:theme xmlns:a="http://schemas.openxmlformats.org/drawingml/2006/main" name="SKM Cool">
  <a:themeElements>
    <a:clrScheme name="SKM Cool">
      <a:dk1>
        <a:srgbClr val="42145F"/>
      </a:dk1>
      <a:lt1>
        <a:srgbClr val="939598"/>
      </a:lt1>
      <a:dk2>
        <a:srgbClr val="000000"/>
      </a:dk2>
      <a:lt2>
        <a:srgbClr val="FFFFFF"/>
      </a:lt2>
      <a:accent1>
        <a:srgbClr val="E6E5E3"/>
      </a:accent1>
      <a:accent2>
        <a:srgbClr val="4C4D4F"/>
      </a:accent2>
      <a:accent3>
        <a:srgbClr val="B8C51B"/>
      </a:accent3>
      <a:accent4>
        <a:srgbClr val="69BE28"/>
      </a:accent4>
      <a:accent5>
        <a:srgbClr val="009DD1"/>
      </a:accent5>
      <a:accent6>
        <a:srgbClr val="5185C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iginatorSourceCode xmlns="39581844-92ea-4492-91f5-7cfb2cdab19a" xsi:nil="true"/>
    <DocumentTitle xmlns="39581844-92ea-4492-91f5-7cfb2cdab19a" xsi:nil="true"/>
    <Discipline xmlns="39581844-92ea-4492-91f5-7cfb2cdab19a" xsi:nil="true"/>
    <revision xmlns="39581844-92ea-4492-91f5-7cfb2cdab19a">A</revision>
    <DocumentStatus xmlns="39581844-92ea-4492-91f5-7cfb2cdab19a" xsi:nil="true"/>
    <RevisionDate xmlns="39581844-92ea-4492-91f5-7cfb2cdab19a">2013-10-15T03:16:05+00:00</RevisionDate>
    <EngineeringActivityCode xmlns="39581844-92ea-4492-91f5-7cfb2cdab19a" xsi:nil="true"/>
    <DocumentReviewStatus xmlns="39581844-92ea-4492-91f5-7cfb2cdab19a" xsi:nil="true"/>
    <ProjectNumber xmlns="39581844-92ea-4492-91f5-7cfb2cdab19a">SB20354</ProjectNumber>
    <ResponsiblePerson xmlns="39581844-92ea-4492-91f5-7cfb2cdab19a">
      <UserInfo>
        <DisplayName/>
        <AccountId xsi:nil="true"/>
        <AccountType/>
      </UserInfo>
    </ResponsiblePerson>
    <DocumentNumberLookup xmlns="$ListId:DmcaConsult;">27</DocumentNumberLookup>
    <WbsAreaCode xmlns="39581844-92ea-4492-91f5-7cfb2cdab19a" xsi:nil="true"/>
    <DocumentType xmlns="39581844-92ea-4492-91f5-7cfb2cdab19a" xsi:nil="true"/>
    <DocumentAuthor xmlns="39581844-92ea-4492-91f5-7cfb2cdab1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21F2B45B9F8F439FF9922C2A23665B" ma:contentTypeVersion="0" ma:contentTypeDescription="Create a new document." ma:contentTypeScope="" ma:versionID="d7fda2869f91f623469a673e9cc2ec99">
  <xsd:schema xmlns:xsd="http://www.w3.org/2001/XMLSchema" xmlns:xs="http://www.w3.org/2001/XMLSchema" xmlns:p="http://schemas.microsoft.com/office/2006/metadata/properties" xmlns:ns2="$ListId:DmcaConsult;" xmlns:ns3="39581844-92ea-4492-91f5-7cfb2cdab19a" targetNamespace="http://schemas.microsoft.com/office/2006/metadata/properties" ma:root="true" ma:fieldsID="ac96f8802f7bd72a619672379fa7a31e" ns2:_="" ns3:_="">
    <xsd:import namespace="$ListId:DmcaConsult;"/>
    <xsd:import namespace="39581844-92ea-4492-91f5-7cfb2cdab19a"/>
    <xsd:element name="properties">
      <xsd:complexType>
        <xsd:sequence>
          <xsd:element name="documentManagement">
            <xsd:complexType>
              <xsd:all>
                <xsd:element ref="ns2:DocumentNumberLookup" minOccurs="0"/>
                <xsd:element ref="ns3:ProjectNumber" minOccurs="0"/>
                <xsd:element ref="ns3:WbsAreaCode" minOccurs="0"/>
                <xsd:element ref="ns3:OriginatorSourceCode" minOccurs="0"/>
                <xsd:element ref="ns3:Discipline" minOccurs="0"/>
                <xsd:element ref="ns3:DocumentType" minOccurs="0"/>
                <xsd:element ref="ns3:EngineeringActivityCode" minOccurs="0"/>
                <xsd:element ref="ns3:DocumentTitle" minOccurs="0"/>
                <xsd:element ref="ns3:DocumentStatus" minOccurs="0"/>
                <xsd:element ref="ns3:revision" minOccurs="0"/>
                <xsd:element ref="ns3:RevisionDate" minOccurs="0"/>
                <xsd:element ref="ns3:ResponsiblePerson" minOccurs="0"/>
                <xsd:element ref="ns3:DocumentAuthor" minOccurs="0"/>
                <xsd:element ref="ns3:DocumentRe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mcaConsult;" elementFormDefault="qualified">
    <xsd:import namespace="http://schemas.microsoft.com/office/2006/documentManagement/types"/>
    <xsd:import namespace="http://schemas.microsoft.com/office/infopath/2007/PartnerControls"/>
    <xsd:element name="DocumentNumberLookup" ma:index="1" nillable="true" ma:displayName="Document No" ma:list="{3D6AA2CA-9054-4DEA-8FF2-22809B1D90BD}" ma:internalName="DocumentNumberLookup" ma:showField="Document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9581844-92ea-4492-91f5-7cfb2cdab19a" elementFormDefault="qualified">
    <xsd:import namespace="http://schemas.microsoft.com/office/2006/documentManagement/types"/>
    <xsd:import namespace="http://schemas.microsoft.com/office/infopath/2007/PartnerControls"/>
    <xsd:element name="ProjectNumber" ma:index="2" nillable="true" ma:displayName="Project No" ma:default="SB20354" ma:internalName="ProjectNumber">
      <xsd:simpleType>
        <xsd:restriction base="dms:Text">
          <xsd:maxLength value="255"/>
        </xsd:restriction>
      </xsd:simpleType>
    </xsd:element>
    <xsd:element name="WbsAreaCode" ma:index="3" nillable="true" ma:displayName="WBS / Area Code" ma:internalName="WbsAreaCode">
      <xsd:simpleType>
        <xsd:restriction base="dms:Text">
          <xsd:maxLength value="255"/>
        </xsd:restriction>
      </xsd:simpleType>
    </xsd:element>
    <xsd:element name="OriginatorSourceCode" ma:index="4" nillable="true" ma:displayName="Originator / Source Code" ma:list="{87C05A62-EA2C-4F76-B505-3687069F0C99}" ma:internalName="OriginatorSourceCode" ma:showField="Code" ma:web="{7de47f98-3584-42ff-a5b3-95e8270fcef0}">
      <xsd:simpleType>
        <xsd:restriction base="dms:Lookup"/>
      </xsd:simpleType>
    </xsd:element>
    <xsd:element name="Discipline" ma:index="5" nillable="true" ma:displayName="Discipline" ma:description="Lookup - Discipline Originator/Discipline" ma:list="{F00B1CA4-E095-4D92-AB9A-51F8EF63162A}" ma:internalName="Discipline" ma:showField="Code" ma:web="{7de47f98-3584-42ff-a5b3-95e8270fcef0}">
      <xsd:simpleType>
        <xsd:restriction base="dms:Lookup"/>
      </xsd:simpleType>
    </xsd:element>
    <xsd:element name="DocumentType" ma:index="6" nillable="true" ma:displayName="Document Type" ma:list="{2EB5FA41-F3DB-49C8-BECC-F0F3F738C087}" ma:internalName="DocumentType" ma:showField="Code" ma:web="{7de47f98-3584-42ff-a5b3-95e8270fcef0}">
      <xsd:simpleType>
        <xsd:restriction base="dms:Lookup"/>
      </xsd:simpleType>
    </xsd:element>
    <xsd:element name="EngineeringActivityCode" ma:index="7" nillable="true" ma:displayName="Engineering Activity Code" ma:list="{4EE60FFB-DD97-45C1-B6DD-B35B9FA82F52}" ma:internalName="EngineeringActivityCode" ma:showField="Code" ma:web="{7de47f98-3584-42ff-a5b3-95e8270fcef0}">
      <xsd:simpleType>
        <xsd:restriction base="dms:Lookup"/>
      </xsd:simpleType>
    </xsd:element>
    <xsd:element name="DocumentTitle" ma:index="8" nillable="true" ma:displayName="SKM Document Title" ma:internalName="SKM_x0020_Document_x0020_Title">
      <xsd:simpleType>
        <xsd:restriction base="dms:Text">
          <xsd:maxLength value="255"/>
        </xsd:restriction>
      </xsd:simpleType>
    </xsd:element>
    <xsd:element name="DocumentStatus" ma:index="9" nillable="true" ma:displayName="Document Status" ma:list="{7E4A4145-9470-461D-8E79-FB084E2BFF69}" ma:internalName="DocumentStatus" ma:showField="Code" ma:web="{7de47f98-3584-42ff-a5b3-95e8270fcef0}">
      <xsd:simpleType>
        <xsd:restriction base="dms:Lookup"/>
      </xsd:simpleType>
    </xsd:element>
    <xsd:element name="revision" ma:index="10" nillable="true" ma:displayName="Revision" ma:default="A" ma:internalName="revision">
      <xsd:simpleType>
        <xsd:restriction base="dms:Text">
          <xsd:maxLength value="255"/>
        </xsd:restriction>
      </xsd:simpleType>
    </xsd:element>
    <xsd:element name="RevisionDate" ma:index="11" nillable="true" ma:displayName="Revision Date" ma:default="[today]" ma:format="DateOnly" ma:internalName="RevisionDate">
      <xsd:simpleType>
        <xsd:restriction base="dms:DateTime"/>
      </xsd:simpleType>
    </xsd:element>
    <xsd:element name="ResponsiblePerson" ma:index="12" nillable="true" ma:displayName="Responsible Person" ma:list="UserInfo" ma:SharePointGroup="0" ma:internalName="Responsible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Author" ma:index="13" nillable="true" ma:displayName="Document Author" ma:internalName="DocumentAuthor">
      <xsd:simpleType>
        <xsd:restriction base="dms:Text">
          <xsd:maxLength value="255"/>
        </xsd:restriction>
      </xsd:simpleType>
    </xsd:element>
    <xsd:element name="DocumentReviewStatus" ma:index="14" nillable="true" ma:displayName="Document Review Status" ma:list="{44FD6A30-0525-4CA0-9D57-426801A48E32}" ma:internalName="DocumentReviewStatus" ma:showField="Title" ma:web="{7de47f98-3584-42ff-a5b3-95e8270fcef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8EA8-9262-4D3B-919E-32EEDA038FBB}">
  <ds:schemaRefs>
    <ds:schemaRef ds:uri="http://schemas.microsoft.com/office/2006/metadata/properties"/>
    <ds:schemaRef ds:uri="http://schemas.microsoft.com/office/infopath/2007/PartnerControls"/>
    <ds:schemaRef ds:uri="39581844-92ea-4492-91f5-7cfb2cdab19a"/>
    <ds:schemaRef ds:uri="$ListId:DmcaConsult;"/>
  </ds:schemaRefs>
</ds:datastoreItem>
</file>

<file path=customXml/itemProps2.xml><?xml version="1.0" encoding="utf-8"?>
<ds:datastoreItem xmlns:ds="http://schemas.openxmlformats.org/officeDocument/2006/customXml" ds:itemID="{AB8657D9-4D8E-4D54-9920-A3FB88B494E4}">
  <ds:schemaRefs>
    <ds:schemaRef ds:uri="http://schemas.microsoft.com/sharepoint/v3/contenttype/forms"/>
  </ds:schemaRefs>
</ds:datastoreItem>
</file>

<file path=customXml/itemProps3.xml><?xml version="1.0" encoding="utf-8"?>
<ds:datastoreItem xmlns:ds="http://schemas.openxmlformats.org/officeDocument/2006/customXml" ds:itemID="{F20379CE-5C13-47CB-88A2-C27A16283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mcaConsult;"/>
    <ds:schemaRef ds:uri="39581844-92ea-4492-91f5-7cfb2cdab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DE7C4-54DA-448B-B301-5EF5E271E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Proposal.dotm</Template>
  <TotalTime>1</TotalTime>
  <Pages>59</Pages>
  <Words>19540</Words>
  <Characters>111378</Characters>
  <Application>Microsoft Office Word</Application>
  <DocSecurity>4</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MacroView</Company>
  <LinksUpToDate>false</LinksUpToDate>
  <CharactersWithSpaces>130657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Sarah (SKM)</dc:creator>
  <cp:lastModifiedBy>A00762</cp:lastModifiedBy>
  <cp:revision>2</cp:revision>
  <cp:lastPrinted>2014-03-10T21:54:00Z</cp:lastPrinted>
  <dcterms:created xsi:type="dcterms:W3CDTF">2014-03-10T22:05:00Z</dcterms:created>
  <dcterms:modified xsi:type="dcterms:W3CDTF">2014-03-10T22:05:00Z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ACT Solar Auction Review</vt:lpwstr>
  </property>
  <property fmtid="{D5CDD505-2E9C-101B-9397-08002B2CF9AE}" pid="3" name="Cover Subheading">
    <vt:lpwstr>Report</vt:lpwstr>
  </property>
  <property fmtid="{D5CDD505-2E9C-101B-9397-08002B2CF9AE}" pid="4" name="Cover Date">
    <vt:lpwstr>October 2013</vt:lpwstr>
  </property>
  <property fmtid="{D5CDD505-2E9C-101B-9397-08002B2CF9AE}" pid="5" name="Cover Tender Number">
    <vt:lpwstr>ACT Government, Environment and Sustainable Development Directorate</vt:lpwstr>
  </property>
  <property fmtid="{D5CDD505-2E9C-101B-9397-08002B2CF9AE}" pid="6" name="Project Name">
    <vt:lpwstr>ACT Solar Auction Review</vt:lpwstr>
  </property>
  <property fmtid="{D5CDD505-2E9C-101B-9397-08002B2CF9AE}" pid="7" name="NewDocument">
    <vt:lpwstr>False</vt:lpwstr>
  </property>
  <property fmtid="{D5CDD505-2E9C-101B-9397-08002B2CF9AE}" pid="8" name="DocumentGroup">
    <vt:lpwstr>ProposalReport</vt:lpwstr>
  </property>
  <property fmtid="{D5CDD505-2E9C-101B-9397-08002B2CF9AE}" pid="9" name="DocumentSubGroup">
    <vt:lpwstr>Proposal</vt:lpwstr>
  </property>
  <property fmtid="{D5CDD505-2E9C-101B-9397-08002B2CF9AE}" pid="10" name="Document Title">
    <vt:lpwstr>ACT Solar Auction Review Report</vt:lpwstr>
  </property>
  <property fmtid="{D5CDD505-2E9C-101B-9397-08002B2CF9AE}" pid="11" name="Version">
    <vt:lpwstr>1</vt:lpwstr>
  </property>
  <property fmtid="{D5CDD505-2E9C-101B-9397-08002B2CF9AE}" pid="12" name="Date">
    <vt:lpwstr>&lt;date&gt;</vt:lpwstr>
  </property>
  <property fmtid="{D5CDD505-2E9C-101B-9397-08002B2CF9AE}" pid="13" name="Prepared By">
    <vt:lpwstr>Sarah Alexander</vt:lpwstr>
  </property>
  <property fmtid="{D5CDD505-2E9C-101B-9397-08002B2CF9AE}" pid="14" name="Approved By">
    <vt:lpwstr>Andrew Pike</vt:lpwstr>
  </property>
  <property fmtid="{D5CDD505-2E9C-101B-9397-08002B2CF9AE}" pid="15" name="Document Number">
    <vt:lpwstr>1</vt:lpwstr>
  </property>
  <property fmtid="{D5CDD505-2E9C-101B-9397-08002B2CF9AE}" pid="16" name="Document Type">
    <vt:lpwstr>Proposal</vt:lpwstr>
  </property>
  <property fmtid="{D5CDD505-2E9C-101B-9397-08002B2CF9AE}" pid="17" name="org%5FSentOn">
    <vt:filetime>2013-10-15T03:16:05Z</vt:filetime>
  </property>
  <property fmtid="{D5CDD505-2E9C-101B-9397-08002B2CF9AE}" pid="18" name="SequentialNumber">
    <vt:lpwstr/>
  </property>
  <property fmtid="{D5CDD505-2E9C-101B-9397-08002B2CF9AE}" pid="19" name="org_Size">
    <vt:lpwstr/>
  </property>
  <property fmtid="{D5CDD505-2E9C-101B-9397-08002B2CF9AE}" pid="20" name="Primary_x0020_Document_x0020_Item_x0020_Id">
    <vt:lpwstr/>
  </property>
  <property fmtid="{D5CDD505-2E9C-101B-9397-08002B2CF9AE}" pid="21" name="OriginatorCompanyName">
    <vt:lpwstr/>
  </property>
  <property fmtid="{D5CDD505-2E9C-101B-9397-08002B2CF9AE}" pid="22" name="GeneralCommsStatus">
    <vt:lpwstr/>
  </property>
  <property fmtid="{D5CDD505-2E9C-101B-9397-08002B2CF9AE}" pid="23" name="RecipientCompanyName">
    <vt:lpwstr/>
  </property>
  <property fmtid="{D5CDD505-2E9C-101B-9397-08002B2CF9AE}" pid="24" name="CommsDocNo">
    <vt:lpwstr/>
  </property>
  <property fmtid="{D5CDD505-2E9C-101B-9397-08002B2CF9AE}" pid="25" name="Primary Document Item Version">
    <vt:lpwstr/>
  </property>
  <property fmtid="{D5CDD505-2E9C-101B-9397-08002B2CF9AE}" pid="26" name="Primary Document Item Id">
    <vt:lpwstr/>
  </property>
  <property fmtid="{D5CDD505-2E9C-101B-9397-08002B2CF9AE}" pid="27" name="SKM Document Title">
    <vt:lpwstr/>
  </property>
  <property fmtid="{D5CDD505-2E9C-101B-9397-08002B2CF9AE}" pid="28" name="OriginatorSourceCode">
    <vt:lpwstr/>
  </property>
  <property fmtid="{D5CDD505-2E9C-101B-9397-08002B2CF9AE}" pid="29" name="Discipline">
    <vt:lpwstr/>
  </property>
  <property fmtid="{D5CDD505-2E9C-101B-9397-08002B2CF9AE}" pid="30" name="DocumentType">
    <vt:lpwstr/>
  </property>
  <property fmtid="{D5CDD505-2E9C-101B-9397-08002B2CF9AE}" pid="31" name="EngineeringActivityCode">
    <vt:lpwstr/>
  </property>
  <property fmtid="{D5CDD505-2E9C-101B-9397-08002B2CF9AE}" pid="32" name="DocumentStatus">
    <vt:lpwstr/>
  </property>
  <property fmtid="{D5CDD505-2E9C-101B-9397-08002B2CF9AE}" pid="33" name="ResponsiblePerson">
    <vt:lpwstr/>
  </property>
  <property fmtid="{D5CDD505-2E9C-101B-9397-08002B2CF9AE}" pid="34" name="DocumentReviewStatus">
    <vt:lpwstr/>
  </property>
  <property fmtid="{D5CDD505-2E9C-101B-9397-08002B2CF9AE}" pid="35" name="DocumentNumberLookup">
    <vt:lpwstr>27</vt:lpwstr>
  </property>
  <property fmtid="{D5CDD505-2E9C-101B-9397-08002B2CF9AE}" pid="36" name="ContentType">
    <vt:lpwstr>Document</vt:lpwstr>
  </property>
  <property fmtid="{D5CDD505-2E9C-101B-9397-08002B2CF9AE}" pid="37" name="Created">
    <vt:filetime>2013-12-22T23:12:00Z</vt:filetime>
  </property>
  <property fmtid="{D5CDD505-2E9C-101B-9397-08002B2CF9AE}" pid="38" name="Modified">
    <vt:filetime>2013-12-22T23:12:00Z</vt:filetime>
  </property>
  <property fmtid="{D5CDD505-2E9C-101B-9397-08002B2CF9AE}" pid="39" name="FileLeafRef">
    <vt:lpwstr>WRA Surat.pdf</vt:lpwstr>
  </property>
  <property fmtid="{D5CDD505-2E9C-101B-9397-08002B2CF9AE}" pid="40" name="ProjectNumber">
    <vt:lpwstr>SB20354</vt:lpwstr>
  </property>
  <property fmtid="{D5CDD505-2E9C-101B-9397-08002B2CF9AE}" pid="41" name="WbsAreaCode">
    <vt:lpwstr/>
  </property>
  <property fmtid="{D5CDD505-2E9C-101B-9397-08002B2CF9AE}" pid="42" name="RevisionDate">
    <vt:lpwstr>2013-10-15T03:16:05Z</vt:lpwstr>
  </property>
  <property fmtid="{D5CDD505-2E9C-101B-9397-08002B2CF9AE}" pid="43" name="DocumentAuthor">
    <vt:lpwstr/>
  </property>
  <property fmtid="{D5CDD505-2E9C-101B-9397-08002B2CF9AE}" pid="44" name="originalfilename">
    <vt:lpwstr/>
  </property>
  <property fmtid="{D5CDD505-2E9C-101B-9397-08002B2CF9AE}" pid="45" name="org_x0025_5FSentOn">
    <vt:lpwstr>2013-10-15T03:16:05Z</vt:lpwstr>
  </property>
  <property fmtid="{D5CDD505-2E9C-101B-9397-08002B2CF9AE}" pid="46" name="CommsSubject">
    <vt:lpwstr/>
  </property>
  <property fmtid="{D5CDD505-2E9C-101B-9397-08002B2CF9AE}" pid="47" name="org_SenderName">
    <vt:lpwstr/>
  </property>
  <property fmtid="{D5CDD505-2E9C-101B-9397-08002B2CF9AE}" pid="48" name="org_To">
    <vt:lpwstr/>
  </property>
  <property fmtid="{D5CDD505-2E9C-101B-9397-08002B2CF9AE}" pid="49" name="org_ReceivedTime">
    <vt:filetime>2013-10-15T03:16:05Z</vt:filetime>
  </property>
  <property fmtid="{D5CDD505-2E9C-101B-9397-08002B2CF9AE}" pid="50" name="org_HasAttachments">
    <vt:bool>false</vt:bool>
  </property>
  <property fmtid="{D5CDD505-2E9C-101B-9397-08002B2CF9AE}" pid="51" name="HardcopyLocation">
    <vt:lpwstr/>
  </property>
  <property fmtid="{D5CDD505-2E9C-101B-9397-08002B2CF9AE}" pid="52" name="CommsComments">
    <vt:lpwstr/>
  </property>
  <property fmtid="{D5CDD505-2E9C-101B-9397-08002B2CF9AE}" pid="53" name="ConversationIndex">
    <vt:lpwstr/>
  </property>
  <property fmtid="{D5CDD505-2E9C-101B-9397-08002B2CF9AE}" pid="54" name="Filename">
    <vt:lpwstr>SB20354-0027-</vt:lpwstr>
  </property>
  <property fmtid="{D5CDD505-2E9C-101B-9397-08002B2CF9AE}" pid="55" name="Primary_x0020_Document_x0020_Item_x0020_Version">
    <vt:lpwstr/>
  </property>
  <property fmtid="{D5CDD505-2E9C-101B-9397-08002B2CF9AE}" pid="56" name="RecipientCompany">
    <vt:lpwstr/>
  </property>
  <property fmtid="{D5CDD505-2E9C-101B-9397-08002B2CF9AE}" pid="57" name="ConversationTopic">
    <vt:lpwstr/>
  </property>
  <property fmtid="{D5CDD505-2E9C-101B-9397-08002B2CF9AE}" pid="58" name="org_Body">
    <vt:lpwstr/>
  </property>
  <property fmtid="{D5CDD505-2E9C-101B-9397-08002B2CF9AE}" pid="59" name="revision">
    <vt:lpwstr>A</vt:lpwstr>
  </property>
  <property fmtid="{D5CDD505-2E9C-101B-9397-08002B2CF9AE}" pid="60" name="SKM_x0020_Document_x0020_Title">
    <vt:lpwstr/>
  </property>
  <property fmtid="{D5CDD505-2E9C-101B-9397-08002B2CF9AE}" pid="61" name="GUID">
    <vt:lpwstr>4c5cf4d8-2a4a-40ef-800e-af210fbb1d44</vt:lpwstr>
  </property>
  <property fmtid="{D5CDD505-2E9C-101B-9397-08002B2CF9AE}" pid="62" name="ContentTypeId">
    <vt:lpwstr>0x0101007321F2B45B9F8F439FF9922C2A23665B</vt:lpwstr>
  </property>
</Properties>
</file>