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803" w:rsidRPr="009669FC" w:rsidRDefault="00770803" w:rsidP="00B73C94">
      <w:pPr>
        <w:pStyle w:val="BodyText"/>
        <w:rPr>
          <w:rFonts w:ascii="Arial" w:hAnsi="Arial" w:cs="Arial"/>
        </w:rPr>
      </w:pPr>
      <w:bookmarkStart w:id="0" w:name="_GoBack"/>
      <w:bookmarkEnd w:id="0"/>
    </w:p>
    <w:tbl>
      <w:tblPr>
        <w:tblpPr w:leftFromText="180" w:rightFromText="180" w:vertAnchor="page" w:horzAnchor="page" w:tblpX="4183" w:tblpY="3121"/>
        <w:tblW w:w="0" w:type="auto"/>
        <w:shd w:val="clear" w:color="auto" w:fill="FFFFFF"/>
        <w:tblLook w:val="01E0"/>
      </w:tblPr>
      <w:tblGrid>
        <w:gridCol w:w="6487"/>
      </w:tblGrid>
      <w:tr w:rsidR="00042200" w:rsidRPr="00DF3703" w:rsidTr="00867057">
        <w:trPr>
          <w:trHeight w:hRule="exact" w:val="6946"/>
        </w:trPr>
        <w:tc>
          <w:tcPr>
            <w:tcW w:w="6487" w:type="dxa"/>
            <w:shd w:val="clear" w:color="auto" w:fill="FFFFFF"/>
          </w:tcPr>
          <w:p w:rsidR="00042200" w:rsidRPr="00DF3703" w:rsidRDefault="006B7D88" w:rsidP="00042200">
            <w:pPr>
              <w:pStyle w:val="ReportTitle"/>
              <w:framePr w:hSpace="0" w:wrap="auto" w:vAnchor="margin" w:hAnchor="text" w:yAlign="inline"/>
              <w:suppressOverlap w:val="0"/>
              <w:rPr>
                <w:rFonts w:ascii="Segoe UI" w:hAnsi="Segoe UI" w:cs="Segoe UI"/>
              </w:rPr>
            </w:pPr>
            <w:r w:rsidRPr="00DF3703">
              <w:rPr>
                <w:rFonts w:ascii="Segoe UI" w:hAnsi="Segoe UI" w:cs="Segoe UI"/>
              </w:rPr>
              <w:t>Economic Contribution of the Great Barrier Reef</w:t>
            </w:r>
          </w:p>
          <w:p w:rsidR="00042200" w:rsidRPr="00DF3703" w:rsidRDefault="00042200" w:rsidP="00042200">
            <w:pPr>
              <w:pStyle w:val="ReportTitle"/>
              <w:framePr w:hSpace="0" w:wrap="auto" w:vAnchor="margin" w:hAnchor="text" w:yAlign="inline"/>
              <w:suppressOverlap w:val="0"/>
              <w:rPr>
                <w:rFonts w:ascii="Segoe UI" w:hAnsi="Segoe UI" w:cs="Segoe UI"/>
              </w:rPr>
            </w:pPr>
          </w:p>
          <w:p w:rsidR="007761F8" w:rsidRPr="00DF3703" w:rsidRDefault="007761F8" w:rsidP="007761F8">
            <w:pPr>
              <w:pStyle w:val="ReportCompany"/>
              <w:rPr>
                <w:rFonts w:ascii="Segoe UI" w:hAnsi="Segoe UI" w:cs="Segoe UI"/>
                <w:szCs w:val="32"/>
              </w:rPr>
            </w:pPr>
          </w:p>
          <w:p w:rsidR="00042200" w:rsidRPr="00DF3703" w:rsidRDefault="005927DE" w:rsidP="00873274">
            <w:pPr>
              <w:pStyle w:val="ReportDate0"/>
              <w:rPr>
                <w:rFonts w:ascii="Arial" w:hAnsi="Arial" w:cs="Arial"/>
              </w:rPr>
            </w:pPr>
            <w:r>
              <w:rPr>
                <w:rFonts w:ascii="Segoe UI" w:hAnsi="Segoe UI" w:cs="Segoe UI"/>
              </w:rPr>
              <w:t>March</w:t>
            </w:r>
            <w:r w:rsidR="006B7D88" w:rsidRPr="00DF3703">
              <w:rPr>
                <w:rFonts w:ascii="Segoe UI" w:hAnsi="Segoe UI" w:cs="Segoe UI"/>
              </w:rPr>
              <w:t xml:space="preserve"> 201</w:t>
            </w:r>
            <w:r w:rsidR="00873274">
              <w:rPr>
                <w:rFonts w:ascii="Segoe UI" w:hAnsi="Segoe UI" w:cs="Segoe UI"/>
              </w:rPr>
              <w:t>3</w:t>
            </w:r>
          </w:p>
        </w:tc>
      </w:tr>
    </w:tbl>
    <w:p w:rsidR="001A17CE" w:rsidRPr="00DF3703" w:rsidRDefault="003747D4" w:rsidP="009B4B43">
      <w:pPr>
        <w:pStyle w:val="SingleLeft"/>
        <w:rPr>
          <w:rFonts w:ascii="Arial" w:hAnsi="Arial" w:cs="Arial"/>
        </w:rPr>
        <w:sectPr w:rsidR="001A17CE" w:rsidRPr="00DF3703" w:rsidSect="00042200">
          <w:headerReference w:type="even" r:id="rId8"/>
          <w:headerReference w:type="default" r:id="rId9"/>
          <w:footerReference w:type="even" r:id="rId10"/>
          <w:footerReference w:type="default" r:id="rId11"/>
          <w:headerReference w:type="first" r:id="rId12"/>
          <w:footerReference w:type="first" r:id="rId13"/>
          <w:pgSz w:w="11906" w:h="16838" w:code="9"/>
          <w:pgMar w:top="0" w:right="0" w:bottom="0" w:left="0" w:header="454" w:footer="454" w:gutter="0"/>
          <w:cols w:space="720"/>
          <w:titlePg/>
          <w:docGrid w:linePitch="360"/>
        </w:sectPr>
      </w:pPr>
      <w:r w:rsidRPr="00DF3703">
        <w:rPr>
          <w:rFonts w:ascii="Arial" w:hAnsi="Arial" w:cs="Arial"/>
          <w:noProof/>
          <w:lang w:eastAsia="en-AU"/>
        </w:rPr>
        <w:drawing>
          <wp:anchor distT="0" distB="0" distL="114300" distR="114300" simplePos="0" relativeHeight="251656704" behindDoc="0" locked="0" layoutInCell="1" allowOverlap="1">
            <wp:simplePos x="0" y="0"/>
            <wp:positionH relativeFrom="column">
              <wp:posOffset>628650</wp:posOffset>
            </wp:positionH>
            <wp:positionV relativeFrom="paragraph">
              <wp:posOffset>311785</wp:posOffset>
            </wp:positionV>
            <wp:extent cx="3235325" cy="215900"/>
            <wp:effectExtent l="19050" t="0" r="3175" b="0"/>
            <wp:wrapThrough wrapText="bothSides">
              <wp:wrapPolygon edited="0">
                <wp:start x="-127" y="0"/>
                <wp:lineTo x="-127" y="19059"/>
                <wp:lineTo x="21621" y="19059"/>
                <wp:lineTo x="21621" y="0"/>
                <wp:lineTo x="-127" y="0"/>
              </wp:wrapPolygon>
            </wp:wrapThrough>
            <wp:docPr id="12" name="Picture 1" descr="Deloitte Access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4" cstate="print"/>
                    <a:stretch>
                      <a:fillRect/>
                    </a:stretch>
                  </pic:blipFill>
                  <pic:spPr>
                    <a:xfrm>
                      <a:off x="0" y="0"/>
                      <a:ext cx="3235325" cy="215900"/>
                    </a:xfrm>
                    <a:prstGeom prst="rect">
                      <a:avLst/>
                    </a:prstGeom>
                  </pic:spPr>
                </pic:pic>
              </a:graphicData>
            </a:graphic>
          </wp:anchor>
        </w:drawing>
      </w:r>
    </w:p>
    <w:p w:rsidR="00873274" w:rsidRDefault="00873274" w:rsidP="00873274">
      <w:pPr>
        <w:rPr>
          <w:rFonts w:ascii="Arial" w:hAnsi="Arial" w:cs="Arial"/>
          <w:sz w:val="18"/>
          <w:szCs w:val="18"/>
        </w:rPr>
      </w:pPr>
    </w:p>
    <w:p w:rsidR="00873274" w:rsidRDefault="00873274" w:rsidP="00873274">
      <w:pPr>
        <w:rPr>
          <w:rFonts w:ascii="Arial" w:hAnsi="Arial" w:cs="Arial"/>
          <w:sz w:val="18"/>
          <w:szCs w:val="18"/>
        </w:rPr>
      </w:pPr>
      <w:r w:rsidRPr="008867E8">
        <w:rPr>
          <w:rFonts w:ascii="Arial" w:hAnsi="Arial" w:cs="Arial"/>
          <w:sz w:val="18"/>
          <w:szCs w:val="18"/>
        </w:rPr>
        <w:t>© Commonwealth of Australia 2013</w:t>
      </w:r>
    </w:p>
    <w:p w:rsidR="00873274" w:rsidRPr="007615C6" w:rsidRDefault="00873274" w:rsidP="00873274">
      <w:pPr>
        <w:rPr>
          <w:rFonts w:ascii="Arial" w:hAnsi="Arial" w:cs="Arial"/>
          <w:sz w:val="10"/>
          <w:szCs w:val="10"/>
        </w:rPr>
      </w:pPr>
    </w:p>
    <w:p w:rsidR="00873274" w:rsidRDefault="00873274" w:rsidP="00873274">
      <w:pPr>
        <w:rPr>
          <w:rFonts w:ascii="Arial" w:hAnsi="Arial" w:cs="Arial"/>
          <w:sz w:val="18"/>
          <w:szCs w:val="18"/>
        </w:rPr>
      </w:pPr>
      <w:r>
        <w:rPr>
          <w:rFonts w:ascii="Arial" w:hAnsi="Arial" w:cs="Arial"/>
          <w:sz w:val="18"/>
          <w:szCs w:val="18"/>
        </w:rPr>
        <w:t>Published by the Great Barrier Reef Marine Park Authority 2013</w:t>
      </w:r>
    </w:p>
    <w:p w:rsidR="00873274" w:rsidRPr="001B1743" w:rsidRDefault="00873274" w:rsidP="00873274">
      <w:pPr>
        <w:rPr>
          <w:rFonts w:ascii="Arial" w:hAnsi="Arial" w:cs="Arial"/>
          <w:sz w:val="10"/>
          <w:szCs w:val="10"/>
        </w:rPr>
      </w:pPr>
    </w:p>
    <w:p w:rsidR="00873274" w:rsidRPr="008867E8" w:rsidRDefault="00873274" w:rsidP="00873274">
      <w:pPr>
        <w:rPr>
          <w:rFonts w:ascii="Arial" w:hAnsi="Arial" w:cs="Arial"/>
          <w:sz w:val="18"/>
          <w:szCs w:val="18"/>
        </w:rPr>
      </w:pPr>
      <w:r w:rsidRPr="008867E8">
        <w:rPr>
          <w:rFonts w:ascii="Arial" w:hAnsi="Arial" w:cs="Arial"/>
          <w:sz w:val="18"/>
          <w:szCs w:val="18"/>
        </w:rPr>
        <w:t>ISBN  978 1 922126 02 3  (ebook)</w:t>
      </w:r>
    </w:p>
    <w:p w:rsidR="00873274" w:rsidRPr="001B1743" w:rsidRDefault="00873274" w:rsidP="00873274">
      <w:pPr>
        <w:rPr>
          <w:rFonts w:ascii="Arial" w:hAnsi="Arial" w:cs="Arial"/>
          <w:sz w:val="10"/>
          <w:szCs w:val="10"/>
        </w:rPr>
      </w:pPr>
    </w:p>
    <w:p w:rsidR="00873274" w:rsidRPr="007615C6" w:rsidRDefault="00873274" w:rsidP="00873274">
      <w:pPr>
        <w:rPr>
          <w:rFonts w:ascii="Arial" w:hAnsi="Arial" w:cs="Arial"/>
          <w:sz w:val="10"/>
          <w:szCs w:val="10"/>
        </w:rPr>
      </w:pPr>
    </w:p>
    <w:p w:rsidR="00873274" w:rsidRPr="008867E8" w:rsidRDefault="00873274" w:rsidP="00873274">
      <w:pPr>
        <w:rPr>
          <w:rFonts w:ascii="Arial" w:hAnsi="Arial" w:cs="Arial"/>
          <w:sz w:val="18"/>
          <w:szCs w:val="18"/>
        </w:rPr>
      </w:pPr>
      <w:r w:rsidRPr="008867E8">
        <w:rPr>
          <w:rFonts w:ascii="Arial" w:hAnsi="Arial" w:cs="Arial"/>
          <w:sz w:val="18"/>
          <w:szCs w:val="18"/>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sidRPr="007615C6">
        <w:rPr>
          <w:rFonts w:ascii="Arial" w:hAnsi="Arial" w:cs="Arial"/>
          <w:i/>
          <w:sz w:val="18"/>
          <w:szCs w:val="18"/>
        </w:rPr>
        <w:t>Copyright Act 1968</w:t>
      </w:r>
      <w:r w:rsidRPr="008867E8">
        <w:rPr>
          <w:rFonts w:ascii="Arial" w:hAnsi="Arial" w:cs="Arial"/>
          <w:sz w:val="18"/>
          <w:szCs w:val="18"/>
        </w:rPr>
        <w:t xml:space="preserve">, all other rights are reserved. </w:t>
      </w:r>
    </w:p>
    <w:p w:rsidR="00873274" w:rsidRPr="008867E8" w:rsidRDefault="00873274" w:rsidP="00873274">
      <w:pPr>
        <w:rPr>
          <w:rFonts w:ascii="Arial" w:hAnsi="Arial" w:cs="Arial"/>
          <w:b/>
          <w:sz w:val="18"/>
          <w:szCs w:val="18"/>
        </w:rPr>
      </w:pPr>
    </w:p>
    <w:p w:rsidR="00873274" w:rsidRPr="008867E8" w:rsidRDefault="00873274" w:rsidP="00873274">
      <w:pPr>
        <w:rPr>
          <w:rFonts w:ascii="Arial" w:hAnsi="Arial" w:cs="Arial"/>
          <w:b/>
          <w:sz w:val="18"/>
          <w:szCs w:val="18"/>
        </w:rPr>
      </w:pPr>
      <w:r w:rsidRPr="008867E8">
        <w:rPr>
          <w:rFonts w:ascii="Arial" w:hAnsi="Arial" w:cs="Arial"/>
          <w:b/>
          <w:sz w:val="18"/>
          <w:szCs w:val="18"/>
        </w:rPr>
        <w:t>Disclaimer</w:t>
      </w:r>
    </w:p>
    <w:p w:rsidR="00873274" w:rsidRPr="008867E8" w:rsidRDefault="00873274" w:rsidP="00873274">
      <w:pPr>
        <w:rPr>
          <w:rFonts w:ascii="Arial" w:hAnsi="Arial" w:cs="Arial"/>
          <w:sz w:val="18"/>
          <w:szCs w:val="18"/>
        </w:rPr>
      </w:pPr>
      <w:r w:rsidRPr="008867E8">
        <w:rPr>
          <w:rFonts w:ascii="Arial" w:hAnsi="Arial" w:cs="Arial"/>
          <w:sz w:val="18"/>
          <w:szCs w:val="18"/>
        </w:rPr>
        <w:t>The views and opinions expressed in this publication are those of the authors and do not necessarily reflect those of the Australian Government or the Minister for Sustainability, Environment, Water, Population and Communities.</w:t>
      </w:r>
    </w:p>
    <w:p w:rsidR="00873274" w:rsidRPr="007615C6" w:rsidRDefault="00873274" w:rsidP="00873274">
      <w:pPr>
        <w:rPr>
          <w:rFonts w:ascii="Arial" w:hAnsi="Arial" w:cs="Arial"/>
          <w:sz w:val="8"/>
          <w:szCs w:val="8"/>
        </w:rPr>
      </w:pPr>
    </w:p>
    <w:p w:rsidR="00873274" w:rsidRPr="008867E8" w:rsidRDefault="00873274" w:rsidP="00873274">
      <w:pPr>
        <w:rPr>
          <w:rFonts w:ascii="Arial" w:hAnsi="Arial" w:cs="Arial"/>
          <w:sz w:val="18"/>
          <w:szCs w:val="18"/>
        </w:rPr>
      </w:pPr>
      <w:r w:rsidRPr="008867E8">
        <w:rPr>
          <w:rFonts w:ascii="Arial" w:hAnsi="Arial" w:cs="Arial"/>
          <w:sz w:val="18"/>
          <w:szCs w:val="18"/>
        </w:rPr>
        <w:t>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w:t>
      </w:r>
    </w:p>
    <w:p w:rsidR="00873274" w:rsidRPr="00EE1CF3" w:rsidRDefault="00873274" w:rsidP="00873274">
      <w:pPr>
        <w:rPr>
          <w:rFonts w:ascii="Arial" w:hAnsi="Arial" w:cs="Arial"/>
          <w:b/>
          <w:sz w:val="10"/>
          <w:szCs w:val="10"/>
        </w:rPr>
      </w:pPr>
    </w:p>
    <w:p w:rsidR="00873274" w:rsidRPr="008867E8" w:rsidRDefault="00873274" w:rsidP="00873274">
      <w:pPr>
        <w:rPr>
          <w:rFonts w:ascii="Arial" w:hAnsi="Arial" w:cs="Arial"/>
          <w:b/>
          <w:sz w:val="18"/>
          <w:szCs w:val="18"/>
        </w:rPr>
      </w:pPr>
    </w:p>
    <w:p w:rsidR="00873274" w:rsidRPr="007615C6" w:rsidRDefault="00873274" w:rsidP="00873274">
      <w:pPr>
        <w:rPr>
          <w:rFonts w:ascii="Arial" w:hAnsi="Arial" w:cs="Arial"/>
          <w:b/>
          <w:sz w:val="18"/>
          <w:szCs w:val="18"/>
        </w:rPr>
      </w:pPr>
      <w:r w:rsidRPr="007615C6">
        <w:rPr>
          <w:rFonts w:ascii="Arial" w:hAnsi="Arial" w:cs="Arial"/>
          <w:b/>
          <w:sz w:val="18"/>
          <w:szCs w:val="18"/>
        </w:rPr>
        <w:t>National Library of Australia Cataloguing-in-Publication entry</w:t>
      </w:r>
    </w:p>
    <w:p w:rsidR="00873274" w:rsidRPr="007615C6" w:rsidRDefault="00873274" w:rsidP="00873274">
      <w:pPr>
        <w:rPr>
          <w:rFonts w:ascii="Arial" w:hAnsi="Arial" w:cs="Arial"/>
          <w:sz w:val="8"/>
          <w:szCs w:val="8"/>
        </w:rPr>
      </w:pPr>
    </w:p>
    <w:p w:rsidR="00873274" w:rsidRPr="008867E8" w:rsidRDefault="00873274" w:rsidP="00873274">
      <w:pPr>
        <w:rPr>
          <w:rFonts w:ascii="Arial" w:hAnsi="Arial" w:cs="Arial"/>
          <w:sz w:val="18"/>
          <w:szCs w:val="18"/>
        </w:rPr>
      </w:pPr>
      <w:r w:rsidRPr="008867E8">
        <w:rPr>
          <w:rFonts w:ascii="Arial" w:hAnsi="Arial" w:cs="Arial"/>
          <w:sz w:val="18"/>
          <w:szCs w:val="18"/>
        </w:rPr>
        <w:t>Economic contribution of the Great Barrier Reef / Deloitte Access Economics.</w:t>
      </w:r>
    </w:p>
    <w:p w:rsidR="00873274" w:rsidRPr="007615C6" w:rsidRDefault="00873274" w:rsidP="00873274">
      <w:pPr>
        <w:rPr>
          <w:rFonts w:ascii="Arial" w:hAnsi="Arial" w:cs="Arial"/>
          <w:sz w:val="8"/>
          <w:szCs w:val="8"/>
        </w:rPr>
      </w:pPr>
    </w:p>
    <w:p w:rsidR="00873274" w:rsidRPr="008867E8" w:rsidRDefault="00873274" w:rsidP="00873274">
      <w:pPr>
        <w:rPr>
          <w:rFonts w:ascii="Arial" w:hAnsi="Arial" w:cs="Arial"/>
          <w:sz w:val="18"/>
          <w:szCs w:val="18"/>
        </w:rPr>
      </w:pPr>
      <w:r w:rsidRPr="008867E8">
        <w:rPr>
          <w:rFonts w:ascii="Arial" w:hAnsi="Arial" w:cs="Arial"/>
          <w:sz w:val="18"/>
          <w:szCs w:val="18"/>
        </w:rPr>
        <w:t>ISBN  978 1 922126 02 3  (ebook)</w:t>
      </w:r>
    </w:p>
    <w:p w:rsidR="00873274" w:rsidRPr="007615C6" w:rsidRDefault="00873274" w:rsidP="00873274">
      <w:pPr>
        <w:rPr>
          <w:rFonts w:ascii="Arial" w:hAnsi="Arial" w:cs="Arial"/>
          <w:sz w:val="8"/>
          <w:szCs w:val="8"/>
        </w:rPr>
      </w:pPr>
    </w:p>
    <w:p w:rsidR="00873274" w:rsidRPr="008867E8" w:rsidRDefault="00873274" w:rsidP="00873274">
      <w:pPr>
        <w:rPr>
          <w:rFonts w:ascii="Arial" w:hAnsi="Arial" w:cs="Arial"/>
          <w:sz w:val="18"/>
          <w:szCs w:val="18"/>
        </w:rPr>
      </w:pPr>
      <w:r w:rsidRPr="008867E8">
        <w:rPr>
          <w:rFonts w:ascii="Arial" w:hAnsi="Arial" w:cs="Arial"/>
          <w:sz w:val="18"/>
          <w:szCs w:val="18"/>
        </w:rPr>
        <w:t>Tourism--Queensland--Great Barrier Reef--Evaluation.</w:t>
      </w:r>
    </w:p>
    <w:p w:rsidR="00873274" w:rsidRPr="008867E8" w:rsidRDefault="00873274" w:rsidP="00873274">
      <w:pPr>
        <w:rPr>
          <w:rFonts w:ascii="Arial" w:hAnsi="Arial" w:cs="Arial"/>
          <w:sz w:val="18"/>
          <w:szCs w:val="18"/>
        </w:rPr>
      </w:pPr>
      <w:r w:rsidRPr="008867E8">
        <w:rPr>
          <w:rFonts w:ascii="Arial" w:hAnsi="Arial" w:cs="Arial"/>
          <w:sz w:val="18"/>
          <w:szCs w:val="18"/>
        </w:rPr>
        <w:t>Fisheries--Queensland--Great Barrier Reef--Evaluation.</w:t>
      </w:r>
    </w:p>
    <w:p w:rsidR="00873274" w:rsidRPr="008867E8" w:rsidRDefault="00873274" w:rsidP="00873274">
      <w:pPr>
        <w:rPr>
          <w:rFonts w:ascii="Arial" w:hAnsi="Arial" w:cs="Arial"/>
          <w:sz w:val="18"/>
          <w:szCs w:val="18"/>
        </w:rPr>
      </w:pPr>
      <w:r w:rsidRPr="008867E8">
        <w:rPr>
          <w:rFonts w:ascii="Arial" w:hAnsi="Arial" w:cs="Arial"/>
          <w:sz w:val="18"/>
          <w:szCs w:val="18"/>
        </w:rPr>
        <w:t>Recreation areas--Australia--Economic conditions.</w:t>
      </w:r>
    </w:p>
    <w:p w:rsidR="00873274" w:rsidRPr="008867E8" w:rsidRDefault="00873274" w:rsidP="00873274">
      <w:pPr>
        <w:rPr>
          <w:rFonts w:ascii="Arial" w:hAnsi="Arial" w:cs="Arial"/>
          <w:sz w:val="18"/>
          <w:szCs w:val="18"/>
        </w:rPr>
      </w:pPr>
      <w:r w:rsidRPr="008867E8">
        <w:rPr>
          <w:rFonts w:ascii="Arial" w:hAnsi="Arial" w:cs="Arial"/>
          <w:sz w:val="18"/>
          <w:szCs w:val="18"/>
        </w:rPr>
        <w:t>Great Barrier Reef (Qld.)--Economic conditions.</w:t>
      </w:r>
    </w:p>
    <w:p w:rsidR="00873274" w:rsidRPr="008867E8" w:rsidRDefault="00873274" w:rsidP="00873274">
      <w:pPr>
        <w:rPr>
          <w:rFonts w:ascii="Arial" w:hAnsi="Arial" w:cs="Arial"/>
          <w:sz w:val="18"/>
          <w:szCs w:val="18"/>
        </w:rPr>
      </w:pPr>
      <w:r w:rsidRPr="008867E8">
        <w:rPr>
          <w:rFonts w:ascii="Arial" w:hAnsi="Arial" w:cs="Arial"/>
          <w:sz w:val="18"/>
          <w:szCs w:val="18"/>
        </w:rPr>
        <w:t>Great Barrier Reef (Qld.)--Management.</w:t>
      </w:r>
    </w:p>
    <w:p w:rsidR="00873274" w:rsidRPr="007615C6" w:rsidRDefault="00873274" w:rsidP="00873274">
      <w:pPr>
        <w:rPr>
          <w:rFonts w:ascii="Arial" w:hAnsi="Arial" w:cs="Arial"/>
          <w:sz w:val="8"/>
          <w:szCs w:val="8"/>
        </w:rPr>
      </w:pPr>
    </w:p>
    <w:p w:rsidR="00873274" w:rsidRPr="008867E8" w:rsidRDefault="00873274" w:rsidP="00873274">
      <w:pPr>
        <w:rPr>
          <w:rFonts w:ascii="Arial" w:hAnsi="Arial" w:cs="Arial"/>
          <w:sz w:val="18"/>
          <w:szCs w:val="18"/>
        </w:rPr>
      </w:pPr>
      <w:r>
        <w:rPr>
          <w:rFonts w:ascii="Arial" w:hAnsi="Arial" w:cs="Arial"/>
          <w:sz w:val="18"/>
          <w:szCs w:val="18"/>
        </w:rPr>
        <w:t xml:space="preserve">Great Barrier Reef Marine Park Authority </w:t>
      </w:r>
    </w:p>
    <w:p w:rsidR="00873274" w:rsidRPr="007615C6" w:rsidRDefault="00873274" w:rsidP="00873274">
      <w:pPr>
        <w:rPr>
          <w:rFonts w:ascii="Arial" w:hAnsi="Arial" w:cs="Arial"/>
          <w:sz w:val="8"/>
          <w:szCs w:val="8"/>
        </w:rPr>
      </w:pPr>
    </w:p>
    <w:p w:rsidR="00873274" w:rsidRPr="008867E8" w:rsidRDefault="00873274" w:rsidP="00873274">
      <w:pPr>
        <w:rPr>
          <w:rFonts w:ascii="Arial" w:hAnsi="Arial" w:cs="Arial"/>
          <w:sz w:val="18"/>
          <w:szCs w:val="18"/>
        </w:rPr>
      </w:pPr>
      <w:r w:rsidRPr="008867E8">
        <w:rPr>
          <w:rFonts w:ascii="Arial" w:hAnsi="Arial" w:cs="Arial"/>
          <w:sz w:val="18"/>
          <w:szCs w:val="18"/>
        </w:rPr>
        <w:t>577.78909943</w:t>
      </w:r>
    </w:p>
    <w:p w:rsidR="00873274" w:rsidRPr="008867E8" w:rsidRDefault="00873274" w:rsidP="00873274">
      <w:pPr>
        <w:rPr>
          <w:rFonts w:ascii="Arial" w:hAnsi="Arial" w:cs="Arial"/>
          <w:sz w:val="18"/>
          <w:szCs w:val="18"/>
        </w:rPr>
      </w:pPr>
    </w:p>
    <w:p w:rsidR="00873274" w:rsidRPr="008867E8" w:rsidRDefault="00873274" w:rsidP="00873274">
      <w:pPr>
        <w:rPr>
          <w:rFonts w:ascii="Arial" w:hAnsi="Arial" w:cs="Arial"/>
          <w:b/>
          <w:sz w:val="18"/>
          <w:szCs w:val="18"/>
        </w:rPr>
      </w:pPr>
      <w:r w:rsidRPr="008867E8">
        <w:rPr>
          <w:rFonts w:ascii="Arial" w:hAnsi="Arial" w:cs="Arial"/>
          <w:b/>
          <w:sz w:val="18"/>
          <w:szCs w:val="18"/>
        </w:rPr>
        <w:t>This publication should be cited as:</w:t>
      </w:r>
    </w:p>
    <w:p w:rsidR="00873274" w:rsidRPr="008867E8" w:rsidRDefault="00873274" w:rsidP="00873274">
      <w:pPr>
        <w:rPr>
          <w:rFonts w:ascii="Arial" w:hAnsi="Arial" w:cs="Arial"/>
          <w:sz w:val="18"/>
          <w:szCs w:val="18"/>
        </w:rPr>
      </w:pPr>
      <w:r>
        <w:rPr>
          <w:rFonts w:ascii="Arial" w:hAnsi="Arial" w:cs="Arial"/>
          <w:sz w:val="18"/>
          <w:szCs w:val="18"/>
        </w:rPr>
        <w:t>Deloitte Access Economics 2013</w:t>
      </w:r>
      <w:r w:rsidRPr="008867E8">
        <w:rPr>
          <w:rFonts w:ascii="Arial" w:hAnsi="Arial" w:cs="Arial"/>
          <w:sz w:val="18"/>
          <w:szCs w:val="18"/>
        </w:rPr>
        <w:t>, Economic contribution of the Great Barrier Reef, Great Barrier Reef Marine Park Authority, Townsville.</w:t>
      </w:r>
    </w:p>
    <w:p w:rsidR="00873274" w:rsidRPr="00EE1CF3" w:rsidRDefault="00873274" w:rsidP="00873274">
      <w:pPr>
        <w:rPr>
          <w:rFonts w:ascii="Arial" w:hAnsi="Arial" w:cs="Arial"/>
          <w:sz w:val="10"/>
          <w:szCs w:val="10"/>
        </w:rPr>
      </w:pPr>
    </w:p>
    <w:p w:rsidR="00873274" w:rsidRPr="008867E8" w:rsidRDefault="00873274" w:rsidP="00873274">
      <w:pPr>
        <w:rPr>
          <w:rFonts w:ascii="Arial" w:hAnsi="Arial" w:cs="Arial"/>
          <w:b/>
          <w:sz w:val="18"/>
          <w:szCs w:val="18"/>
        </w:rPr>
      </w:pPr>
      <w:r w:rsidRPr="008867E8">
        <w:rPr>
          <w:rFonts w:ascii="Arial" w:hAnsi="Arial" w:cs="Arial"/>
          <w:b/>
          <w:sz w:val="18"/>
          <w:szCs w:val="18"/>
        </w:rPr>
        <w:t xml:space="preserve">Deloittes Access Economics: </w:t>
      </w:r>
    </w:p>
    <w:p w:rsidR="00873274" w:rsidRPr="008867E8" w:rsidRDefault="00873274" w:rsidP="00873274">
      <w:pPr>
        <w:rPr>
          <w:rFonts w:ascii="Arial" w:hAnsi="Arial" w:cs="Arial"/>
          <w:sz w:val="18"/>
          <w:szCs w:val="18"/>
        </w:rPr>
      </w:pPr>
      <w:r w:rsidRPr="008867E8">
        <w:rPr>
          <w:rFonts w:ascii="Arial" w:hAnsi="Arial" w:cs="Arial"/>
          <w:sz w:val="18"/>
          <w:szCs w:val="18"/>
        </w:rPr>
        <w:t>Liability limited by a scheme approved under Professional Standards Legislation.</w:t>
      </w:r>
    </w:p>
    <w:p w:rsidR="00873274" w:rsidRPr="007615C6" w:rsidRDefault="00873274" w:rsidP="00873274">
      <w:pPr>
        <w:rPr>
          <w:rFonts w:ascii="Arial" w:hAnsi="Arial" w:cs="Arial"/>
          <w:sz w:val="8"/>
          <w:szCs w:val="8"/>
        </w:rPr>
      </w:pPr>
    </w:p>
    <w:p w:rsidR="00873274" w:rsidRPr="008867E8" w:rsidRDefault="00873274" w:rsidP="00873274">
      <w:pPr>
        <w:rPr>
          <w:rFonts w:ascii="Arial" w:hAnsi="Arial" w:cs="Arial"/>
          <w:sz w:val="18"/>
          <w:szCs w:val="18"/>
        </w:rPr>
      </w:pPr>
      <w:r w:rsidRPr="008867E8">
        <w:rPr>
          <w:rFonts w:ascii="Arial" w:hAnsi="Arial" w:cs="Arial"/>
          <w:sz w:val="18"/>
          <w:szCs w:val="18"/>
        </w:rPr>
        <w:t>Deloitte refers to one or more of Deloitte Touche Tohmatsu Limited, a UK private company limited by guarantee, and its network of member firms, each of which is a legally separate and independent entity. Please see www.deloitte.com/au/about for a detailed description of the legal structure of Deloitte Touche Tohmatsu Limited and its member firms.</w:t>
      </w:r>
    </w:p>
    <w:p w:rsidR="00873274" w:rsidRDefault="00873274" w:rsidP="00873274">
      <w:pPr>
        <w:rPr>
          <w:rFonts w:ascii="Arial" w:hAnsi="Arial" w:cs="Arial"/>
          <w:b/>
          <w:sz w:val="18"/>
          <w:szCs w:val="18"/>
        </w:rPr>
      </w:pPr>
    </w:p>
    <w:p w:rsidR="00873274" w:rsidRDefault="00873274" w:rsidP="00873274">
      <w:pPr>
        <w:rPr>
          <w:rFonts w:ascii="Arial" w:hAnsi="Arial" w:cs="Arial"/>
          <w:b/>
          <w:sz w:val="18"/>
          <w:szCs w:val="18"/>
        </w:rPr>
      </w:pPr>
      <w:r>
        <w:rPr>
          <w:rFonts w:ascii="Arial" w:hAnsi="Arial" w:cs="Arial"/>
          <w:b/>
          <w:noProof/>
          <w:sz w:val="18"/>
          <w:szCs w:val="18"/>
          <w:lang w:eastAsia="en-AU"/>
        </w:rPr>
        <w:drawing>
          <wp:inline distT="0" distB="0" distL="0" distR="0">
            <wp:extent cx="2847975" cy="834015"/>
            <wp:effectExtent l="0" t="0" r="0" b="4445"/>
            <wp:docPr id="6" name="Picture 6" descr="Joint Australian Government logo showing both the Great Barrier Reef Marine Park Authority and the Department of Sustainability, Environment, Water, Population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lnlineLogo_GBRMPA_SEWPC.eps"/>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8016" cy="836956"/>
                    </a:xfrm>
                    <a:prstGeom prst="rect">
                      <a:avLst/>
                    </a:prstGeom>
                  </pic:spPr>
                </pic:pic>
              </a:graphicData>
            </a:graphic>
          </wp:inline>
        </w:drawing>
      </w:r>
    </w:p>
    <w:p w:rsidR="00873274" w:rsidRPr="008867E8" w:rsidRDefault="00873274" w:rsidP="00873274">
      <w:pPr>
        <w:rPr>
          <w:rFonts w:ascii="Arial" w:hAnsi="Arial" w:cs="Arial"/>
          <w:b/>
          <w:sz w:val="18"/>
          <w:szCs w:val="18"/>
        </w:rPr>
      </w:pPr>
    </w:p>
    <w:p w:rsidR="00873274" w:rsidRDefault="00873274" w:rsidP="00873274">
      <w:pPr>
        <w:rPr>
          <w:rFonts w:ascii="Arial" w:hAnsi="Arial" w:cs="Arial"/>
          <w:b/>
          <w:sz w:val="18"/>
          <w:szCs w:val="18"/>
        </w:rPr>
      </w:pPr>
      <w:r w:rsidRPr="008867E8">
        <w:rPr>
          <w:rFonts w:ascii="Arial" w:hAnsi="Arial" w:cs="Arial"/>
          <w:b/>
          <w:sz w:val="18"/>
          <w:szCs w:val="18"/>
        </w:rPr>
        <w:t>Requests and enquiries concerning reproduction and rights should be addressed to:</w:t>
      </w:r>
    </w:p>
    <w:p w:rsidR="00873274" w:rsidRPr="001048EE" w:rsidRDefault="00873274" w:rsidP="00873274">
      <w:pPr>
        <w:rPr>
          <w:rFonts w:ascii="Arial" w:hAnsi="Arial" w:cs="Arial"/>
          <w:b/>
          <w:sz w:val="8"/>
          <w:szCs w:val="8"/>
        </w:rPr>
      </w:pPr>
    </w:p>
    <w:p w:rsidR="00873274" w:rsidRPr="008867E8" w:rsidRDefault="00873274" w:rsidP="00873274">
      <w:pPr>
        <w:ind w:left="1134"/>
        <w:rPr>
          <w:rFonts w:ascii="Arial" w:hAnsi="Arial" w:cs="Arial"/>
          <w:sz w:val="18"/>
          <w:szCs w:val="18"/>
        </w:rPr>
      </w:pPr>
      <w:r w:rsidRPr="008867E8">
        <w:rPr>
          <w:rFonts w:ascii="Arial" w:hAnsi="Arial" w:cs="Arial"/>
          <w:sz w:val="18"/>
          <w:szCs w:val="18"/>
        </w:rPr>
        <w:t xml:space="preserve">Great Barrier Reef Marine Park Authority </w:t>
      </w:r>
    </w:p>
    <w:p w:rsidR="00873274" w:rsidRPr="008867E8" w:rsidRDefault="00873274" w:rsidP="00873274">
      <w:pPr>
        <w:ind w:left="1134"/>
        <w:rPr>
          <w:rFonts w:ascii="Arial" w:hAnsi="Arial" w:cs="Arial"/>
          <w:sz w:val="18"/>
          <w:szCs w:val="18"/>
        </w:rPr>
      </w:pPr>
      <w:r w:rsidRPr="008867E8">
        <w:rPr>
          <w:rFonts w:ascii="Arial" w:hAnsi="Arial" w:cs="Arial"/>
          <w:sz w:val="18"/>
          <w:szCs w:val="18"/>
        </w:rPr>
        <w:t xml:space="preserve">2-68 Flinders Street (PO Box 1379) </w:t>
      </w:r>
    </w:p>
    <w:p w:rsidR="00873274" w:rsidRPr="008867E8" w:rsidRDefault="00873274" w:rsidP="00873274">
      <w:pPr>
        <w:ind w:left="1134"/>
        <w:rPr>
          <w:rFonts w:ascii="Arial" w:hAnsi="Arial" w:cs="Arial"/>
          <w:sz w:val="18"/>
          <w:szCs w:val="18"/>
        </w:rPr>
      </w:pPr>
      <w:r w:rsidRPr="008867E8">
        <w:rPr>
          <w:rFonts w:ascii="Arial" w:hAnsi="Arial" w:cs="Arial"/>
          <w:sz w:val="18"/>
          <w:szCs w:val="18"/>
        </w:rPr>
        <w:t xml:space="preserve">Townsville QLD 4810, Australia </w:t>
      </w:r>
    </w:p>
    <w:p w:rsidR="00873274" w:rsidRPr="007615C6" w:rsidRDefault="00873274" w:rsidP="00873274">
      <w:pPr>
        <w:ind w:left="1134"/>
        <w:rPr>
          <w:rFonts w:ascii="Arial" w:hAnsi="Arial" w:cs="Arial"/>
          <w:sz w:val="8"/>
          <w:szCs w:val="8"/>
        </w:rPr>
      </w:pPr>
    </w:p>
    <w:p w:rsidR="00873274" w:rsidRPr="008867E8" w:rsidRDefault="00873274" w:rsidP="00873274">
      <w:pPr>
        <w:ind w:left="1134"/>
        <w:rPr>
          <w:rFonts w:ascii="Arial" w:hAnsi="Arial" w:cs="Arial"/>
          <w:sz w:val="18"/>
          <w:szCs w:val="18"/>
        </w:rPr>
      </w:pPr>
      <w:r w:rsidRPr="008867E8">
        <w:rPr>
          <w:rFonts w:ascii="Arial" w:hAnsi="Arial" w:cs="Arial"/>
          <w:sz w:val="18"/>
          <w:szCs w:val="18"/>
        </w:rPr>
        <w:t xml:space="preserve">Phone: (07) 4750 0700 </w:t>
      </w:r>
    </w:p>
    <w:p w:rsidR="00873274" w:rsidRPr="008867E8" w:rsidRDefault="00873274" w:rsidP="00873274">
      <w:pPr>
        <w:ind w:left="1134"/>
        <w:rPr>
          <w:rFonts w:ascii="Arial" w:hAnsi="Arial" w:cs="Arial"/>
          <w:sz w:val="18"/>
          <w:szCs w:val="18"/>
        </w:rPr>
      </w:pPr>
      <w:r w:rsidRPr="008867E8">
        <w:rPr>
          <w:rFonts w:ascii="Arial" w:hAnsi="Arial" w:cs="Arial"/>
          <w:sz w:val="18"/>
          <w:szCs w:val="18"/>
        </w:rPr>
        <w:t xml:space="preserve">Fax: (07) 4772 6093 </w:t>
      </w:r>
    </w:p>
    <w:p w:rsidR="00873274" w:rsidRDefault="00873274" w:rsidP="00873274">
      <w:pPr>
        <w:ind w:left="1134"/>
        <w:rPr>
          <w:rFonts w:ascii="Arial" w:hAnsi="Arial" w:cs="Arial"/>
          <w:sz w:val="18"/>
          <w:szCs w:val="18"/>
        </w:rPr>
      </w:pPr>
      <w:r w:rsidRPr="008867E8">
        <w:rPr>
          <w:rFonts w:ascii="Arial" w:hAnsi="Arial" w:cs="Arial"/>
          <w:sz w:val="18"/>
          <w:szCs w:val="18"/>
        </w:rPr>
        <w:t xml:space="preserve">Email: </w:t>
      </w:r>
      <w:hyperlink r:id="rId16" w:history="1">
        <w:r w:rsidRPr="001139FA">
          <w:rPr>
            <w:rStyle w:val="Hyperlink"/>
            <w:rFonts w:ascii="Arial" w:hAnsi="Arial" w:cs="Arial"/>
            <w:sz w:val="18"/>
            <w:szCs w:val="18"/>
          </w:rPr>
          <w:t>info@gbrmpa.gov.au</w:t>
        </w:r>
      </w:hyperlink>
    </w:p>
    <w:p w:rsidR="00873274" w:rsidRPr="008867E8" w:rsidRDefault="00873274" w:rsidP="00873274">
      <w:pPr>
        <w:ind w:left="1134"/>
        <w:rPr>
          <w:rFonts w:ascii="Arial" w:hAnsi="Arial" w:cs="Arial"/>
          <w:sz w:val="18"/>
          <w:szCs w:val="18"/>
        </w:rPr>
      </w:pPr>
      <w:r w:rsidRPr="008867E8">
        <w:rPr>
          <w:rFonts w:ascii="Arial" w:hAnsi="Arial" w:cs="Arial"/>
          <w:sz w:val="18"/>
          <w:szCs w:val="18"/>
        </w:rPr>
        <w:t xml:space="preserve"> </w:t>
      </w:r>
    </w:p>
    <w:p w:rsidR="00873274" w:rsidRPr="008867E8" w:rsidRDefault="00873274" w:rsidP="00873274">
      <w:pPr>
        <w:ind w:left="1134"/>
        <w:rPr>
          <w:rFonts w:ascii="Arial" w:hAnsi="Arial" w:cs="Arial"/>
          <w:sz w:val="18"/>
          <w:szCs w:val="18"/>
        </w:rPr>
      </w:pPr>
      <w:r w:rsidRPr="008867E8">
        <w:rPr>
          <w:rFonts w:ascii="Arial" w:hAnsi="Arial" w:cs="Arial"/>
          <w:sz w:val="18"/>
          <w:szCs w:val="18"/>
        </w:rPr>
        <w:t>www.gbrmpa.gov.au</w:t>
      </w:r>
    </w:p>
    <w:p w:rsidR="00873274" w:rsidRPr="008867E8" w:rsidRDefault="00873274" w:rsidP="00873274">
      <w:pPr>
        <w:rPr>
          <w:rFonts w:ascii="Arial" w:hAnsi="Arial" w:cs="Arial"/>
          <w:sz w:val="18"/>
          <w:szCs w:val="18"/>
        </w:rPr>
      </w:pPr>
      <w:r w:rsidRPr="008867E8">
        <w:rPr>
          <w:rFonts w:ascii="Arial" w:hAnsi="Arial" w:cs="Arial"/>
          <w:snapToGrid w:val="0"/>
          <w:color w:val="000000"/>
          <w:w w:val="0"/>
          <w:sz w:val="18"/>
          <w:szCs w:val="18"/>
          <w:u w:color="000000"/>
          <w:bdr w:val="none" w:sz="0" w:space="0" w:color="000000"/>
          <w:shd w:val="clear" w:color="000000" w:fill="000000"/>
        </w:rPr>
        <w:t xml:space="preserve"> </w:t>
      </w:r>
    </w:p>
    <w:p w:rsidR="00873274" w:rsidRDefault="00873274" w:rsidP="00873274">
      <w:pPr>
        <w:rPr>
          <w:rFonts w:ascii="Arial" w:hAnsi="Arial" w:cs="Arial"/>
        </w:rPr>
      </w:pPr>
      <w:r w:rsidRPr="008867E8">
        <w:rPr>
          <w:rFonts w:ascii="Arial" w:hAnsi="Arial" w:cs="Arial"/>
          <w:sz w:val="18"/>
          <w:szCs w:val="18"/>
        </w:rPr>
        <w:tab/>
      </w:r>
      <w:r w:rsidRPr="008867E8">
        <w:rPr>
          <w:rFonts w:ascii="Arial" w:hAnsi="Arial" w:cs="Arial"/>
          <w:sz w:val="18"/>
          <w:szCs w:val="18"/>
        </w:rPr>
        <w:tab/>
      </w:r>
      <w:r w:rsidRPr="008867E8">
        <w:rPr>
          <w:rFonts w:ascii="Arial" w:hAnsi="Arial" w:cs="Arial"/>
          <w:sz w:val="18"/>
          <w:szCs w:val="18"/>
        </w:rPr>
        <w:tab/>
      </w:r>
      <w:r w:rsidRPr="008867E8">
        <w:rPr>
          <w:rFonts w:ascii="Arial" w:hAnsi="Arial" w:cs="Arial"/>
          <w:sz w:val="18"/>
          <w:szCs w:val="18"/>
        </w:rPr>
        <w:tab/>
      </w:r>
      <w:r w:rsidRPr="008867E8">
        <w:rPr>
          <w:rFonts w:ascii="Arial" w:hAnsi="Arial" w:cs="Arial"/>
          <w:sz w:val="18"/>
          <w:szCs w:val="18"/>
        </w:rPr>
        <w:tab/>
      </w:r>
      <w:r w:rsidRPr="005D0E17">
        <w:rPr>
          <w:rFonts w:ascii="Arial" w:hAnsi="Arial" w:cs="Arial"/>
          <w:sz w:val="20"/>
        </w:rPr>
        <w:tab/>
      </w:r>
      <w:r w:rsidRPr="005D0E17">
        <w:rPr>
          <w:rFonts w:ascii="Arial" w:hAnsi="Arial" w:cs="Arial"/>
          <w:sz w:val="20"/>
        </w:rPr>
        <w:tab/>
      </w:r>
      <w:r w:rsidRPr="005D0E17">
        <w:rPr>
          <w:rFonts w:ascii="Arial" w:hAnsi="Arial" w:cs="Arial"/>
          <w:sz w:val="20"/>
        </w:rPr>
        <w:tab/>
      </w:r>
      <w:r>
        <w:rPr>
          <w:rFonts w:ascii="Arial" w:hAnsi="Arial" w:cs="Arial"/>
        </w:rPr>
        <w:br w:type="page"/>
      </w:r>
    </w:p>
    <w:p w:rsidR="0034223A" w:rsidRPr="00DF3703" w:rsidRDefault="0034223A" w:rsidP="0034223A">
      <w:pPr>
        <w:pStyle w:val="BodyText"/>
        <w:rPr>
          <w:rFonts w:ascii="Arial" w:hAnsi="Arial" w:cs="Arial"/>
        </w:rPr>
      </w:pPr>
    </w:p>
    <w:p w:rsidR="0083527A" w:rsidRPr="00DF3703" w:rsidRDefault="006B7D88" w:rsidP="0083527A">
      <w:pPr>
        <w:pStyle w:val="Contents-Major"/>
        <w:rPr>
          <w:rFonts w:ascii="Segoe UI" w:hAnsi="Segoe UI" w:cs="Segoe UI"/>
        </w:rPr>
      </w:pPr>
      <w:r w:rsidRPr="00DF3703">
        <w:rPr>
          <w:rFonts w:ascii="Segoe UI" w:hAnsi="Segoe UI" w:cs="Segoe UI"/>
        </w:rPr>
        <w:t>Contents</w:t>
      </w:r>
    </w:p>
    <w:p w:rsidR="00873274" w:rsidRDefault="00EB023D">
      <w:pPr>
        <w:pStyle w:val="TOC1"/>
        <w:rPr>
          <w:rFonts w:asciiTheme="minorHAnsi" w:eastAsiaTheme="minorEastAsia" w:hAnsiTheme="minorHAnsi" w:cstheme="minorBidi"/>
          <w:noProof/>
          <w:lang w:eastAsia="en-AU"/>
        </w:rPr>
      </w:pPr>
      <w:r w:rsidRPr="00DF3703">
        <w:rPr>
          <w:rFonts w:ascii="Arial" w:hAnsi="Arial"/>
          <w:b/>
          <w:caps/>
        </w:rPr>
        <w:fldChar w:fldCharType="begin"/>
      </w:r>
      <w:r w:rsidR="006B7D88" w:rsidRPr="00DF3703">
        <w:rPr>
          <w:rFonts w:ascii="Arial" w:hAnsi="Arial"/>
          <w:b/>
          <w:caps/>
        </w:rPr>
        <w:instrText xml:space="preserve"> TOC \o "1-2" \h \z \t "Major Heading,1,Appendix,1,Glossary,1,Heading A,1" </w:instrText>
      </w:r>
      <w:r w:rsidRPr="00DF3703">
        <w:rPr>
          <w:rFonts w:ascii="Arial" w:hAnsi="Arial"/>
          <w:b/>
          <w:caps/>
        </w:rPr>
        <w:fldChar w:fldCharType="separate"/>
      </w:r>
      <w:hyperlink w:anchor="_Toc355700970" w:history="1">
        <w:r w:rsidR="00873274" w:rsidRPr="009D64E2">
          <w:rPr>
            <w:rStyle w:val="Hyperlink"/>
            <w:rFonts w:ascii="Segoe UI" w:hAnsi="Segoe UI" w:cs="Segoe UI"/>
            <w:noProof/>
          </w:rPr>
          <w:t>Glossary</w:t>
        </w:r>
        <w:r w:rsidR="00873274">
          <w:rPr>
            <w:noProof/>
            <w:webHidden/>
          </w:rPr>
          <w:tab/>
        </w:r>
        <w:r>
          <w:rPr>
            <w:noProof/>
            <w:webHidden/>
          </w:rPr>
          <w:fldChar w:fldCharType="begin"/>
        </w:r>
        <w:r w:rsidR="00873274">
          <w:rPr>
            <w:noProof/>
            <w:webHidden/>
          </w:rPr>
          <w:instrText xml:space="preserve"> PAGEREF _Toc355700970 \h </w:instrText>
        </w:r>
        <w:r>
          <w:rPr>
            <w:noProof/>
            <w:webHidden/>
          </w:rPr>
        </w:r>
        <w:r>
          <w:rPr>
            <w:noProof/>
            <w:webHidden/>
          </w:rPr>
          <w:fldChar w:fldCharType="separate"/>
        </w:r>
        <w:r w:rsidR="00536D7E">
          <w:rPr>
            <w:noProof/>
            <w:webHidden/>
          </w:rPr>
          <w:t>i</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71" w:history="1">
        <w:r w:rsidR="00873274" w:rsidRPr="009D64E2">
          <w:rPr>
            <w:rStyle w:val="Hyperlink"/>
            <w:rFonts w:ascii="Segoe UI" w:hAnsi="Segoe UI" w:cs="Segoe UI"/>
            <w:noProof/>
          </w:rPr>
          <w:t>Executive Summary</w:t>
        </w:r>
        <w:r w:rsidR="00873274">
          <w:rPr>
            <w:noProof/>
            <w:webHidden/>
          </w:rPr>
          <w:tab/>
        </w:r>
        <w:r>
          <w:rPr>
            <w:noProof/>
            <w:webHidden/>
          </w:rPr>
          <w:fldChar w:fldCharType="begin"/>
        </w:r>
        <w:r w:rsidR="00873274">
          <w:rPr>
            <w:noProof/>
            <w:webHidden/>
          </w:rPr>
          <w:instrText xml:space="preserve"> PAGEREF _Toc355700971 \h </w:instrText>
        </w:r>
        <w:r>
          <w:rPr>
            <w:noProof/>
            <w:webHidden/>
          </w:rPr>
        </w:r>
        <w:r>
          <w:rPr>
            <w:noProof/>
            <w:webHidden/>
          </w:rPr>
          <w:fldChar w:fldCharType="separate"/>
        </w:r>
        <w:r w:rsidR="00536D7E">
          <w:rPr>
            <w:noProof/>
            <w:webHidden/>
          </w:rPr>
          <w:t>i</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72" w:history="1">
        <w:r w:rsidR="00873274" w:rsidRPr="009D64E2">
          <w:rPr>
            <w:rStyle w:val="Hyperlink"/>
            <w:rFonts w:ascii="Segoe UI" w:hAnsi="Segoe UI" w:cs="Segoe UI"/>
            <w:noProof/>
          </w:rPr>
          <w:t>1</w:t>
        </w:r>
        <w:r w:rsidR="00873274">
          <w:rPr>
            <w:rFonts w:asciiTheme="minorHAnsi" w:eastAsiaTheme="minorEastAsia" w:hAnsiTheme="minorHAnsi" w:cstheme="minorBidi"/>
            <w:noProof/>
            <w:lang w:eastAsia="en-AU"/>
          </w:rPr>
          <w:tab/>
        </w:r>
        <w:r w:rsidR="00873274" w:rsidRPr="009D64E2">
          <w:rPr>
            <w:rStyle w:val="Hyperlink"/>
            <w:rFonts w:ascii="Segoe UI" w:hAnsi="Segoe UI" w:cs="Segoe UI"/>
            <w:noProof/>
          </w:rPr>
          <w:t>Introduction</w:t>
        </w:r>
        <w:r w:rsidR="00873274">
          <w:rPr>
            <w:noProof/>
            <w:webHidden/>
          </w:rPr>
          <w:tab/>
        </w:r>
        <w:r>
          <w:rPr>
            <w:noProof/>
            <w:webHidden/>
          </w:rPr>
          <w:fldChar w:fldCharType="begin"/>
        </w:r>
        <w:r w:rsidR="00873274">
          <w:rPr>
            <w:noProof/>
            <w:webHidden/>
          </w:rPr>
          <w:instrText xml:space="preserve"> PAGEREF _Toc355700972 \h </w:instrText>
        </w:r>
        <w:r>
          <w:rPr>
            <w:noProof/>
            <w:webHidden/>
          </w:rPr>
        </w:r>
        <w:r>
          <w:rPr>
            <w:noProof/>
            <w:webHidden/>
          </w:rPr>
          <w:fldChar w:fldCharType="separate"/>
        </w:r>
        <w:r w:rsidR="00536D7E">
          <w:rPr>
            <w:noProof/>
            <w:webHidden/>
          </w:rPr>
          <w:t>1</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73" w:history="1">
        <w:r w:rsidR="00873274" w:rsidRPr="009D64E2">
          <w:rPr>
            <w:rStyle w:val="Hyperlink"/>
            <w:rFonts w:cs="Arial"/>
          </w:rPr>
          <w:t>Economic contribution study method</w:t>
        </w:r>
        <w:r w:rsidR="00873274">
          <w:rPr>
            <w:webHidden/>
          </w:rPr>
          <w:tab/>
        </w:r>
        <w:r>
          <w:rPr>
            <w:webHidden/>
          </w:rPr>
          <w:fldChar w:fldCharType="begin"/>
        </w:r>
        <w:r w:rsidR="00873274">
          <w:rPr>
            <w:webHidden/>
          </w:rPr>
          <w:instrText xml:space="preserve"> PAGEREF _Toc355700973 \h </w:instrText>
        </w:r>
        <w:r>
          <w:rPr>
            <w:webHidden/>
          </w:rPr>
        </w:r>
        <w:r>
          <w:rPr>
            <w:webHidden/>
          </w:rPr>
          <w:fldChar w:fldCharType="separate"/>
        </w:r>
        <w:r w:rsidR="00536D7E">
          <w:rPr>
            <w:webHidden/>
          </w:rPr>
          <w:t>1</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74" w:history="1">
        <w:r w:rsidR="00873274" w:rsidRPr="009D64E2">
          <w:rPr>
            <w:rStyle w:val="Hyperlink"/>
            <w:rFonts w:cs="Arial"/>
          </w:rPr>
          <w:t>Contribution of activity in the Reef catchment</w:t>
        </w:r>
        <w:r w:rsidR="00873274">
          <w:rPr>
            <w:webHidden/>
          </w:rPr>
          <w:tab/>
        </w:r>
        <w:r>
          <w:rPr>
            <w:webHidden/>
          </w:rPr>
          <w:fldChar w:fldCharType="begin"/>
        </w:r>
        <w:r w:rsidR="00873274">
          <w:rPr>
            <w:webHidden/>
          </w:rPr>
          <w:instrText xml:space="preserve"> PAGEREF _Toc355700974 \h </w:instrText>
        </w:r>
        <w:r>
          <w:rPr>
            <w:webHidden/>
          </w:rPr>
        </w:r>
        <w:r>
          <w:rPr>
            <w:webHidden/>
          </w:rPr>
          <w:fldChar w:fldCharType="separate"/>
        </w:r>
        <w:r w:rsidR="00536D7E">
          <w:rPr>
            <w:webHidden/>
          </w:rPr>
          <w:t>1</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75" w:history="1">
        <w:r w:rsidR="00873274" w:rsidRPr="009D64E2">
          <w:rPr>
            <w:rStyle w:val="Hyperlink"/>
            <w:rFonts w:cs="Arial"/>
            <w:i/>
          </w:rPr>
          <w:t>Tourism</w:t>
        </w:r>
        <w:r w:rsidR="00873274">
          <w:rPr>
            <w:webHidden/>
          </w:rPr>
          <w:tab/>
        </w:r>
        <w:r>
          <w:rPr>
            <w:webHidden/>
          </w:rPr>
          <w:fldChar w:fldCharType="begin"/>
        </w:r>
        <w:r w:rsidR="00873274">
          <w:rPr>
            <w:webHidden/>
          </w:rPr>
          <w:instrText xml:space="preserve"> PAGEREF _Toc355700975 \h </w:instrText>
        </w:r>
        <w:r>
          <w:rPr>
            <w:webHidden/>
          </w:rPr>
        </w:r>
        <w:r>
          <w:rPr>
            <w:webHidden/>
          </w:rPr>
          <w:fldChar w:fldCharType="separate"/>
        </w:r>
        <w:r w:rsidR="00536D7E">
          <w:rPr>
            <w:webHidden/>
          </w:rPr>
          <w:t>1</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76" w:history="1">
        <w:r w:rsidR="00873274" w:rsidRPr="009D64E2">
          <w:rPr>
            <w:rStyle w:val="Hyperlink"/>
            <w:rFonts w:cs="Arial"/>
            <w:i/>
          </w:rPr>
          <w:t>Commercial Fishing and Aquaculture</w:t>
        </w:r>
        <w:r w:rsidR="00873274">
          <w:rPr>
            <w:webHidden/>
          </w:rPr>
          <w:tab/>
        </w:r>
        <w:r>
          <w:rPr>
            <w:webHidden/>
          </w:rPr>
          <w:fldChar w:fldCharType="begin"/>
        </w:r>
        <w:r w:rsidR="00873274">
          <w:rPr>
            <w:webHidden/>
          </w:rPr>
          <w:instrText xml:space="preserve"> PAGEREF _Toc355700976 \h </w:instrText>
        </w:r>
        <w:r>
          <w:rPr>
            <w:webHidden/>
          </w:rPr>
        </w:r>
        <w:r>
          <w:rPr>
            <w:webHidden/>
          </w:rPr>
          <w:fldChar w:fldCharType="separate"/>
        </w:r>
        <w:r w:rsidR="00536D7E">
          <w:rPr>
            <w:webHidden/>
          </w:rPr>
          <w:t>2</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77" w:history="1">
        <w:r w:rsidR="00873274" w:rsidRPr="009D64E2">
          <w:rPr>
            <w:rStyle w:val="Hyperlink"/>
            <w:rFonts w:cs="Arial"/>
            <w:i/>
          </w:rPr>
          <w:t>Recreation</w:t>
        </w:r>
        <w:r w:rsidR="00873274">
          <w:rPr>
            <w:webHidden/>
          </w:rPr>
          <w:tab/>
        </w:r>
        <w:r>
          <w:rPr>
            <w:webHidden/>
          </w:rPr>
          <w:fldChar w:fldCharType="begin"/>
        </w:r>
        <w:r w:rsidR="00873274">
          <w:rPr>
            <w:webHidden/>
          </w:rPr>
          <w:instrText xml:space="preserve"> PAGEREF _Toc355700977 \h </w:instrText>
        </w:r>
        <w:r>
          <w:rPr>
            <w:webHidden/>
          </w:rPr>
        </w:r>
        <w:r>
          <w:rPr>
            <w:webHidden/>
          </w:rPr>
          <w:fldChar w:fldCharType="separate"/>
        </w:r>
        <w:r w:rsidR="00536D7E">
          <w:rPr>
            <w:webHidden/>
          </w:rPr>
          <w:t>2</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78" w:history="1">
        <w:r w:rsidR="00873274" w:rsidRPr="009D64E2">
          <w:rPr>
            <w:rStyle w:val="Hyperlink"/>
            <w:rFonts w:cs="Arial"/>
            <w:i/>
          </w:rPr>
          <w:t>Scientific Research and Reef Management</w:t>
        </w:r>
        <w:r w:rsidR="00873274">
          <w:rPr>
            <w:webHidden/>
          </w:rPr>
          <w:tab/>
        </w:r>
        <w:r>
          <w:rPr>
            <w:webHidden/>
          </w:rPr>
          <w:fldChar w:fldCharType="begin"/>
        </w:r>
        <w:r w:rsidR="00873274">
          <w:rPr>
            <w:webHidden/>
          </w:rPr>
          <w:instrText xml:space="preserve"> PAGEREF _Toc355700978 \h </w:instrText>
        </w:r>
        <w:r>
          <w:rPr>
            <w:webHidden/>
          </w:rPr>
        </w:r>
        <w:r>
          <w:rPr>
            <w:webHidden/>
          </w:rPr>
          <w:fldChar w:fldCharType="separate"/>
        </w:r>
        <w:r w:rsidR="00536D7E">
          <w:rPr>
            <w:webHidden/>
          </w:rPr>
          <w:t>2</w:t>
        </w:r>
        <w:r>
          <w:rPr>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79" w:history="1">
        <w:r w:rsidR="00873274" w:rsidRPr="009D64E2">
          <w:rPr>
            <w:rStyle w:val="Hyperlink"/>
            <w:rFonts w:ascii="Segoe UI" w:hAnsi="Segoe UI" w:cs="Segoe UI"/>
            <w:noProof/>
          </w:rPr>
          <w:t>2</w:t>
        </w:r>
        <w:r w:rsidR="00873274">
          <w:rPr>
            <w:rFonts w:asciiTheme="minorHAnsi" w:eastAsiaTheme="minorEastAsia" w:hAnsiTheme="minorHAnsi" w:cstheme="minorBidi"/>
            <w:noProof/>
            <w:lang w:eastAsia="en-AU"/>
          </w:rPr>
          <w:tab/>
        </w:r>
        <w:r w:rsidR="00873274" w:rsidRPr="009D64E2">
          <w:rPr>
            <w:rStyle w:val="Hyperlink"/>
            <w:rFonts w:ascii="Segoe UI" w:hAnsi="Segoe UI" w:cs="Segoe UI"/>
            <w:noProof/>
          </w:rPr>
          <w:t>The Great Barrier Reef</w:t>
        </w:r>
        <w:r w:rsidR="00873274">
          <w:rPr>
            <w:noProof/>
            <w:webHidden/>
          </w:rPr>
          <w:tab/>
        </w:r>
        <w:r>
          <w:rPr>
            <w:noProof/>
            <w:webHidden/>
          </w:rPr>
          <w:fldChar w:fldCharType="begin"/>
        </w:r>
        <w:r w:rsidR="00873274">
          <w:rPr>
            <w:noProof/>
            <w:webHidden/>
          </w:rPr>
          <w:instrText xml:space="preserve"> PAGEREF _Toc355700979 \h </w:instrText>
        </w:r>
        <w:r>
          <w:rPr>
            <w:noProof/>
            <w:webHidden/>
          </w:rPr>
        </w:r>
        <w:r>
          <w:rPr>
            <w:noProof/>
            <w:webHidden/>
          </w:rPr>
          <w:fldChar w:fldCharType="separate"/>
        </w:r>
        <w:r w:rsidR="00536D7E">
          <w:rPr>
            <w:noProof/>
            <w:webHidden/>
          </w:rPr>
          <w:t>4</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0" w:history="1">
        <w:r w:rsidR="00873274" w:rsidRPr="009D64E2">
          <w:rPr>
            <w:rStyle w:val="Hyperlink"/>
            <w:rFonts w:ascii="Arial" w:hAnsi="Arial" w:cs="Arial"/>
          </w:rPr>
          <w:t>2.1</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Economic profile of the catchment – 2011</w:t>
        </w:r>
        <w:r w:rsidR="00873274">
          <w:rPr>
            <w:webHidden/>
          </w:rPr>
          <w:tab/>
        </w:r>
        <w:r>
          <w:rPr>
            <w:webHidden/>
          </w:rPr>
          <w:fldChar w:fldCharType="begin"/>
        </w:r>
        <w:r w:rsidR="00873274">
          <w:rPr>
            <w:webHidden/>
          </w:rPr>
          <w:instrText xml:space="preserve"> PAGEREF _Toc355700980 \h </w:instrText>
        </w:r>
        <w:r>
          <w:rPr>
            <w:webHidden/>
          </w:rPr>
        </w:r>
        <w:r>
          <w:rPr>
            <w:webHidden/>
          </w:rPr>
          <w:fldChar w:fldCharType="separate"/>
        </w:r>
        <w:r w:rsidR="00536D7E">
          <w:rPr>
            <w:webHidden/>
          </w:rPr>
          <w:t>5</w:t>
        </w:r>
        <w:r>
          <w:rPr>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81" w:history="1">
        <w:r w:rsidR="00873274" w:rsidRPr="009D64E2">
          <w:rPr>
            <w:rStyle w:val="Hyperlink"/>
            <w:rFonts w:ascii="Segoe UI" w:hAnsi="Segoe UI" w:cs="Segoe UI"/>
            <w:noProof/>
          </w:rPr>
          <w:t>3</w:t>
        </w:r>
        <w:r w:rsidR="00873274">
          <w:rPr>
            <w:rFonts w:asciiTheme="minorHAnsi" w:eastAsiaTheme="minorEastAsia" w:hAnsiTheme="minorHAnsi" w:cstheme="minorBidi"/>
            <w:noProof/>
            <w:lang w:eastAsia="en-AU"/>
          </w:rPr>
          <w:tab/>
        </w:r>
        <w:r w:rsidR="00873274" w:rsidRPr="009D64E2">
          <w:rPr>
            <w:rStyle w:val="Hyperlink"/>
            <w:rFonts w:ascii="Segoe UI" w:hAnsi="Segoe UI" w:cs="Segoe UI"/>
            <w:noProof/>
          </w:rPr>
          <w:t>Tourism</w:t>
        </w:r>
        <w:r w:rsidR="00873274">
          <w:rPr>
            <w:noProof/>
            <w:webHidden/>
          </w:rPr>
          <w:tab/>
        </w:r>
        <w:r>
          <w:rPr>
            <w:noProof/>
            <w:webHidden/>
          </w:rPr>
          <w:fldChar w:fldCharType="begin"/>
        </w:r>
        <w:r w:rsidR="00873274">
          <w:rPr>
            <w:noProof/>
            <w:webHidden/>
          </w:rPr>
          <w:instrText xml:space="preserve"> PAGEREF _Toc355700981 \h </w:instrText>
        </w:r>
        <w:r>
          <w:rPr>
            <w:noProof/>
            <w:webHidden/>
          </w:rPr>
        </w:r>
        <w:r>
          <w:rPr>
            <w:noProof/>
            <w:webHidden/>
          </w:rPr>
          <w:fldChar w:fldCharType="separate"/>
        </w:r>
        <w:r w:rsidR="00536D7E">
          <w:rPr>
            <w:noProof/>
            <w:webHidden/>
          </w:rPr>
          <w:t>8</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2" w:history="1">
        <w:r w:rsidR="00873274" w:rsidRPr="009D64E2">
          <w:rPr>
            <w:rStyle w:val="Hyperlink"/>
            <w:rFonts w:ascii="Arial" w:hAnsi="Arial" w:cs="Arial"/>
          </w:rPr>
          <w:t>3.1</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Tourism activity</w:t>
        </w:r>
        <w:r w:rsidR="00873274">
          <w:rPr>
            <w:webHidden/>
          </w:rPr>
          <w:tab/>
        </w:r>
        <w:r>
          <w:rPr>
            <w:webHidden/>
          </w:rPr>
          <w:fldChar w:fldCharType="begin"/>
        </w:r>
        <w:r w:rsidR="00873274">
          <w:rPr>
            <w:webHidden/>
          </w:rPr>
          <w:instrText xml:space="preserve"> PAGEREF _Toc355700982 \h </w:instrText>
        </w:r>
        <w:r>
          <w:rPr>
            <w:webHidden/>
          </w:rPr>
        </w:r>
        <w:r>
          <w:rPr>
            <w:webHidden/>
          </w:rPr>
          <w:fldChar w:fldCharType="separate"/>
        </w:r>
        <w:r w:rsidR="00536D7E">
          <w:rPr>
            <w:webHidden/>
          </w:rPr>
          <w:t>8</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3" w:history="1">
        <w:r w:rsidR="00873274" w:rsidRPr="009D64E2">
          <w:rPr>
            <w:rStyle w:val="Hyperlink"/>
            <w:rFonts w:cs="Arial"/>
          </w:rPr>
          <w:t>The NRM regions</w:t>
        </w:r>
        <w:r w:rsidR="00873274">
          <w:rPr>
            <w:webHidden/>
          </w:rPr>
          <w:tab/>
        </w:r>
        <w:r>
          <w:rPr>
            <w:webHidden/>
          </w:rPr>
          <w:fldChar w:fldCharType="begin"/>
        </w:r>
        <w:r w:rsidR="00873274">
          <w:rPr>
            <w:webHidden/>
          </w:rPr>
          <w:instrText xml:space="preserve"> PAGEREF _Toc355700983 \h </w:instrText>
        </w:r>
        <w:r>
          <w:rPr>
            <w:webHidden/>
          </w:rPr>
        </w:r>
        <w:r>
          <w:rPr>
            <w:webHidden/>
          </w:rPr>
          <w:fldChar w:fldCharType="separate"/>
        </w:r>
        <w:r w:rsidR="00536D7E">
          <w:rPr>
            <w:webHidden/>
          </w:rPr>
          <w:t>10</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4" w:history="1">
        <w:r w:rsidR="00873274" w:rsidRPr="009D64E2">
          <w:rPr>
            <w:rStyle w:val="Hyperlink"/>
            <w:rFonts w:ascii="Arial" w:hAnsi="Arial" w:cs="Arial"/>
          </w:rPr>
          <w:t>3.2</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Expenditure</w:t>
        </w:r>
        <w:r w:rsidR="00873274">
          <w:rPr>
            <w:webHidden/>
          </w:rPr>
          <w:tab/>
        </w:r>
        <w:r>
          <w:rPr>
            <w:webHidden/>
          </w:rPr>
          <w:fldChar w:fldCharType="begin"/>
        </w:r>
        <w:r w:rsidR="00873274">
          <w:rPr>
            <w:webHidden/>
          </w:rPr>
          <w:instrText xml:space="preserve"> PAGEREF _Toc355700984 \h </w:instrText>
        </w:r>
        <w:r>
          <w:rPr>
            <w:webHidden/>
          </w:rPr>
        </w:r>
        <w:r>
          <w:rPr>
            <w:webHidden/>
          </w:rPr>
          <w:fldChar w:fldCharType="separate"/>
        </w:r>
        <w:r w:rsidR="00536D7E">
          <w:rPr>
            <w:webHidden/>
          </w:rPr>
          <w:t>12</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5" w:history="1">
        <w:r w:rsidR="00873274" w:rsidRPr="009D64E2">
          <w:rPr>
            <w:rStyle w:val="Hyperlink"/>
            <w:rFonts w:cs="Arial"/>
          </w:rPr>
          <w:t>Cruise tourism</w:t>
        </w:r>
        <w:r w:rsidR="00873274">
          <w:rPr>
            <w:webHidden/>
          </w:rPr>
          <w:tab/>
        </w:r>
        <w:r>
          <w:rPr>
            <w:webHidden/>
          </w:rPr>
          <w:fldChar w:fldCharType="begin"/>
        </w:r>
        <w:r w:rsidR="00873274">
          <w:rPr>
            <w:webHidden/>
          </w:rPr>
          <w:instrText xml:space="preserve"> PAGEREF _Toc355700985 \h </w:instrText>
        </w:r>
        <w:r>
          <w:rPr>
            <w:webHidden/>
          </w:rPr>
        </w:r>
        <w:r>
          <w:rPr>
            <w:webHidden/>
          </w:rPr>
          <w:fldChar w:fldCharType="separate"/>
        </w:r>
        <w:r w:rsidR="00536D7E">
          <w:rPr>
            <w:webHidden/>
          </w:rPr>
          <w:t>14</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6" w:history="1">
        <w:r w:rsidR="00873274" w:rsidRPr="009D64E2">
          <w:rPr>
            <w:rStyle w:val="Hyperlink"/>
            <w:rFonts w:ascii="Arial" w:hAnsi="Arial" w:cs="Arial"/>
          </w:rPr>
          <w:t>3.3</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Tourism contribution</w:t>
        </w:r>
        <w:r w:rsidR="00873274">
          <w:rPr>
            <w:webHidden/>
          </w:rPr>
          <w:tab/>
        </w:r>
        <w:r>
          <w:rPr>
            <w:webHidden/>
          </w:rPr>
          <w:fldChar w:fldCharType="begin"/>
        </w:r>
        <w:r w:rsidR="00873274">
          <w:rPr>
            <w:webHidden/>
          </w:rPr>
          <w:instrText xml:space="preserve"> PAGEREF _Toc355700986 \h </w:instrText>
        </w:r>
        <w:r>
          <w:rPr>
            <w:webHidden/>
          </w:rPr>
        </w:r>
        <w:r>
          <w:rPr>
            <w:webHidden/>
          </w:rPr>
          <w:fldChar w:fldCharType="separate"/>
        </w:r>
        <w:r w:rsidR="00536D7E">
          <w:rPr>
            <w:webHidden/>
          </w:rPr>
          <w:t>14</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7" w:history="1">
        <w:r w:rsidR="00873274" w:rsidRPr="009D64E2">
          <w:rPr>
            <w:rStyle w:val="Hyperlink"/>
            <w:rFonts w:cs="Arial"/>
          </w:rPr>
          <w:t>Cruise tourism</w:t>
        </w:r>
        <w:r w:rsidR="00873274">
          <w:rPr>
            <w:webHidden/>
          </w:rPr>
          <w:tab/>
        </w:r>
        <w:r>
          <w:rPr>
            <w:webHidden/>
          </w:rPr>
          <w:fldChar w:fldCharType="begin"/>
        </w:r>
        <w:r w:rsidR="00873274">
          <w:rPr>
            <w:webHidden/>
          </w:rPr>
          <w:instrText xml:space="preserve"> PAGEREF _Toc355700987 \h </w:instrText>
        </w:r>
        <w:r>
          <w:rPr>
            <w:webHidden/>
          </w:rPr>
        </w:r>
        <w:r>
          <w:rPr>
            <w:webHidden/>
          </w:rPr>
          <w:fldChar w:fldCharType="separate"/>
        </w:r>
        <w:r w:rsidR="00536D7E">
          <w:rPr>
            <w:webHidden/>
          </w:rPr>
          <w:t>17</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8" w:history="1">
        <w:r w:rsidR="00873274" w:rsidRPr="009D64E2">
          <w:rPr>
            <w:rStyle w:val="Hyperlink"/>
            <w:rFonts w:cs="Arial"/>
          </w:rPr>
          <w:t>Tourism: Case Study 1: Cairns and the Whitsundays</w:t>
        </w:r>
        <w:r w:rsidR="00873274">
          <w:rPr>
            <w:webHidden/>
          </w:rPr>
          <w:tab/>
        </w:r>
        <w:r>
          <w:rPr>
            <w:webHidden/>
          </w:rPr>
          <w:fldChar w:fldCharType="begin"/>
        </w:r>
        <w:r w:rsidR="00873274">
          <w:rPr>
            <w:webHidden/>
          </w:rPr>
          <w:instrText xml:space="preserve"> PAGEREF _Toc355700988 \h </w:instrText>
        </w:r>
        <w:r>
          <w:rPr>
            <w:webHidden/>
          </w:rPr>
        </w:r>
        <w:r>
          <w:rPr>
            <w:webHidden/>
          </w:rPr>
          <w:fldChar w:fldCharType="separate"/>
        </w:r>
        <w:r w:rsidR="00536D7E">
          <w:rPr>
            <w:webHidden/>
          </w:rPr>
          <w:t>18</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89" w:history="1">
        <w:r w:rsidR="00873274" w:rsidRPr="009D64E2">
          <w:rPr>
            <w:rStyle w:val="Hyperlink"/>
            <w:rFonts w:cs="Arial"/>
          </w:rPr>
          <w:t>Tourism case Study 2: Reef-related activity</w:t>
        </w:r>
        <w:r w:rsidR="00873274">
          <w:rPr>
            <w:webHidden/>
          </w:rPr>
          <w:tab/>
        </w:r>
        <w:r>
          <w:rPr>
            <w:webHidden/>
          </w:rPr>
          <w:fldChar w:fldCharType="begin"/>
        </w:r>
        <w:r w:rsidR="00873274">
          <w:rPr>
            <w:webHidden/>
          </w:rPr>
          <w:instrText xml:space="preserve"> PAGEREF _Toc355700989 \h </w:instrText>
        </w:r>
        <w:r>
          <w:rPr>
            <w:webHidden/>
          </w:rPr>
        </w:r>
        <w:r>
          <w:rPr>
            <w:webHidden/>
          </w:rPr>
          <w:fldChar w:fldCharType="separate"/>
        </w:r>
        <w:r w:rsidR="00536D7E">
          <w:rPr>
            <w:webHidden/>
          </w:rPr>
          <w:t>19</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90" w:history="1">
        <w:r w:rsidR="00873274" w:rsidRPr="009D64E2">
          <w:rPr>
            <w:rStyle w:val="Hyperlink"/>
            <w:rFonts w:cs="Arial"/>
          </w:rPr>
          <w:t>Reef-related activity – continued</w:t>
        </w:r>
        <w:r w:rsidR="00873274">
          <w:rPr>
            <w:webHidden/>
          </w:rPr>
          <w:tab/>
        </w:r>
        <w:r>
          <w:rPr>
            <w:webHidden/>
          </w:rPr>
          <w:fldChar w:fldCharType="begin"/>
        </w:r>
        <w:r w:rsidR="00873274">
          <w:rPr>
            <w:webHidden/>
          </w:rPr>
          <w:instrText xml:space="preserve"> PAGEREF _Toc355700990 \h </w:instrText>
        </w:r>
        <w:r>
          <w:rPr>
            <w:webHidden/>
          </w:rPr>
        </w:r>
        <w:r>
          <w:rPr>
            <w:webHidden/>
          </w:rPr>
          <w:fldChar w:fldCharType="separate"/>
        </w:r>
        <w:r w:rsidR="00536D7E">
          <w:rPr>
            <w:webHidden/>
          </w:rPr>
          <w:t>20</w:t>
        </w:r>
        <w:r>
          <w:rPr>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91" w:history="1">
        <w:r w:rsidR="00873274" w:rsidRPr="009D64E2">
          <w:rPr>
            <w:rStyle w:val="Hyperlink"/>
            <w:rFonts w:ascii="Segoe UI" w:hAnsi="Segoe UI" w:cs="Segoe UI"/>
            <w:noProof/>
          </w:rPr>
          <w:t>4</w:t>
        </w:r>
        <w:r w:rsidR="00873274">
          <w:rPr>
            <w:rFonts w:asciiTheme="minorHAnsi" w:eastAsiaTheme="minorEastAsia" w:hAnsiTheme="minorHAnsi" w:cstheme="minorBidi"/>
            <w:noProof/>
            <w:lang w:eastAsia="en-AU"/>
          </w:rPr>
          <w:tab/>
        </w:r>
        <w:r w:rsidR="00873274" w:rsidRPr="009D64E2">
          <w:rPr>
            <w:rStyle w:val="Hyperlink"/>
            <w:rFonts w:ascii="Segoe UI" w:hAnsi="Segoe UI" w:cs="Segoe UI"/>
            <w:noProof/>
          </w:rPr>
          <w:t>Commercial fishing and aquaculture</w:t>
        </w:r>
        <w:r w:rsidR="00873274">
          <w:rPr>
            <w:noProof/>
            <w:webHidden/>
          </w:rPr>
          <w:tab/>
        </w:r>
        <w:r>
          <w:rPr>
            <w:noProof/>
            <w:webHidden/>
          </w:rPr>
          <w:fldChar w:fldCharType="begin"/>
        </w:r>
        <w:r w:rsidR="00873274">
          <w:rPr>
            <w:noProof/>
            <w:webHidden/>
          </w:rPr>
          <w:instrText xml:space="preserve"> PAGEREF _Toc355700991 \h </w:instrText>
        </w:r>
        <w:r>
          <w:rPr>
            <w:noProof/>
            <w:webHidden/>
          </w:rPr>
        </w:r>
        <w:r>
          <w:rPr>
            <w:noProof/>
            <w:webHidden/>
          </w:rPr>
          <w:fldChar w:fldCharType="separate"/>
        </w:r>
        <w:r w:rsidR="00536D7E">
          <w:rPr>
            <w:noProof/>
            <w:webHidden/>
          </w:rPr>
          <w:t>21</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92" w:history="1">
        <w:r w:rsidR="00873274" w:rsidRPr="009D64E2">
          <w:rPr>
            <w:rStyle w:val="Hyperlink"/>
            <w:rFonts w:ascii="Arial" w:hAnsi="Arial" w:cs="Arial"/>
          </w:rPr>
          <w:t>4.2</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Economic contribution of commercial fishing and aquaculture</w:t>
        </w:r>
        <w:r w:rsidR="00873274">
          <w:rPr>
            <w:webHidden/>
          </w:rPr>
          <w:tab/>
        </w:r>
        <w:r>
          <w:rPr>
            <w:webHidden/>
          </w:rPr>
          <w:fldChar w:fldCharType="begin"/>
        </w:r>
        <w:r w:rsidR="00873274">
          <w:rPr>
            <w:webHidden/>
          </w:rPr>
          <w:instrText xml:space="preserve"> PAGEREF _Toc355700992 \h </w:instrText>
        </w:r>
        <w:r>
          <w:rPr>
            <w:webHidden/>
          </w:rPr>
        </w:r>
        <w:r>
          <w:rPr>
            <w:webHidden/>
          </w:rPr>
          <w:fldChar w:fldCharType="separate"/>
        </w:r>
        <w:r w:rsidR="00536D7E">
          <w:rPr>
            <w:webHidden/>
          </w:rPr>
          <w:t>22</w:t>
        </w:r>
        <w:r>
          <w:rPr>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93" w:history="1">
        <w:r w:rsidR="00873274" w:rsidRPr="009D64E2">
          <w:rPr>
            <w:rStyle w:val="Hyperlink"/>
            <w:rFonts w:ascii="Segoe UI" w:hAnsi="Segoe UI" w:cs="Segoe UI"/>
            <w:noProof/>
          </w:rPr>
          <w:t>5</w:t>
        </w:r>
        <w:r w:rsidR="00873274">
          <w:rPr>
            <w:rFonts w:asciiTheme="minorHAnsi" w:eastAsiaTheme="minorEastAsia" w:hAnsiTheme="minorHAnsi" w:cstheme="minorBidi"/>
            <w:noProof/>
            <w:lang w:eastAsia="en-AU"/>
          </w:rPr>
          <w:tab/>
        </w:r>
        <w:r w:rsidR="00873274" w:rsidRPr="009D64E2">
          <w:rPr>
            <w:rStyle w:val="Hyperlink"/>
            <w:rFonts w:ascii="Segoe UI" w:hAnsi="Segoe UI" w:cs="Segoe UI"/>
            <w:noProof/>
          </w:rPr>
          <w:t>Recreation</w:t>
        </w:r>
        <w:r w:rsidR="00873274">
          <w:rPr>
            <w:noProof/>
            <w:webHidden/>
          </w:rPr>
          <w:tab/>
        </w:r>
        <w:r>
          <w:rPr>
            <w:noProof/>
            <w:webHidden/>
          </w:rPr>
          <w:fldChar w:fldCharType="begin"/>
        </w:r>
        <w:r w:rsidR="00873274">
          <w:rPr>
            <w:noProof/>
            <w:webHidden/>
          </w:rPr>
          <w:instrText xml:space="preserve"> PAGEREF _Toc355700993 \h </w:instrText>
        </w:r>
        <w:r>
          <w:rPr>
            <w:noProof/>
            <w:webHidden/>
          </w:rPr>
        </w:r>
        <w:r>
          <w:rPr>
            <w:noProof/>
            <w:webHidden/>
          </w:rPr>
          <w:fldChar w:fldCharType="separate"/>
        </w:r>
        <w:r w:rsidR="00536D7E">
          <w:rPr>
            <w:noProof/>
            <w:webHidden/>
          </w:rPr>
          <w:t>25</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94" w:history="1">
        <w:r w:rsidR="00873274" w:rsidRPr="009D64E2">
          <w:rPr>
            <w:rStyle w:val="Hyperlink"/>
            <w:rFonts w:ascii="Arial" w:hAnsi="Arial" w:cs="Arial"/>
          </w:rPr>
          <w:t>5.1</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Recreation economic contribution</w:t>
        </w:r>
        <w:r w:rsidR="00873274">
          <w:rPr>
            <w:webHidden/>
          </w:rPr>
          <w:tab/>
        </w:r>
        <w:r>
          <w:rPr>
            <w:webHidden/>
          </w:rPr>
          <w:fldChar w:fldCharType="begin"/>
        </w:r>
        <w:r w:rsidR="00873274">
          <w:rPr>
            <w:webHidden/>
          </w:rPr>
          <w:instrText xml:space="preserve"> PAGEREF _Toc355700994 \h </w:instrText>
        </w:r>
        <w:r>
          <w:rPr>
            <w:webHidden/>
          </w:rPr>
        </w:r>
        <w:r>
          <w:rPr>
            <w:webHidden/>
          </w:rPr>
          <w:fldChar w:fldCharType="separate"/>
        </w:r>
        <w:r w:rsidR="00536D7E">
          <w:rPr>
            <w:webHidden/>
          </w:rPr>
          <w:t>27</w:t>
        </w:r>
        <w:r>
          <w:rPr>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95" w:history="1">
        <w:r w:rsidR="00873274" w:rsidRPr="009D64E2">
          <w:rPr>
            <w:rStyle w:val="Hyperlink"/>
            <w:rFonts w:ascii="Segoe UI" w:hAnsi="Segoe UI" w:cs="Segoe UI"/>
            <w:noProof/>
          </w:rPr>
          <w:t>6</w:t>
        </w:r>
        <w:r w:rsidR="00873274">
          <w:rPr>
            <w:rFonts w:asciiTheme="minorHAnsi" w:eastAsiaTheme="minorEastAsia" w:hAnsiTheme="minorHAnsi" w:cstheme="minorBidi"/>
            <w:noProof/>
            <w:lang w:eastAsia="en-AU"/>
          </w:rPr>
          <w:tab/>
        </w:r>
        <w:r w:rsidR="00873274" w:rsidRPr="009D64E2">
          <w:rPr>
            <w:rStyle w:val="Hyperlink"/>
            <w:rFonts w:ascii="Segoe UI" w:hAnsi="Segoe UI" w:cs="Segoe UI"/>
            <w:noProof/>
          </w:rPr>
          <w:t>Scientific research and Reef management</w:t>
        </w:r>
        <w:r w:rsidR="00873274">
          <w:rPr>
            <w:noProof/>
            <w:webHidden/>
          </w:rPr>
          <w:tab/>
        </w:r>
        <w:r>
          <w:rPr>
            <w:noProof/>
            <w:webHidden/>
          </w:rPr>
          <w:fldChar w:fldCharType="begin"/>
        </w:r>
        <w:r w:rsidR="00873274">
          <w:rPr>
            <w:noProof/>
            <w:webHidden/>
          </w:rPr>
          <w:instrText xml:space="preserve"> PAGEREF _Toc355700995 \h </w:instrText>
        </w:r>
        <w:r>
          <w:rPr>
            <w:noProof/>
            <w:webHidden/>
          </w:rPr>
        </w:r>
        <w:r>
          <w:rPr>
            <w:noProof/>
            <w:webHidden/>
          </w:rPr>
          <w:fldChar w:fldCharType="separate"/>
        </w:r>
        <w:r w:rsidR="00536D7E">
          <w:rPr>
            <w:noProof/>
            <w:webHidden/>
          </w:rPr>
          <w:t>29</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96" w:history="1">
        <w:r w:rsidR="00873274" w:rsidRPr="009D64E2">
          <w:rPr>
            <w:rStyle w:val="Hyperlink"/>
            <w:rFonts w:ascii="Arial" w:hAnsi="Arial" w:cs="Arial"/>
          </w:rPr>
          <w:t>6.1</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Economic contribution</w:t>
        </w:r>
        <w:r w:rsidR="00873274">
          <w:rPr>
            <w:webHidden/>
          </w:rPr>
          <w:tab/>
        </w:r>
        <w:r>
          <w:rPr>
            <w:webHidden/>
          </w:rPr>
          <w:fldChar w:fldCharType="begin"/>
        </w:r>
        <w:r w:rsidR="00873274">
          <w:rPr>
            <w:webHidden/>
          </w:rPr>
          <w:instrText xml:space="preserve"> PAGEREF _Toc355700996 \h </w:instrText>
        </w:r>
        <w:r>
          <w:rPr>
            <w:webHidden/>
          </w:rPr>
        </w:r>
        <w:r>
          <w:rPr>
            <w:webHidden/>
          </w:rPr>
          <w:fldChar w:fldCharType="separate"/>
        </w:r>
        <w:r w:rsidR="00536D7E">
          <w:rPr>
            <w:webHidden/>
          </w:rPr>
          <w:t>29</w:t>
        </w:r>
        <w:r>
          <w:rPr>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0997" w:history="1">
        <w:r w:rsidR="00873274" w:rsidRPr="009D64E2">
          <w:rPr>
            <w:rStyle w:val="Hyperlink"/>
            <w:rFonts w:ascii="Segoe UI" w:hAnsi="Segoe UI" w:cs="Segoe UI"/>
            <w:noProof/>
          </w:rPr>
          <w:t>7</w:t>
        </w:r>
        <w:r w:rsidR="00873274">
          <w:rPr>
            <w:rFonts w:asciiTheme="minorHAnsi" w:eastAsiaTheme="minorEastAsia" w:hAnsiTheme="minorHAnsi" w:cstheme="minorBidi"/>
            <w:noProof/>
            <w:lang w:eastAsia="en-AU"/>
          </w:rPr>
          <w:tab/>
        </w:r>
        <w:r w:rsidR="00873274" w:rsidRPr="009D64E2">
          <w:rPr>
            <w:rStyle w:val="Hyperlink"/>
            <w:rFonts w:ascii="Segoe UI" w:hAnsi="Segoe UI" w:cs="Segoe UI"/>
            <w:noProof/>
          </w:rPr>
          <w:t>Economic contribution – summary</w:t>
        </w:r>
        <w:r w:rsidR="00873274">
          <w:rPr>
            <w:noProof/>
            <w:webHidden/>
          </w:rPr>
          <w:tab/>
        </w:r>
        <w:r>
          <w:rPr>
            <w:noProof/>
            <w:webHidden/>
          </w:rPr>
          <w:fldChar w:fldCharType="begin"/>
        </w:r>
        <w:r w:rsidR="00873274">
          <w:rPr>
            <w:noProof/>
            <w:webHidden/>
          </w:rPr>
          <w:instrText xml:space="preserve"> PAGEREF _Toc355700997 \h </w:instrText>
        </w:r>
        <w:r>
          <w:rPr>
            <w:noProof/>
            <w:webHidden/>
          </w:rPr>
        </w:r>
        <w:r>
          <w:rPr>
            <w:noProof/>
            <w:webHidden/>
          </w:rPr>
          <w:fldChar w:fldCharType="separate"/>
        </w:r>
        <w:r w:rsidR="00536D7E">
          <w:rPr>
            <w:noProof/>
            <w:webHidden/>
          </w:rPr>
          <w:t>31</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98" w:history="1">
        <w:r w:rsidR="00873274" w:rsidRPr="009D64E2">
          <w:rPr>
            <w:rStyle w:val="Hyperlink"/>
            <w:rFonts w:ascii="Arial" w:hAnsi="Arial" w:cs="Arial"/>
          </w:rPr>
          <w:t>7.1</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Summary of economic contributions</w:t>
        </w:r>
        <w:r w:rsidR="00873274">
          <w:rPr>
            <w:webHidden/>
          </w:rPr>
          <w:tab/>
        </w:r>
        <w:r>
          <w:rPr>
            <w:webHidden/>
          </w:rPr>
          <w:fldChar w:fldCharType="begin"/>
        </w:r>
        <w:r w:rsidR="00873274">
          <w:rPr>
            <w:webHidden/>
          </w:rPr>
          <w:instrText xml:space="preserve"> PAGEREF _Toc355700998 \h </w:instrText>
        </w:r>
        <w:r>
          <w:rPr>
            <w:webHidden/>
          </w:rPr>
        </w:r>
        <w:r>
          <w:rPr>
            <w:webHidden/>
          </w:rPr>
          <w:fldChar w:fldCharType="separate"/>
        </w:r>
        <w:r w:rsidR="00536D7E">
          <w:rPr>
            <w:webHidden/>
          </w:rPr>
          <w:t>31</w:t>
        </w:r>
        <w:r>
          <w:rPr>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0999" w:history="1">
        <w:r w:rsidR="00873274" w:rsidRPr="009D64E2">
          <w:rPr>
            <w:rStyle w:val="Hyperlink"/>
            <w:rFonts w:ascii="Arial" w:hAnsi="Arial" w:cs="Arial"/>
          </w:rPr>
          <w:t>7.2</w:t>
        </w:r>
        <w:r w:rsidR="00873274">
          <w:rPr>
            <w:rFonts w:asciiTheme="minorHAnsi" w:eastAsiaTheme="minorEastAsia" w:hAnsiTheme="minorHAnsi" w:cstheme="minorBidi"/>
            <w:sz w:val="22"/>
            <w:szCs w:val="22"/>
            <w:lang w:eastAsia="en-AU"/>
          </w:rPr>
          <w:tab/>
        </w:r>
        <w:r w:rsidR="00873274" w:rsidRPr="009D64E2">
          <w:rPr>
            <w:rStyle w:val="Hyperlink"/>
            <w:rFonts w:ascii="Arial" w:hAnsi="Arial" w:cs="Arial"/>
          </w:rPr>
          <w:t>Roadmap for future work and data</w:t>
        </w:r>
        <w:r w:rsidR="00873274">
          <w:rPr>
            <w:webHidden/>
          </w:rPr>
          <w:tab/>
        </w:r>
        <w:r>
          <w:rPr>
            <w:webHidden/>
          </w:rPr>
          <w:fldChar w:fldCharType="begin"/>
        </w:r>
        <w:r w:rsidR="00873274">
          <w:rPr>
            <w:webHidden/>
          </w:rPr>
          <w:instrText xml:space="preserve"> PAGEREF _Toc355700999 \h </w:instrText>
        </w:r>
        <w:r>
          <w:rPr>
            <w:webHidden/>
          </w:rPr>
        </w:r>
        <w:r>
          <w:rPr>
            <w:webHidden/>
          </w:rPr>
          <w:fldChar w:fldCharType="separate"/>
        </w:r>
        <w:r w:rsidR="00536D7E">
          <w:rPr>
            <w:webHidden/>
          </w:rPr>
          <w:t>32</w:t>
        </w:r>
        <w:r>
          <w:rPr>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00" w:history="1">
        <w:r w:rsidR="00873274" w:rsidRPr="009D64E2">
          <w:rPr>
            <w:rStyle w:val="Hyperlink"/>
            <w:rFonts w:ascii="Segoe UI" w:hAnsi="Segoe UI" w:cs="Segoe UI"/>
            <w:noProof/>
            <w:lang w:eastAsia="en-AU"/>
          </w:rPr>
          <w:t>References</w:t>
        </w:r>
        <w:r w:rsidR="00873274">
          <w:rPr>
            <w:noProof/>
            <w:webHidden/>
          </w:rPr>
          <w:tab/>
        </w:r>
        <w:r>
          <w:rPr>
            <w:noProof/>
            <w:webHidden/>
          </w:rPr>
          <w:fldChar w:fldCharType="begin"/>
        </w:r>
        <w:r w:rsidR="00873274">
          <w:rPr>
            <w:noProof/>
            <w:webHidden/>
          </w:rPr>
          <w:instrText xml:space="preserve"> PAGEREF _Toc355701000 \h </w:instrText>
        </w:r>
        <w:r>
          <w:rPr>
            <w:noProof/>
            <w:webHidden/>
          </w:rPr>
        </w:r>
        <w:r>
          <w:rPr>
            <w:noProof/>
            <w:webHidden/>
          </w:rPr>
          <w:fldChar w:fldCharType="separate"/>
        </w:r>
        <w:r w:rsidR="00536D7E">
          <w:rPr>
            <w:noProof/>
            <w:webHidden/>
          </w:rPr>
          <w:t>35</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01" w:history="1">
        <w:r w:rsidR="00873274" w:rsidRPr="009D64E2">
          <w:rPr>
            <w:rStyle w:val="Hyperlink"/>
            <w:rFonts w:ascii="Segoe UI" w:hAnsi="Segoe UI" w:cs="Segoe UI"/>
            <w:noProof/>
          </w:rPr>
          <w:t>Appendix A</w:t>
        </w:r>
        <w:r w:rsidR="00873274" w:rsidRPr="009D64E2">
          <w:rPr>
            <w:rStyle w:val="Hyperlink"/>
            <w:rFonts w:ascii="Arial" w:hAnsi="Arial"/>
            <w:noProof/>
          </w:rPr>
          <w:t xml:space="preserve"> : Tourism Satellite Account Method</w:t>
        </w:r>
        <w:r w:rsidR="00873274">
          <w:rPr>
            <w:noProof/>
            <w:webHidden/>
          </w:rPr>
          <w:tab/>
        </w:r>
        <w:r>
          <w:rPr>
            <w:noProof/>
            <w:webHidden/>
          </w:rPr>
          <w:fldChar w:fldCharType="begin"/>
        </w:r>
        <w:r w:rsidR="00873274">
          <w:rPr>
            <w:noProof/>
            <w:webHidden/>
          </w:rPr>
          <w:instrText xml:space="preserve"> PAGEREF _Toc355701001 \h </w:instrText>
        </w:r>
        <w:r>
          <w:rPr>
            <w:noProof/>
            <w:webHidden/>
          </w:rPr>
        </w:r>
        <w:r>
          <w:rPr>
            <w:noProof/>
            <w:webHidden/>
          </w:rPr>
          <w:fldChar w:fldCharType="separate"/>
        </w:r>
        <w:r w:rsidR="00536D7E">
          <w:rPr>
            <w:noProof/>
            <w:webHidden/>
          </w:rPr>
          <w:t>37</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02" w:history="1">
        <w:r w:rsidR="00873274" w:rsidRPr="009D64E2">
          <w:rPr>
            <w:rStyle w:val="Hyperlink"/>
            <w:rFonts w:ascii="Segoe UI" w:hAnsi="Segoe UI" w:cs="Segoe UI"/>
            <w:noProof/>
          </w:rPr>
          <w:t>Appendix B</w:t>
        </w:r>
        <w:r w:rsidR="00873274" w:rsidRPr="009D64E2">
          <w:rPr>
            <w:rStyle w:val="Hyperlink"/>
            <w:rFonts w:ascii="Arial" w:hAnsi="Arial"/>
            <w:noProof/>
          </w:rPr>
          <w:t xml:space="preserve"> : Methods and Limitations</w:t>
        </w:r>
        <w:r w:rsidR="00873274">
          <w:rPr>
            <w:noProof/>
            <w:webHidden/>
          </w:rPr>
          <w:tab/>
        </w:r>
        <w:r>
          <w:rPr>
            <w:noProof/>
            <w:webHidden/>
          </w:rPr>
          <w:fldChar w:fldCharType="begin"/>
        </w:r>
        <w:r w:rsidR="00873274">
          <w:rPr>
            <w:noProof/>
            <w:webHidden/>
          </w:rPr>
          <w:instrText xml:space="preserve"> PAGEREF _Toc355701002 \h </w:instrText>
        </w:r>
        <w:r>
          <w:rPr>
            <w:noProof/>
            <w:webHidden/>
          </w:rPr>
        </w:r>
        <w:r>
          <w:rPr>
            <w:noProof/>
            <w:webHidden/>
          </w:rPr>
          <w:fldChar w:fldCharType="separate"/>
        </w:r>
        <w:r w:rsidR="00536D7E">
          <w:rPr>
            <w:noProof/>
            <w:webHidden/>
          </w:rPr>
          <w:t>39</w:t>
        </w:r>
        <w:r>
          <w:rPr>
            <w:noProof/>
            <w:webHidden/>
          </w:rPr>
          <w:fldChar w:fldCharType="end"/>
        </w:r>
      </w:hyperlink>
    </w:p>
    <w:p w:rsidR="00873274" w:rsidRDefault="00EB023D">
      <w:pPr>
        <w:pStyle w:val="TOC2"/>
        <w:rPr>
          <w:rFonts w:asciiTheme="minorHAnsi" w:eastAsiaTheme="minorEastAsia" w:hAnsiTheme="minorHAnsi" w:cstheme="minorBidi"/>
          <w:sz w:val="22"/>
          <w:szCs w:val="22"/>
          <w:lang w:eastAsia="en-AU"/>
        </w:rPr>
      </w:pPr>
      <w:hyperlink w:anchor="_Toc355701003" w:history="1">
        <w:r w:rsidR="00873274" w:rsidRPr="009D64E2">
          <w:rPr>
            <w:rStyle w:val="Hyperlink"/>
            <w:rFonts w:cs="Arial"/>
          </w:rPr>
          <w:t>Limitation of our work</w:t>
        </w:r>
        <w:r w:rsidR="00873274">
          <w:rPr>
            <w:webHidden/>
          </w:rPr>
          <w:tab/>
        </w:r>
        <w:r>
          <w:rPr>
            <w:webHidden/>
          </w:rPr>
          <w:fldChar w:fldCharType="begin"/>
        </w:r>
        <w:r w:rsidR="00873274">
          <w:rPr>
            <w:webHidden/>
          </w:rPr>
          <w:instrText xml:space="preserve"> PAGEREF _Toc355701003 \h </w:instrText>
        </w:r>
        <w:r>
          <w:rPr>
            <w:webHidden/>
          </w:rPr>
        </w:r>
        <w:r>
          <w:rPr>
            <w:webHidden/>
          </w:rPr>
          <w:fldChar w:fldCharType="separate"/>
        </w:r>
        <w:r w:rsidR="00536D7E">
          <w:rPr>
            <w:webHidden/>
          </w:rPr>
          <w:t>43</w:t>
        </w:r>
        <w:r>
          <w:rPr>
            <w:webHidden/>
          </w:rPr>
          <w:fldChar w:fldCharType="end"/>
        </w:r>
      </w:hyperlink>
    </w:p>
    <w:p w:rsidR="00AC6CA0" w:rsidRPr="00DF3703" w:rsidRDefault="00EB023D" w:rsidP="00AC6CA0">
      <w:pPr>
        <w:pStyle w:val="Contents-Minor"/>
        <w:rPr>
          <w:rFonts w:ascii="Segoe UI" w:hAnsi="Segoe UI" w:cs="Segoe UI"/>
        </w:rPr>
      </w:pPr>
      <w:r w:rsidRPr="00DF3703">
        <w:rPr>
          <w:rFonts w:ascii="Arial" w:hAnsi="Arial" w:cs="Arial"/>
          <w:b/>
          <w:caps/>
          <w:color w:val="auto"/>
          <w:sz w:val="22"/>
          <w:szCs w:val="22"/>
        </w:rPr>
        <w:lastRenderedPageBreak/>
        <w:fldChar w:fldCharType="end"/>
      </w:r>
      <w:r w:rsidR="006B7D88" w:rsidRPr="00DF3703">
        <w:rPr>
          <w:rFonts w:ascii="Segoe UI" w:hAnsi="Segoe UI" w:cs="Segoe UI"/>
        </w:rPr>
        <w:t>Charts</w:t>
      </w:r>
    </w:p>
    <w:p w:rsidR="00873274" w:rsidRDefault="00EB023D">
      <w:pPr>
        <w:pStyle w:val="TOC1"/>
        <w:rPr>
          <w:rFonts w:asciiTheme="minorHAnsi" w:eastAsiaTheme="minorEastAsia" w:hAnsiTheme="minorHAnsi" w:cstheme="minorBidi"/>
          <w:noProof/>
          <w:lang w:eastAsia="en-AU"/>
        </w:rPr>
      </w:pPr>
      <w:r w:rsidRPr="00EB023D">
        <w:rPr>
          <w:rFonts w:ascii="Arial" w:hAnsi="Arial"/>
          <w:sz w:val="24"/>
          <w:szCs w:val="20"/>
        </w:rPr>
        <w:fldChar w:fldCharType="begin"/>
      </w:r>
      <w:r w:rsidR="006B7D88" w:rsidRPr="00DF3703">
        <w:rPr>
          <w:rFonts w:ascii="Arial" w:hAnsi="Arial"/>
          <w:sz w:val="24"/>
          <w:szCs w:val="20"/>
        </w:rPr>
        <w:instrText xml:space="preserve"> TOC \h \z \t "Appendix Chart Caption,1,Caption_Chart,1" </w:instrText>
      </w:r>
      <w:r w:rsidRPr="00EB023D">
        <w:rPr>
          <w:rFonts w:ascii="Arial" w:hAnsi="Arial"/>
          <w:sz w:val="24"/>
          <w:szCs w:val="20"/>
        </w:rPr>
        <w:fldChar w:fldCharType="separate"/>
      </w:r>
      <w:hyperlink w:anchor="_Toc355701037" w:history="1">
        <w:r w:rsidR="00873274" w:rsidRPr="001D5242">
          <w:rPr>
            <w:rStyle w:val="Hyperlink"/>
            <w:rFonts w:ascii="Arial" w:hAnsi="Arial"/>
            <w:noProof/>
          </w:rPr>
          <w:t>Chart 2.1 : Industry structure, 2011</w:t>
        </w:r>
        <w:r w:rsidR="00873274">
          <w:rPr>
            <w:noProof/>
            <w:webHidden/>
          </w:rPr>
          <w:tab/>
        </w:r>
        <w:r>
          <w:rPr>
            <w:noProof/>
            <w:webHidden/>
          </w:rPr>
          <w:fldChar w:fldCharType="begin"/>
        </w:r>
        <w:r w:rsidR="00873274">
          <w:rPr>
            <w:noProof/>
            <w:webHidden/>
          </w:rPr>
          <w:instrText xml:space="preserve"> PAGEREF _Toc355701037 \h </w:instrText>
        </w:r>
        <w:r>
          <w:rPr>
            <w:noProof/>
            <w:webHidden/>
          </w:rPr>
        </w:r>
        <w:r>
          <w:rPr>
            <w:noProof/>
            <w:webHidden/>
          </w:rPr>
          <w:fldChar w:fldCharType="separate"/>
        </w:r>
        <w:r w:rsidR="00536D7E">
          <w:rPr>
            <w:noProof/>
            <w:webHidden/>
          </w:rPr>
          <w:t>6</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38" w:history="1">
        <w:r w:rsidR="00873274" w:rsidRPr="001D5242">
          <w:rPr>
            <w:rStyle w:val="Hyperlink"/>
            <w:rFonts w:ascii="Arial" w:hAnsi="Arial"/>
            <w:noProof/>
          </w:rPr>
          <w:t>Chart 2.2 : Occupation, 2011</w:t>
        </w:r>
        <w:r w:rsidR="00873274">
          <w:rPr>
            <w:noProof/>
            <w:webHidden/>
          </w:rPr>
          <w:tab/>
        </w:r>
        <w:r>
          <w:rPr>
            <w:noProof/>
            <w:webHidden/>
          </w:rPr>
          <w:fldChar w:fldCharType="begin"/>
        </w:r>
        <w:r w:rsidR="00873274">
          <w:rPr>
            <w:noProof/>
            <w:webHidden/>
          </w:rPr>
          <w:instrText xml:space="preserve"> PAGEREF _Toc355701038 \h </w:instrText>
        </w:r>
        <w:r>
          <w:rPr>
            <w:noProof/>
            <w:webHidden/>
          </w:rPr>
        </w:r>
        <w:r>
          <w:rPr>
            <w:noProof/>
            <w:webHidden/>
          </w:rPr>
          <w:fldChar w:fldCharType="separate"/>
        </w:r>
        <w:r w:rsidR="00536D7E">
          <w:rPr>
            <w:noProof/>
            <w:webHidden/>
          </w:rPr>
          <w:t>7</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39" w:history="1">
        <w:r w:rsidR="00873274" w:rsidRPr="001D5242">
          <w:rPr>
            <w:rStyle w:val="Hyperlink"/>
            <w:rFonts w:ascii="Arial" w:hAnsi="Arial"/>
            <w:noProof/>
          </w:rPr>
          <w:t>Chart 3.1 : Visitor nights/days to the Catchment, 2007-2012</w:t>
        </w:r>
        <w:r w:rsidR="00873274">
          <w:rPr>
            <w:noProof/>
            <w:webHidden/>
          </w:rPr>
          <w:tab/>
        </w:r>
        <w:r>
          <w:rPr>
            <w:noProof/>
            <w:webHidden/>
          </w:rPr>
          <w:fldChar w:fldCharType="begin"/>
        </w:r>
        <w:r w:rsidR="00873274">
          <w:rPr>
            <w:noProof/>
            <w:webHidden/>
          </w:rPr>
          <w:instrText xml:space="preserve"> PAGEREF _Toc355701039 \h </w:instrText>
        </w:r>
        <w:r>
          <w:rPr>
            <w:noProof/>
            <w:webHidden/>
          </w:rPr>
        </w:r>
        <w:r>
          <w:rPr>
            <w:noProof/>
            <w:webHidden/>
          </w:rPr>
          <w:fldChar w:fldCharType="separate"/>
        </w:r>
        <w:r w:rsidR="00536D7E">
          <w:rPr>
            <w:noProof/>
            <w:webHidden/>
          </w:rPr>
          <w:t>9</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0" w:history="1">
        <w:r w:rsidR="00873274" w:rsidRPr="001D5242">
          <w:rPr>
            <w:rStyle w:val="Hyperlink"/>
            <w:rFonts w:ascii="Arial" w:hAnsi="Arial"/>
            <w:noProof/>
          </w:rPr>
          <w:t>Chart 3.2 : Visitor nights/day in the catchment by main purpose of travel</w:t>
        </w:r>
        <w:r w:rsidR="00873274">
          <w:rPr>
            <w:noProof/>
            <w:webHidden/>
          </w:rPr>
          <w:tab/>
        </w:r>
        <w:r>
          <w:rPr>
            <w:noProof/>
            <w:webHidden/>
          </w:rPr>
          <w:fldChar w:fldCharType="begin"/>
        </w:r>
        <w:r w:rsidR="00873274">
          <w:rPr>
            <w:noProof/>
            <w:webHidden/>
          </w:rPr>
          <w:instrText xml:space="preserve"> PAGEREF _Toc355701040 \h </w:instrText>
        </w:r>
        <w:r>
          <w:rPr>
            <w:noProof/>
            <w:webHidden/>
          </w:rPr>
        </w:r>
        <w:r>
          <w:rPr>
            <w:noProof/>
            <w:webHidden/>
          </w:rPr>
          <w:fldChar w:fldCharType="separate"/>
        </w:r>
        <w:r w:rsidR="00536D7E">
          <w:rPr>
            <w:noProof/>
            <w:webHidden/>
          </w:rPr>
          <w:t>9</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1" w:history="1">
        <w:r w:rsidR="00873274" w:rsidRPr="001D5242">
          <w:rPr>
            <w:rStyle w:val="Hyperlink"/>
            <w:rFonts w:ascii="Arial" w:hAnsi="Arial"/>
            <w:noProof/>
          </w:rPr>
          <w:t>Chart 3.3 : International visitor nights by NRM region</w:t>
        </w:r>
        <w:r w:rsidR="00873274">
          <w:rPr>
            <w:noProof/>
            <w:webHidden/>
          </w:rPr>
          <w:tab/>
        </w:r>
        <w:r>
          <w:rPr>
            <w:noProof/>
            <w:webHidden/>
          </w:rPr>
          <w:fldChar w:fldCharType="begin"/>
        </w:r>
        <w:r w:rsidR="00873274">
          <w:rPr>
            <w:noProof/>
            <w:webHidden/>
          </w:rPr>
          <w:instrText xml:space="preserve"> PAGEREF _Toc355701041 \h </w:instrText>
        </w:r>
        <w:r>
          <w:rPr>
            <w:noProof/>
            <w:webHidden/>
          </w:rPr>
        </w:r>
        <w:r>
          <w:rPr>
            <w:noProof/>
            <w:webHidden/>
          </w:rPr>
          <w:fldChar w:fldCharType="separate"/>
        </w:r>
        <w:r w:rsidR="00536D7E">
          <w:rPr>
            <w:noProof/>
            <w:webHidden/>
          </w:rPr>
          <w:t>10</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2" w:history="1">
        <w:r w:rsidR="00873274" w:rsidRPr="001D5242">
          <w:rPr>
            <w:rStyle w:val="Hyperlink"/>
            <w:rFonts w:ascii="Arial" w:hAnsi="Arial"/>
            <w:noProof/>
          </w:rPr>
          <w:t>Chart 3.4 : Domestic visitor nights by NRM region</w:t>
        </w:r>
        <w:r w:rsidR="00873274">
          <w:rPr>
            <w:noProof/>
            <w:webHidden/>
          </w:rPr>
          <w:tab/>
        </w:r>
        <w:r>
          <w:rPr>
            <w:noProof/>
            <w:webHidden/>
          </w:rPr>
          <w:fldChar w:fldCharType="begin"/>
        </w:r>
        <w:r w:rsidR="00873274">
          <w:rPr>
            <w:noProof/>
            <w:webHidden/>
          </w:rPr>
          <w:instrText xml:space="preserve"> PAGEREF _Toc355701042 \h </w:instrText>
        </w:r>
        <w:r>
          <w:rPr>
            <w:noProof/>
            <w:webHidden/>
          </w:rPr>
        </w:r>
        <w:r>
          <w:rPr>
            <w:noProof/>
            <w:webHidden/>
          </w:rPr>
          <w:fldChar w:fldCharType="separate"/>
        </w:r>
        <w:r w:rsidR="00536D7E">
          <w:rPr>
            <w:noProof/>
            <w:webHidden/>
          </w:rPr>
          <w:t>11</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3" w:history="1">
        <w:r w:rsidR="00873274" w:rsidRPr="001D5242">
          <w:rPr>
            <w:rStyle w:val="Hyperlink"/>
            <w:rFonts w:ascii="Arial" w:hAnsi="Arial"/>
            <w:noProof/>
          </w:rPr>
          <w:t>Chart 3.5 : Share of tourism-related economic contribution to Australia, by NRM region</w:t>
        </w:r>
        <w:r w:rsidR="00873274">
          <w:rPr>
            <w:noProof/>
            <w:webHidden/>
          </w:rPr>
          <w:tab/>
        </w:r>
        <w:r>
          <w:rPr>
            <w:noProof/>
            <w:webHidden/>
          </w:rPr>
          <w:fldChar w:fldCharType="begin"/>
        </w:r>
        <w:r w:rsidR="00873274">
          <w:rPr>
            <w:noProof/>
            <w:webHidden/>
          </w:rPr>
          <w:instrText xml:space="preserve"> PAGEREF _Toc355701043 \h </w:instrText>
        </w:r>
        <w:r>
          <w:rPr>
            <w:noProof/>
            <w:webHidden/>
          </w:rPr>
        </w:r>
        <w:r>
          <w:rPr>
            <w:noProof/>
            <w:webHidden/>
          </w:rPr>
          <w:fldChar w:fldCharType="separate"/>
        </w:r>
        <w:r w:rsidR="00536D7E">
          <w:rPr>
            <w:noProof/>
            <w:webHidden/>
          </w:rPr>
          <w:t>16</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4" w:history="1">
        <w:r w:rsidR="00873274" w:rsidRPr="001D5242">
          <w:rPr>
            <w:rStyle w:val="Hyperlink"/>
            <w:rFonts w:ascii="Arial" w:hAnsi="Arial"/>
            <w:noProof/>
          </w:rPr>
          <w:t>Chart 3.6 : Share of tourism-related economic contribution to Australia, by visitor type</w:t>
        </w:r>
        <w:r w:rsidR="00873274">
          <w:rPr>
            <w:noProof/>
            <w:webHidden/>
          </w:rPr>
          <w:tab/>
        </w:r>
        <w:r>
          <w:rPr>
            <w:noProof/>
            <w:webHidden/>
          </w:rPr>
          <w:fldChar w:fldCharType="begin"/>
        </w:r>
        <w:r w:rsidR="00873274">
          <w:rPr>
            <w:noProof/>
            <w:webHidden/>
          </w:rPr>
          <w:instrText xml:space="preserve"> PAGEREF _Toc355701044 \h </w:instrText>
        </w:r>
        <w:r>
          <w:rPr>
            <w:noProof/>
            <w:webHidden/>
          </w:rPr>
        </w:r>
        <w:r>
          <w:rPr>
            <w:noProof/>
            <w:webHidden/>
          </w:rPr>
          <w:fldChar w:fldCharType="separate"/>
        </w:r>
        <w:r w:rsidR="00536D7E">
          <w:rPr>
            <w:noProof/>
            <w:webHidden/>
          </w:rPr>
          <w:t>16</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5" w:history="1">
        <w:r w:rsidR="00873274" w:rsidRPr="001D5242">
          <w:rPr>
            <w:rStyle w:val="Hyperlink"/>
            <w:rFonts w:ascii="Arial" w:hAnsi="Arial"/>
            <w:noProof/>
          </w:rPr>
          <w:t>Chart 3.7 : Tourists visiting the Reef 2012</w:t>
        </w:r>
        <w:r w:rsidR="00873274">
          <w:rPr>
            <w:noProof/>
            <w:webHidden/>
          </w:rPr>
          <w:tab/>
        </w:r>
        <w:r>
          <w:rPr>
            <w:noProof/>
            <w:webHidden/>
          </w:rPr>
          <w:fldChar w:fldCharType="begin"/>
        </w:r>
        <w:r w:rsidR="00873274">
          <w:rPr>
            <w:noProof/>
            <w:webHidden/>
          </w:rPr>
          <w:instrText xml:space="preserve"> PAGEREF _Toc355701045 \h </w:instrText>
        </w:r>
        <w:r>
          <w:rPr>
            <w:noProof/>
            <w:webHidden/>
          </w:rPr>
        </w:r>
        <w:r>
          <w:rPr>
            <w:noProof/>
            <w:webHidden/>
          </w:rPr>
          <w:fldChar w:fldCharType="separate"/>
        </w:r>
        <w:r w:rsidR="00536D7E">
          <w:rPr>
            <w:noProof/>
            <w:webHidden/>
          </w:rPr>
          <w:t>19</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6" w:history="1">
        <w:r w:rsidR="00873274" w:rsidRPr="001D5242">
          <w:rPr>
            <w:rStyle w:val="Hyperlink"/>
            <w:rFonts w:ascii="Arial" w:hAnsi="Arial"/>
            <w:noProof/>
          </w:rPr>
          <w:t>Chart 4.1 : Share of economic contribution of commercial fishing to Australia by NRM region</w:t>
        </w:r>
        <w:r w:rsidR="00873274">
          <w:rPr>
            <w:noProof/>
            <w:webHidden/>
          </w:rPr>
          <w:tab/>
        </w:r>
        <w:r>
          <w:rPr>
            <w:noProof/>
            <w:webHidden/>
          </w:rPr>
          <w:fldChar w:fldCharType="begin"/>
        </w:r>
        <w:r w:rsidR="00873274">
          <w:rPr>
            <w:noProof/>
            <w:webHidden/>
          </w:rPr>
          <w:instrText xml:space="preserve"> PAGEREF _Toc355701046 \h </w:instrText>
        </w:r>
        <w:r>
          <w:rPr>
            <w:noProof/>
            <w:webHidden/>
          </w:rPr>
        </w:r>
        <w:r>
          <w:rPr>
            <w:noProof/>
            <w:webHidden/>
          </w:rPr>
          <w:fldChar w:fldCharType="separate"/>
        </w:r>
        <w:r w:rsidR="00536D7E">
          <w:rPr>
            <w:noProof/>
            <w:webHidden/>
          </w:rPr>
          <w:t>24</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7" w:history="1">
        <w:r w:rsidR="00873274" w:rsidRPr="001D5242">
          <w:rPr>
            <w:rStyle w:val="Hyperlink"/>
            <w:rFonts w:ascii="Arial" w:hAnsi="Arial"/>
            <w:noProof/>
          </w:rPr>
          <w:t>Chart 5.1 : Recreational expenditure by type of activity, 2012</w:t>
        </w:r>
        <w:r w:rsidR="00873274">
          <w:rPr>
            <w:noProof/>
            <w:webHidden/>
          </w:rPr>
          <w:tab/>
        </w:r>
        <w:r>
          <w:rPr>
            <w:noProof/>
            <w:webHidden/>
          </w:rPr>
          <w:fldChar w:fldCharType="begin"/>
        </w:r>
        <w:r w:rsidR="00873274">
          <w:rPr>
            <w:noProof/>
            <w:webHidden/>
          </w:rPr>
          <w:instrText xml:space="preserve"> PAGEREF _Toc355701047 \h </w:instrText>
        </w:r>
        <w:r>
          <w:rPr>
            <w:noProof/>
            <w:webHidden/>
          </w:rPr>
        </w:r>
        <w:r>
          <w:rPr>
            <w:noProof/>
            <w:webHidden/>
          </w:rPr>
          <w:fldChar w:fldCharType="separate"/>
        </w:r>
        <w:r w:rsidR="00536D7E">
          <w:rPr>
            <w:noProof/>
            <w:webHidden/>
          </w:rPr>
          <w:t>28</w:t>
        </w:r>
        <w:r>
          <w:rPr>
            <w:noProof/>
            <w:webHidden/>
          </w:rPr>
          <w:fldChar w:fldCharType="end"/>
        </w:r>
      </w:hyperlink>
    </w:p>
    <w:p w:rsidR="009203B9" w:rsidRPr="00DF3703" w:rsidRDefault="00EB023D" w:rsidP="00F738A1">
      <w:pPr>
        <w:pStyle w:val="Contents-Minor"/>
        <w:rPr>
          <w:rFonts w:ascii="Arial" w:hAnsi="Arial" w:cs="Arial"/>
          <w:sz w:val="24"/>
          <w:szCs w:val="20"/>
        </w:rPr>
      </w:pPr>
      <w:r w:rsidRPr="00DF3703">
        <w:rPr>
          <w:rFonts w:ascii="Arial" w:hAnsi="Arial" w:cs="Arial"/>
          <w:sz w:val="24"/>
          <w:szCs w:val="20"/>
        </w:rPr>
        <w:fldChar w:fldCharType="end"/>
      </w:r>
    </w:p>
    <w:p w:rsidR="00AC6CA0" w:rsidRPr="00DF3703" w:rsidRDefault="006B7D88" w:rsidP="00F738A1">
      <w:pPr>
        <w:pStyle w:val="Contents-Minor"/>
        <w:rPr>
          <w:rFonts w:ascii="Segoe UI" w:hAnsi="Segoe UI" w:cs="Segoe UI"/>
        </w:rPr>
      </w:pPr>
      <w:r w:rsidRPr="00DF3703">
        <w:rPr>
          <w:rFonts w:ascii="Segoe UI" w:hAnsi="Segoe UI" w:cs="Segoe UI"/>
        </w:rPr>
        <w:t>Tables</w:t>
      </w:r>
    </w:p>
    <w:p w:rsidR="00873274" w:rsidRDefault="00EB023D">
      <w:pPr>
        <w:pStyle w:val="TOC1"/>
        <w:rPr>
          <w:rFonts w:asciiTheme="minorHAnsi" w:eastAsiaTheme="minorEastAsia" w:hAnsiTheme="minorHAnsi" w:cstheme="minorBidi"/>
          <w:noProof/>
          <w:lang w:eastAsia="en-AU"/>
        </w:rPr>
      </w:pPr>
      <w:r w:rsidRPr="00EB023D">
        <w:rPr>
          <w:rFonts w:ascii="Arial" w:hAnsi="Arial"/>
          <w:sz w:val="24"/>
          <w:szCs w:val="20"/>
        </w:rPr>
        <w:fldChar w:fldCharType="begin"/>
      </w:r>
      <w:r w:rsidR="006B7D88" w:rsidRPr="00DF3703">
        <w:rPr>
          <w:rFonts w:ascii="Arial" w:hAnsi="Arial"/>
          <w:sz w:val="24"/>
          <w:szCs w:val="20"/>
        </w:rPr>
        <w:instrText xml:space="preserve"> TOC \h \z \t "Appendix Table Caption,1,Caption_Table,1" </w:instrText>
      </w:r>
      <w:r w:rsidRPr="00EB023D">
        <w:rPr>
          <w:rFonts w:ascii="Arial" w:hAnsi="Arial"/>
          <w:sz w:val="24"/>
          <w:szCs w:val="20"/>
        </w:rPr>
        <w:fldChar w:fldCharType="separate"/>
      </w:r>
      <w:hyperlink w:anchor="_Toc355701048" w:history="1">
        <w:r w:rsidR="00873274" w:rsidRPr="00F665C8">
          <w:rPr>
            <w:rStyle w:val="Hyperlink"/>
            <w:rFonts w:ascii="Arial" w:hAnsi="Arial"/>
            <w:noProof/>
          </w:rPr>
          <w:t>Table 2.1 : Population, household and income snapshot, 2011</w:t>
        </w:r>
        <w:r w:rsidR="00873274">
          <w:rPr>
            <w:noProof/>
            <w:webHidden/>
          </w:rPr>
          <w:tab/>
        </w:r>
        <w:r>
          <w:rPr>
            <w:noProof/>
            <w:webHidden/>
          </w:rPr>
          <w:fldChar w:fldCharType="begin"/>
        </w:r>
        <w:r w:rsidR="00873274">
          <w:rPr>
            <w:noProof/>
            <w:webHidden/>
          </w:rPr>
          <w:instrText xml:space="preserve"> PAGEREF _Toc355701048 \h </w:instrText>
        </w:r>
        <w:r>
          <w:rPr>
            <w:noProof/>
            <w:webHidden/>
          </w:rPr>
        </w:r>
        <w:r>
          <w:rPr>
            <w:noProof/>
            <w:webHidden/>
          </w:rPr>
          <w:fldChar w:fldCharType="separate"/>
        </w:r>
        <w:r w:rsidR="00536D7E">
          <w:rPr>
            <w:noProof/>
            <w:webHidden/>
          </w:rPr>
          <w:t>5</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49" w:history="1">
        <w:r w:rsidR="00873274" w:rsidRPr="00F665C8">
          <w:rPr>
            <w:rStyle w:val="Hyperlink"/>
            <w:rFonts w:ascii="Arial" w:hAnsi="Arial"/>
            <w:noProof/>
          </w:rPr>
          <w:t>Table 3.1 : Reason for travel by NRM region, 2012 (total visitor nights/days)</w:t>
        </w:r>
        <w:r w:rsidR="00873274">
          <w:rPr>
            <w:noProof/>
            <w:webHidden/>
          </w:rPr>
          <w:tab/>
        </w:r>
        <w:r>
          <w:rPr>
            <w:noProof/>
            <w:webHidden/>
          </w:rPr>
          <w:fldChar w:fldCharType="begin"/>
        </w:r>
        <w:r w:rsidR="00873274">
          <w:rPr>
            <w:noProof/>
            <w:webHidden/>
          </w:rPr>
          <w:instrText xml:space="preserve"> PAGEREF _Toc355701049 \h </w:instrText>
        </w:r>
        <w:r>
          <w:rPr>
            <w:noProof/>
            <w:webHidden/>
          </w:rPr>
        </w:r>
        <w:r>
          <w:rPr>
            <w:noProof/>
            <w:webHidden/>
          </w:rPr>
          <w:fldChar w:fldCharType="separate"/>
        </w:r>
        <w:r w:rsidR="00536D7E">
          <w:rPr>
            <w:noProof/>
            <w:webHidden/>
          </w:rPr>
          <w:t>11</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0" w:history="1">
        <w:r w:rsidR="00873274" w:rsidRPr="00F665C8">
          <w:rPr>
            <w:rStyle w:val="Hyperlink"/>
            <w:rFonts w:ascii="Arial" w:hAnsi="Arial"/>
            <w:noProof/>
          </w:rPr>
          <w:t>Table 3.2 : Visitor nights by NRM, (‘000 2011-12)</w:t>
        </w:r>
        <w:r w:rsidR="00873274">
          <w:rPr>
            <w:noProof/>
            <w:webHidden/>
          </w:rPr>
          <w:tab/>
        </w:r>
        <w:r>
          <w:rPr>
            <w:noProof/>
            <w:webHidden/>
          </w:rPr>
          <w:fldChar w:fldCharType="begin"/>
        </w:r>
        <w:r w:rsidR="00873274">
          <w:rPr>
            <w:noProof/>
            <w:webHidden/>
          </w:rPr>
          <w:instrText xml:space="preserve"> PAGEREF _Toc355701050 \h </w:instrText>
        </w:r>
        <w:r>
          <w:rPr>
            <w:noProof/>
            <w:webHidden/>
          </w:rPr>
        </w:r>
        <w:r>
          <w:rPr>
            <w:noProof/>
            <w:webHidden/>
          </w:rPr>
          <w:fldChar w:fldCharType="separate"/>
        </w:r>
        <w:r w:rsidR="00536D7E">
          <w:rPr>
            <w:noProof/>
            <w:webHidden/>
          </w:rPr>
          <w:t>12</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1" w:history="1">
        <w:r w:rsidR="00873274" w:rsidRPr="00F665C8">
          <w:rPr>
            <w:rStyle w:val="Hyperlink"/>
            <w:rFonts w:ascii="Arial" w:hAnsi="Arial"/>
            <w:noProof/>
          </w:rPr>
          <w:t>Table 3.3 : Tourism expenditure by visitor type</w:t>
        </w:r>
        <w:r w:rsidR="00873274">
          <w:rPr>
            <w:noProof/>
            <w:webHidden/>
          </w:rPr>
          <w:tab/>
        </w:r>
        <w:r>
          <w:rPr>
            <w:noProof/>
            <w:webHidden/>
          </w:rPr>
          <w:fldChar w:fldCharType="begin"/>
        </w:r>
        <w:r w:rsidR="00873274">
          <w:rPr>
            <w:noProof/>
            <w:webHidden/>
          </w:rPr>
          <w:instrText xml:space="preserve"> PAGEREF _Toc355701051 \h </w:instrText>
        </w:r>
        <w:r>
          <w:rPr>
            <w:noProof/>
            <w:webHidden/>
          </w:rPr>
        </w:r>
        <w:r>
          <w:rPr>
            <w:noProof/>
            <w:webHidden/>
          </w:rPr>
          <w:fldChar w:fldCharType="separate"/>
        </w:r>
        <w:r w:rsidR="00536D7E">
          <w:rPr>
            <w:noProof/>
            <w:webHidden/>
          </w:rPr>
          <w:t>13</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2" w:history="1">
        <w:r w:rsidR="00873274" w:rsidRPr="00F665C8">
          <w:rPr>
            <w:rStyle w:val="Hyperlink"/>
            <w:rFonts w:ascii="Arial" w:hAnsi="Arial"/>
            <w:noProof/>
          </w:rPr>
          <w:t>Table 3.4 : Breakdown of estimated tourism expenditure in 2012 by visitor type</w:t>
        </w:r>
        <w:r w:rsidR="00873274">
          <w:rPr>
            <w:noProof/>
            <w:webHidden/>
          </w:rPr>
          <w:tab/>
        </w:r>
        <w:r>
          <w:rPr>
            <w:noProof/>
            <w:webHidden/>
          </w:rPr>
          <w:fldChar w:fldCharType="begin"/>
        </w:r>
        <w:r w:rsidR="00873274">
          <w:rPr>
            <w:noProof/>
            <w:webHidden/>
          </w:rPr>
          <w:instrText xml:space="preserve"> PAGEREF _Toc355701052 \h </w:instrText>
        </w:r>
        <w:r>
          <w:rPr>
            <w:noProof/>
            <w:webHidden/>
          </w:rPr>
        </w:r>
        <w:r>
          <w:rPr>
            <w:noProof/>
            <w:webHidden/>
          </w:rPr>
          <w:fldChar w:fldCharType="separate"/>
        </w:r>
        <w:r w:rsidR="00536D7E">
          <w:rPr>
            <w:noProof/>
            <w:webHidden/>
          </w:rPr>
          <w:t>13</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3" w:history="1">
        <w:r w:rsidR="00873274" w:rsidRPr="00F665C8">
          <w:rPr>
            <w:rStyle w:val="Hyperlink"/>
            <w:rFonts w:ascii="Arial" w:hAnsi="Arial"/>
            <w:noProof/>
          </w:rPr>
          <w:t>Table 3.5 : Expenditure, by reason for travel and visitor type ($ million) in 2012</w:t>
        </w:r>
        <w:r w:rsidR="00873274">
          <w:rPr>
            <w:noProof/>
            <w:webHidden/>
          </w:rPr>
          <w:tab/>
        </w:r>
        <w:r>
          <w:rPr>
            <w:noProof/>
            <w:webHidden/>
          </w:rPr>
          <w:fldChar w:fldCharType="begin"/>
        </w:r>
        <w:r w:rsidR="00873274">
          <w:rPr>
            <w:noProof/>
            <w:webHidden/>
          </w:rPr>
          <w:instrText xml:space="preserve"> PAGEREF _Toc355701053 \h </w:instrText>
        </w:r>
        <w:r>
          <w:rPr>
            <w:noProof/>
            <w:webHidden/>
          </w:rPr>
        </w:r>
        <w:r>
          <w:rPr>
            <w:noProof/>
            <w:webHidden/>
          </w:rPr>
          <w:fldChar w:fldCharType="separate"/>
        </w:r>
        <w:r w:rsidR="00536D7E">
          <w:rPr>
            <w:noProof/>
            <w:webHidden/>
          </w:rPr>
          <w:t>13</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4" w:history="1">
        <w:r w:rsidR="00873274" w:rsidRPr="00F665C8">
          <w:rPr>
            <w:rStyle w:val="Hyperlink"/>
            <w:rFonts w:ascii="Arial" w:hAnsi="Arial"/>
            <w:noProof/>
          </w:rPr>
          <w:t>Table 3.6 : Expenditure by NRM (’000 2011-12)</w:t>
        </w:r>
        <w:r w:rsidR="00873274">
          <w:rPr>
            <w:noProof/>
            <w:webHidden/>
          </w:rPr>
          <w:tab/>
        </w:r>
        <w:r>
          <w:rPr>
            <w:noProof/>
            <w:webHidden/>
          </w:rPr>
          <w:fldChar w:fldCharType="begin"/>
        </w:r>
        <w:r w:rsidR="00873274">
          <w:rPr>
            <w:noProof/>
            <w:webHidden/>
          </w:rPr>
          <w:instrText xml:space="preserve"> PAGEREF _Toc355701054 \h </w:instrText>
        </w:r>
        <w:r>
          <w:rPr>
            <w:noProof/>
            <w:webHidden/>
          </w:rPr>
        </w:r>
        <w:r>
          <w:rPr>
            <w:noProof/>
            <w:webHidden/>
          </w:rPr>
          <w:fldChar w:fldCharType="separate"/>
        </w:r>
        <w:r w:rsidR="00536D7E">
          <w:rPr>
            <w:noProof/>
            <w:webHidden/>
          </w:rPr>
          <w:t>14</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5" w:history="1">
        <w:r w:rsidR="00873274" w:rsidRPr="00F665C8">
          <w:rPr>
            <w:rStyle w:val="Hyperlink"/>
            <w:rFonts w:ascii="Arial" w:hAnsi="Arial"/>
            <w:noProof/>
          </w:rPr>
          <w:t>Table 3.7 : Cruise tourism expenditure in 2012</w:t>
        </w:r>
        <w:r w:rsidR="00873274">
          <w:rPr>
            <w:noProof/>
            <w:webHidden/>
          </w:rPr>
          <w:tab/>
        </w:r>
        <w:r>
          <w:rPr>
            <w:noProof/>
            <w:webHidden/>
          </w:rPr>
          <w:fldChar w:fldCharType="begin"/>
        </w:r>
        <w:r w:rsidR="00873274">
          <w:rPr>
            <w:noProof/>
            <w:webHidden/>
          </w:rPr>
          <w:instrText xml:space="preserve"> PAGEREF _Toc355701055 \h </w:instrText>
        </w:r>
        <w:r>
          <w:rPr>
            <w:noProof/>
            <w:webHidden/>
          </w:rPr>
        </w:r>
        <w:r>
          <w:rPr>
            <w:noProof/>
            <w:webHidden/>
          </w:rPr>
          <w:fldChar w:fldCharType="separate"/>
        </w:r>
        <w:r w:rsidR="00536D7E">
          <w:rPr>
            <w:noProof/>
            <w:webHidden/>
          </w:rPr>
          <w:t>14</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6" w:history="1">
        <w:r w:rsidR="00873274" w:rsidRPr="00F665C8">
          <w:rPr>
            <w:rStyle w:val="Hyperlink"/>
            <w:rFonts w:ascii="Arial" w:hAnsi="Arial"/>
            <w:noProof/>
          </w:rPr>
          <w:t>Table 3.8 : Expenditure by NRM ($m 2011-12)</w:t>
        </w:r>
        <w:r w:rsidR="00873274">
          <w:rPr>
            <w:noProof/>
            <w:webHidden/>
          </w:rPr>
          <w:tab/>
        </w:r>
        <w:r>
          <w:rPr>
            <w:noProof/>
            <w:webHidden/>
          </w:rPr>
          <w:fldChar w:fldCharType="begin"/>
        </w:r>
        <w:r w:rsidR="00873274">
          <w:rPr>
            <w:noProof/>
            <w:webHidden/>
          </w:rPr>
          <w:instrText xml:space="preserve"> PAGEREF _Toc355701056 \h </w:instrText>
        </w:r>
        <w:r>
          <w:rPr>
            <w:noProof/>
            <w:webHidden/>
          </w:rPr>
        </w:r>
        <w:r>
          <w:rPr>
            <w:noProof/>
            <w:webHidden/>
          </w:rPr>
          <w:fldChar w:fldCharType="separate"/>
        </w:r>
        <w:r w:rsidR="00536D7E">
          <w:rPr>
            <w:noProof/>
            <w:webHidden/>
          </w:rPr>
          <w:t>15</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7" w:history="1">
        <w:r w:rsidR="00873274" w:rsidRPr="00F665C8">
          <w:rPr>
            <w:rStyle w:val="Hyperlink"/>
            <w:rFonts w:ascii="Arial" w:hAnsi="Arial"/>
            <w:noProof/>
          </w:rPr>
          <w:t>Table 3.9 : Tourism expenditure, value added and employment ($m 2011-12)</w:t>
        </w:r>
        <w:r w:rsidR="00873274">
          <w:rPr>
            <w:noProof/>
            <w:webHidden/>
          </w:rPr>
          <w:tab/>
        </w:r>
        <w:r>
          <w:rPr>
            <w:noProof/>
            <w:webHidden/>
          </w:rPr>
          <w:fldChar w:fldCharType="begin"/>
        </w:r>
        <w:r w:rsidR="00873274">
          <w:rPr>
            <w:noProof/>
            <w:webHidden/>
          </w:rPr>
          <w:instrText xml:space="preserve"> PAGEREF _Toc355701057 \h </w:instrText>
        </w:r>
        <w:r>
          <w:rPr>
            <w:noProof/>
            <w:webHidden/>
          </w:rPr>
        </w:r>
        <w:r>
          <w:rPr>
            <w:noProof/>
            <w:webHidden/>
          </w:rPr>
          <w:fldChar w:fldCharType="separate"/>
        </w:r>
        <w:r w:rsidR="00536D7E">
          <w:rPr>
            <w:noProof/>
            <w:webHidden/>
          </w:rPr>
          <w:t>15</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8" w:history="1">
        <w:r w:rsidR="00873274" w:rsidRPr="00F665C8">
          <w:rPr>
            <w:rStyle w:val="Hyperlink"/>
            <w:rFonts w:ascii="Arial" w:hAnsi="Arial"/>
            <w:noProof/>
          </w:rPr>
          <w:t>Table 3.10 : Economic contribution of cruise ship tourism activity to Australia, 2012</w:t>
        </w:r>
        <w:r w:rsidR="00873274">
          <w:rPr>
            <w:noProof/>
            <w:webHidden/>
          </w:rPr>
          <w:tab/>
        </w:r>
        <w:r>
          <w:rPr>
            <w:noProof/>
            <w:webHidden/>
          </w:rPr>
          <w:fldChar w:fldCharType="begin"/>
        </w:r>
        <w:r w:rsidR="00873274">
          <w:rPr>
            <w:noProof/>
            <w:webHidden/>
          </w:rPr>
          <w:instrText xml:space="preserve"> PAGEREF _Toc355701058 \h </w:instrText>
        </w:r>
        <w:r>
          <w:rPr>
            <w:noProof/>
            <w:webHidden/>
          </w:rPr>
        </w:r>
        <w:r>
          <w:rPr>
            <w:noProof/>
            <w:webHidden/>
          </w:rPr>
          <w:fldChar w:fldCharType="separate"/>
        </w:r>
        <w:r w:rsidR="00536D7E">
          <w:rPr>
            <w:noProof/>
            <w:webHidden/>
          </w:rPr>
          <w:t>17</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59" w:history="1">
        <w:r w:rsidR="00873274" w:rsidRPr="00F665C8">
          <w:rPr>
            <w:rStyle w:val="Hyperlink"/>
            <w:rFonts w:ascii="Arial" w:hAnsi="Arial"/>
            <w:noProof/>
          </w:rPr>
          <w:t>Table 3.11 : Total tourism expenditure in Cairns by visitor type ($2012 million)</w:t>
        </w:r>
        <w:r w:rsidR="00873274">
          <w:rPr>
            <w:noProof/>
            <w:webHidden/>
          </w:rPr>
          <w:tab/>
        </w:r>
        <w:r>
          <w:rPr>
            <w:noProof/>
            <w:webHidden/>
          </w:rPr>
          <w:fldChar w:fldCharType="begin"/>
        </w:r>
        <w:r w:rsidR="00873274">
          <w:rPr>
            <w:noProof/>
            <w:webHidden/>
          </w:rPr>
          <w:instrText xml:space="preserve"> PAGEREF _Toc355701059 \h </w:instrText>
        </w:r>
        <w:r>
          <w:rPr>
            <w:noProof/>
            <w:webHidden/>
          </w:rPr>
        </w:r>
        <w:r>
          <w:rPr>
            <w:noProof/>
            <w:webHidden/>
          </w:rPr>
          <w:fldChar w:fldCharType="separate"/>
        </w:r>
        <w:r w:rsidR="00536D7E">
          <w:rPr>
            <w:noProof/>
            <w:webHidden/>
          </w:rPr>
          <w:t>18</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0" w:history="1">
        <w:r w:rsidR="00873274" w:rsidRPr="00F665C8">
          <w:rPr>
            <w:rStyle w:val="Hyperlink"/>
            <w:rFonts w:ascii="Arial" w:hAnsi="Arial"/>
            <w:noProof/>
          </w:rPr>
          <w:t>Table 3.12 : Total tourism expenditure in the Whitsundays by visitor type ($2012 million)</w:t>
        </w:r>
        <w:r w:rsidR="00873274">
          <w:rPr>
            <w:noProof/>
            <w:webHidden/>
          </w:rPr>
          <w:tab/>
        </w:r>
        <w:r>
          <w:rPr>
            <w:noProof/>
            <w:webHidden/>
          </w:rPr>
          <w:fldChar w:fldCharType="begin"/>
        </w:r>
        <w:r w:rsidR="00873274">
          <w:rPr>
            <w:noProof/>
            <w:webHidden/>
          </w:rPr>
          <w:instrText xml:space="preserve"> PAGEREF _Toc355701060 \h </w:instrText>
        </w:r>
        <w:r>
          <w:rPr>
            <w:noProof/>
            <w:webHidden/>
          </w:rPr>
        </w:r>
        <w:r>
          <w:rPr>
            <w:noProof/>
            <w:webHidden/>
          </w:rPr>
          <w:fldChar w:fldCharType="separate"/>
        </w:r>
        <w:r w:rsidR="00536D7E">
          <w:rPr>
            <w:noProof/>
            <w:webHidden/>
          </w:rPr>
          <w:t>18</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1" w:history="1">
        <w:r w:rsidR="00873274" w:rsidRPr="00F665C8">
          <w:rPr>
            <w:rStyle w:val="Hyperlink"/>
            <w:rFonts w:ascii="Arial" w:hAnsi="Arial"/>
            <w:noProof/>
          </w:rPr>
          <w:t>Table 3.13 : Estimated Reef-related tourism expenditure, 2012</w:t>
        </w:r>
        <w:r w:rsidR="00873274">
          <w:rPr>
            <w:noProof/>
            <w:webHidden/>
          </w:rPr>
          <w:tab/>
        </w:r>
        <w:r>
          <w:rPr>
            <w:noProof/>
            <w:webHidden/>
          </w:rPr>
          <w:fldChar w:fldCharType="begin"/>
        </w:r>
        <w:r w:rsidR="00873274">
          <w:rPr>
            <w:noProof/>
            <w:webHidden/>
          </w:rPr>
          <w:instrText xml:space="preserve"> PAGEREF _Toc355701061 \h </w:instrText>
        </w:r>
        <w:r>
          <w:rPr>
            <w:noProof/>
            <w:webHidden/>
          </w:rPr>
        </w:r>
        <w:r>
          <w:rPr>
            <w:noProof/>
            <w:webHidden/>
          </w:rPr>
          <w:fldChar w:fldCharType="separate"/>
        </w:r>
        <w:r w:rsidR="00536D7E">
          <w:rPr>
            <w:noProof/>
            <w:webHidden/>
          </w:rPr>
          <w:t>20</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2" w:history="1">
        <w:r w:rsidR="00873274" w:rsidRPr="00F665C8">
          <w:rPr>
            <w:rStyle w:val="Hyperlink"/>
            <w:rFonts w:ascii="Arial" w:hAnsi="Arial"/>
            <w:noProof/>
          </w:rPr>
          <w:t>Table 3.14 : Economic contribution of Reef-specific tourism activity to Australia, 2012</w:t>
        </w:r>
        <w:r w:rsidR="00873274">
          <w:rPr>
            <w:noProof/>
            <w:webHidden/>
          </w:rPr>
          <w:tab/>
        </w:r>
        <w:r>
          <w:rPr>
            <w:noProof/>
            <w:webHidden/>
          </w:rPr>
          <w:fldChar w:fldCharType="begin"/>
        </w:r>
        <w:r w:rsidR="00873274">
          <w:rPr>
            <w:noProof/>
            <w:webHidden/>
          </w:rPr>
          <w:instrText xml:space="preserve"> PAGEREF _Toc355701062 \h </w:instrText>
        </w:r>
        <w:r>
          <w:rPr>
            <w:noProof/>
            <w:webHidden/>
          </w:rPr>
        </w:r>
        <w:r>
          <w:rPr>
            <w:noProof/>
            <w:webHidden/>
          </w:rPr>
          <w:fldChar w:fldCharType="separate"/>
        </w:r>
        <w:r w:rsidR="00536D7E">
          <w:rPr>
            <w:noProof/>
            <w:webHidden/>
          </w:rPr>
          <w:t>20</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3" w:history="1">
        <w:r w:rsidR="00873274" w:rsidRPr="00F665C8">
          <w:rPr>
            <w:rStyle w:val="Hyperlink"/>
            <w:rFonts w:ascii="Arial" w:hAnsi="Arial"/>
            <w:noProof/>
          </w:rPr>
          <w:t>Table 4.1 : Gross value product of all commercial fishing 2010-11, $m</w:t>
        </w:r>
        <w:r w:rsidR="00873274">
          <w:rPr>
            <w:noProof/>
            <w:webHidden/>
          </w:rPr>
          <w:tab/>
        </w:r>
        <w:r>
          <w:rPr>
            <w:noProof/>
            <w:webHidden/>
          </w:rPr>
          <w:fldChar w:fldCharType="begin"/>
        </w:r>
        <w:r w:rsidR="00873274">
          <w:rPr>
            <w:noProof/>
            <w:webHidden/>
          </w:rPr>
          <w:instrText xml:space="preserve"> PAGEREF _Toc355701063 \h </w:instrText>
        </w:r>
        <w:r>
          <w:rPr>
            <w:noProof/>
            <w:webHidden/>
          </w:rPr>
        </w:r>
        <w:r>
          <w:rPr>
            <w:noProof/>
            <w:webHidden/>
          </w:rPr>
          <w:fldChar w:fldCharType="separate"/>
        </w:r>
        <w:r w:rsidR="00536D7E">
          <w:rPr>
            <w:noProof/>
            <w:webHidden/>
          </w:rPr>
          <w:t>21</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4" w:history="1">
        <w:r w:rsidR="00873274" w:rsidRPr="00F665C8">
          <w:rPr>
            <w:rStyle w:val="Hyperlink"/>
            <w:rFonts w:ascii="Arial" w:hAnsi="Arial"/>
            <w:noProof/>
          </w:rPr>
          <w:t>Table 4.2 : Economic contributions of commercial fishing and aquaculture, by region, 2012</w:t>
        </w:r>
        <w:r w:rsidR="00873274">
          <w:rPr>
            <w:noProof/>
            <w:webHidden/>
          </w:rPr>
          <w:tab/>
        </w:r>
        <w:r>
          <w:rPr>
            <w:noProof/>
            <w:webHidden/>
          </w:rPr>
          <w:fldChar w:fldCharType="begin"/>
        </w:r>
        <w:r w:rsidR="00873274">
          <w:rPr>
            <w:noProof/>
            <w:webHidden/>
          </w:rPr>
          <w:instrText xml:space="preserve"> PAGEREF _Toc355701064 \h </w:instrText>
        </w:r>
        <w:r>
          <w:rPr>
            <w:noProof/>
            <w:webHidden/>
          </w:rPr>
        </w:r>
        <w:r>
          <w:rPr>
            <w:noProof/>
            <w:webHidden/>
          </w:rPr>
          <w:fldChar w:fldCharType="separate"/>
        </w:r>
        <w:r w:rsidR="00536D7E">
          <w:rPr>
            <w:noProof/>
            <w:webHidden/>
          </w:rPr>
          <w:t>23</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5" w:history="1">
        <w:r w:rsidR="00873274" w:rsidRPr="00F665C8">
          <w:rPr>
            <w:rStyle w:val="Hyperlink"/>
            <w:rFonts w:ascii="Arial" w:hAnsi="Arial"/>
            <w:noProof/>
          </w:rPr>
          <w:t>Table 5.1 : Recreational expenditure in the catchment, 2011-12, $m</w:t>
        </w:r>
        <w:r w:rsidR="00873274">
          <w:rPr>
            <w:noProof/>
            <w:webHidden/>
          </w:rPr>
          <w:tab/>
        </w:r>
        <w:r>
          <w:rPr>
            <w:noProof/>
            <w:webHidden/>
          </w:rPr>
          <w:fldChar w:fldCharType="begin"/>
        </w:r>
        <w:r w:rsidR="00873274">
          <w:rPr>
            <w:noProof/>
            <w:webHidden/>
          </w:rPr>
          <w:instrText xml:space="preserve"> PAGEREF _Toc355701065 \h </w:instrText>
        </w:r>
        <w:r>
          <w:rPr>
            <w:noProof/>
            <w:webHidden/>
          </w:rPr>
        </w:r>
        <w:r>
          <w:rPr>
            <w:noProof/>
            <w:webHidden/>
          </w:rPr>
          <w:fldChar w:fldCharType="separate"/>
        </w:r>
        <w:r w:rsidR="00536D7E">
          <w:rPr>
            <w:noProof/>
            <w:webHidden/>
          </w:rPr>
          <w:t>26</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6" w:history="1">
        <w:r w:rsidR="00873274" w:rsidRPr="00F665C8">
          <w:rPr>
            <w:rStyle w:val="Hyperlink"/>
            <w:rFonts w:ascii="Arial" w:hAnsi="Arial"/>
            <w:noProof/>
          </w:rPr>
          <w:t>Table 5.2 : Economic contributions of recreation, by region, 2012</w:t>
        </w:r>
        <w:r w:rsidR="00873274">
          <w:rPr>
            <w:noProof/>
            <w:webHidden/>
          </w:rPr>
          <w:tab/>
        </w:r>
        <w:r>
          <w:rPr>
            <w:noProof/>
            <w:webHidden/>
          </w:rPr>
          <w:fldChar w:fldCharType="begin"/>
        </w:r>
        <w:r w:rsidR="00873274">
          <w:rPr>
            <w:noProof/>
            <w:webHidden/>
          </w:rPr>
          <w:instrText xml:space="preserve"> PAGEREF _Toc355701066 \h </w:instrText>
        </w:r>
        <w:r>
          <w:rPr>
            <w:noProof/>
            <w:webHidden/>
          </w:rPr>
        </w:r>
        <w:r>
          <w:rPr>
            <w:noProof/>
            <w:webHidden/>
          </w:rPr>
          <w:fldChar w:fldCharType="separate"/>
        </w:r>
        <w:r w:rsidR="00536D7E">
          <w:rPr>
            <w:noProof/>
            <w:webHidden/>
          </w:rPr>
          <w:t>27</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7" w:history="1">
        <w:r w:rsidR="00873274" w:rsidRPr="00F665C8">
          <w:rPr>
            <w:rStyle w:val="Hyperlink"/>
            <w:rFonts w:ascii="Arial" w:hAnsi="Arial"/>
            <w:noProof/>
          </w:rPr>
          <w:t>Table 6.1 : Economic contributions of scientific research &amp; management, 2012</w:t>
        </w:r>
        <w:r w:rsidR="00873274">
          <w:rPr>
            <w:noProof/>
            <w:webHidden/>
          </w:rPr>
          <w:tab/>
        </w:r>
        <w:r>
          <w:rPr>
            <w:noProof/>
            <w:webHidden/>
          </w:rPr>
          <w:fldChar w:fldCharType="begin"/>
        </w:r>
        <w:r w:rsidR="00873274">
          <w:rPr>
            <w:noProof/>
            <w:webHidden/>
          </w:rPr>
          <w:instrText xml:space="preserve"> PAGEREF _Toc355701067 \h </w:instrText>
        </w:r>
        <w:r>
          <w:rPr>
            <w:noProof/>
            <w:webHidden/>
          </w:rPr>
        </w:r>
        <w:r>
          <w:rPr>
            <w:noProof/>
            <w:webHidden/>
          </w:rPr>
          <w:fldChar w:fldCharType="separate"/>
        </w:r>
        <w:r w:rsidR="00536D7E">
          <w:rPr>
            <w:noProof/>
            <w:webHidden/>
          </w:rPr>
          <w:t>30</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8" w:history="1">
        <w:r w:rsidR="00873274" w:rsidRPr="00F665C8">
          <w:rPr>
            <w:rStyle w:val="Hyperlink"/>
            <w:rFonts w:ascii="Arial" w:hAnsi="Arial"/>
            <w:noProof/>
          </w:rPr>
          <w:t>Table 7.1 : Economic contributions of the Great Barrier Reef World Heritage Area to Australia, 2012</w:t>
        </w:r>
        <w:r w:rsidR="00873274">
          <w:rPr>
            <w:noProof/>
            <w:webHidden/>
          </w:rPr>
          <w:tab/>
        </w:r>
        <w:r>
          <w:rPr>
            <w:noProof/>
            <w:webHidden/>
          </w:rPr>
          <w:fldChar w:fldCharType="begin"/>
        </w:r>
        <w:r w:rsidR="00873274">
          <w:rPr>
            <w:noProof/>
            <w:webHidden/>
          </w:rPr>
          <w:instrText xml:space="preserve"> PAGEREF _Toc355701068 \h </w:instrText>
        </w:r>
        <w:r>
          <w:rPr>
            <w:noProof/>
            <w:webHidden/>
          </w:rPr>
        </w:r>
        <w:r>
          <w:rPr>
            <w:noProof/>
            <w:webHidden/>
          </w:rPr>
          <w:fldChar w:fldCharType="separate"/>
        </w:r>
        <w:r w:rsidR="00536D7E">
          <w:rPr>
            <w:noProof/>
            <w:webHidden/>
          </w:rPr>
          <w:t>31</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69" w:history="1">
        <w:r w:rsidR="00873274" w:rsidRPr="00F665C8">
          <w:rPr>
            <w:rStyle w:val="Hyperlink"/>
            <w:rFonts w:ascii="Arial" w:hAnsi="Arial"/>
            <w:noProof/>
          </w:rPr>
          <w:t>Table 7.2 : Total Economic contribution by region, 2012</w:t>
        </w:r>
        <w:r w:rsidR="00873274">
          <w:rPr>
            <w:noProof/>
            <w:webHidden/>
          </w:rPr>
          <w:tab/>
        </w:r>
        <w:r>
          <w:rPr>
            <w:noProof/>
            <w:webHidden/>
          </w:rPr>
          <w:fldChar w:fldCharType="begin"/>
        </w:r>
        <w:r w:rsidR="00873274">
          <w:rPr>
            <w:noProof/>
            <w:webHidden/>
          </w:rPr>
          <w:instrText xml:space="preserve"> PAGEREF _Toc355701069 \h </w:instrText>
        </w:r>
        <w:r>
          <w:rPr>
            <w:noProof/>
            <w:webHidden/>
          </w:rPr>
        </w:r>
        <w:r>
          <w:rPr>
            <w:noProof/>
            <w:webHidden/>
          </w:rPr>
          <w:fldChar w:fldCharType="separate"/>
        </w:r>
        <w:r w:rsidR="00536D7E">
          <w:rPr>
            <w:noProof/>
            <w:webHidden/>
          </w:rPr>
          <w:t>32</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70" w:history="1">
        <w:r w:rsidR="00873274" w:rsidRPr="00F665C8">
          <w:rPr>
            <w:rStyle w:val="Hyperlink"/>
            <w:rFonts w:ascii="Arial" w:hAnsi="Arial"/>
            <w:noProof/>
          </w:rPr>
          <w:t>Table A.1 : Contribution to GSP TSA method (2011-2012)</w:t>
        </w:r>
        <w:r w:rsidR="00873274">
          <w:rPr>
            <w:noProof/>
            <w:webHidden/>
          </w:rPr>
          <w:tab/>
        </w:r>
        <w:r>
          <w:rPr>
            <w:noProof/>
            <w:webHidden/>
          </w:rPr>
          <w:fldChar w:fldCharType="begin"/>
        </w:r>
        <w:r w:rsidR="00873274">
          <w:rPr>
            <w:noProof/>
            <w:webHidden/>
          </w:rPr>
          <w:instrText xml:space="preserve"> PAGEREF _Toc355701070 \h </w:instrText>
        </w:r>
        <w:r>
          <w:rPr>
            <w:noProof/>
            <w:webHidden/>
          </w:rPr>
        </w:r>
        <w:r>
          <w:rPr>
            <w:noProof/>
            <w:webHidden/>
          </w:rPr>
          <w:fldChar w:fldCharType="separate"/>
        </w:r>
        <w:r w:rsidR="00536D7E">
          <w:rPr>
            <w:noProof/>
            <w:webHidden/>
          </w:rPr>
          <w:t>37</w:t>
        </w:r>
        <w:r>
          <w:rPr>
            <w:noProof/>
            <w:webHidden/>
          </w:rPr>
          <w:fldChar w:fldCharType="end"/>
        </w:r>
      </w:hyperlink>
    </w:p>
    <w:p w:rsidR="009203B9" w:rsidRPr="00DF3703" w:rsidRDefault="00EB023D" w:rsidP="00AC6CA0">
      <w:pPr>
        <w:pStyle w:val="Contents-Minor"/>
        <w:rPr>
          <w:rFonts w:ascii="Arial" w:hAnsi="Arial" w:cs="Arial"/>
          <w:sz w:val="24"/>
          <w:szCs w:val="20"/>
        </w:rPr>
      </w:pPr>
      <w:r w:rsidRPr="00DF3703">
        <w:rPr>
          <w:rFonts w:ascii="Arial" w:hAnsi="Arial" w:cs="Arial"/>
          <w:sz w:val="24"/>
          <w:szCs w:val="20"/>
        </w:rPr>
        <w:fldChar w:fldCharType="end"/>
      </w:r>
    </w:p>
    <w:p w:rsidR="00AC6CA0" w:rsidRPr="00DF3703" w:rsidRDefault="006B7D88" w:rsidP="00AC6CA0">
      <w:pPr>
        <w:pStyle w:val="Contents-Minor"/>
        <w:rPr>
          <w:rFonts w:ascii="Segoe UI" w:hAnsi="Segoe UI" w:cs="Segoe UI"/>
        </w:rPr>
      </w:pPr>
      <w:r w:rsidRPr="00DF3703">
        <w:rPr>
          <w:rFonts w:ascii="Segoe UI" w:hAnsi="Segoe UI" w:cs="Segoe UI"/>
        </w:rPr>
        <w:t>Figures</w:t>
      </w:r>
    </w:p>
    <w:p w:rsidR="00873274" w:rsidRDefault="00EB023D">
      <w:pPr>
        <w:pStyle w:val="TOC1"/>
        <w:rPr>
          <w:rFonts w:asciiTheme="minorHAnsi" w:eastAsiaTheme="minorEastAsia" w:hAnsiTheme="minorHAnsi" w:cstheme="minorBidi"/>
          <w:noProof/>
          <w:lang w:eastAsia="en-AU"/>
        </w:rPr>
      </w:pPr>
      <w:r w:rsidRPr="00EB023D">
        <w:rPr>
          <w:rFonts w:ascii="Arial" w:hAnsi="Arial"/>
        </w:rPr>
        <w:fldChar w:fldCharType="begin"/>
      </w:r>
      <w:r w:rsidR="006B7D88" w:rsidRPr="00DF3703">
        <w:rPr>
          <w:rFonts w:ascii="Arial" w:hAnsi="Arial"/>
        </w:rPr>
        <w:instrText xml:space="preserve"> TOC \h \z \t "Appendix Figure Caption,1,Caption_Figure,1" </w:instrText>
      </w:r>
      <w:r w:rsidRPr="00EB023D">
        <w:rPr>
          <w:rFonts w:ascii="Arial" w:hAnsi="Arial"/>
        </w:rPr>
        <w:fldChar w:fldCharType="separate"/>
      </w:r>
      <w:hyperlink w:anchor="_Toc355701071" w:history="1">
        <w:r w:rsidR="00873274" w:rsidRPr="006F31CD">
          <w:rPr>
            <w:rStyle w:val="Hyperlink"/>
            <w:rFonts w:ascii="Arial" w:hAnsi="Arial"/>
            <w:noProof/>
          </w:rPr>
          <w:t>Figure 2.1 : Great Barrier Reef Catchment NRM Regions</w:t>
        </w:r>
        <w:r w:rsidR="00873274">
          <w:rPr>
            <w:noProof/>
            <w:webHidden/>
          </w:rPr>
          <w:tab/>
        </w:r>
        <w:r>
          <w:rPr>
            <w:noProof/>
            <w:webHidden/>
          </w:rPr>
          <w:fldChar w:fldCharType="begin"/>
        </w:r>
        <w:r w:rsidR="00873274">
          <w:rPr>
            <w:noProof/>
            <w:webHidden/>
          </w:rPr>
          <w:instrText xml:space="preserve"> PAGEREF _Toc355701071 \h </w:instrText>
        </w:r>
        <w:r>
          <w:rPr>
            <w:noProof/>
            <w:webHidden/>
          </w:rPr>
        </w:r>
        <w:r>
          <w:rPr>
            <w:noProof/>
            <w:webHidden/>
          </w:rPr>
          <w:fldChar w:fldCharType="separate"/>
        </w:r>
        <w:r w:rsidR="00536D7E">
          <w:rPr>
            <w:noProof/>
            <w:webHidden/>
          </w:rPr>
          <w:t>4</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72" w:history="1">
        <w:r w:rsidR="00873274" w:rsidRPr="006F31CD">
          <w:rPr>
            <w:rStyle w:val="Hyperlink"/>
            <w:rFonts w:ascii="Arial" w:hAnsi="Arial"/>
            <w:noProof/>
          </w:rPr>
          <w:t>Figure 4.1 : GVP, for Wild catch by region distribution</w:t>
        </w:r>
        <w:r w:rsidR="00873274">
          <w:rPr>
            <w:noProof/>
            <w:webHidden/>
          </w:rPr>
          <w:tab/>
        </w:r>
        <w:r>
          <w:rPr>
            <w:noProof/>
            <w:webHidden/>
          </w:rPr>
          <w:fldChar w:fldCharType="begin"/>
        </w:r>
        <w:r w:rsidR="00873274">
          <w:rPr>
            <w:noProof/>
            <w:webHidden/>
          </w:rPr>
          <w:instrText xml:space="preserve"> PAGEREF _Toc355701072 \h </w:instrText>
        </w:r>
        <w:r>
          <w:rPr>
            <w:noProof/>
            <w:webHidden/>
          </w:rPr>
        </w:r>
        <w:r>
          <w:rPr>
            <w:noProof/>
            <w:webHidden/>
          </w:rPr>
          <w:fldChar w:fldCharType="separate"/>
        </w:r>
        <w:r w:rsidR="00536D7E">
          <w:rPr>
            <w:noProof/>
            <w:webHidden/>
          </w:rPr>
          <w:t>22</w:t>
        </w:r>
        <w:r>
          <w:rPr>
            <w:noProof/>
            <w:webHidden/>
          </w:rPr>
          <w:fldChar w:fldCharType="end"/>
        </w:r>
      </w:hyperlink>
    </w:p>
    <w:p w:rsidR="00873274" w:rsidRDefault="00EB023D">
      <w:pPr>
        <w:pStyle w:val="TOC1"/>
        <w:rPr>
          <w:rFonts w:asciiTheme="minorHAnsi" w:eastAsiaTheme="minorEastAsia" w:hAnsiTheme="minorHAnsi" w:cstheme="minorBidi"/>
          <w:noProof/>
          <w:lang w:eastAsia="en-AU"/>
        </w:rPr>
      </w:pPr>
      <w:hyperlink w:anchor="_Toc355701073" w:history="1">
        <w:r w:rsidR="00873274" w:rsidRPr="006F31CD">
          <w:rPr>
            <w:rStyle w:val="Hyperlink"/>
            <w:rFonts w:ascii="Arial" w:hAnsi="Arial"/>
            <w:noProof/>
          </w:rPr>
          <w:t>Figure B.1 : Economic activity accounting framework</w:t>
        </w:r>
        <w:r w:rsidR="00873274">
          <w:rPr>
            <w:noProof/>
            <w:webHidden/>
          </w:rPr>
          <w:tab/>
        </w:r>
        <w:r>
          <w:rPr>
            <w:noProof/>
            <w:webHidden/>
          </w:rPr>
          <w:fldChar w:fldCharType="begin"/>
        </w:r>
        <w:r w:rsidR="00873274">
          <w:rPr>
            <w:noProof/>
            <w:webHidden/>
          </w:rPr>
          <w:instrText xml:space="preserve"> PAGEREF _Toc355701073 \h </w:instrText>
        </w:r>
        <w:r>
          <w:rPr>
            <w:noProof/>
            <w:webHidden/>
          </w:rPr>
        </w:r>
        <w:r>
          <w:rPr>
            <w:noProof/>
            <w:webHidden/>
          </w:rPr>
          <w:fldChar w:fldCharType="separate"/>
        </w:r>
        <w:r w:rsidR="00536D7E">
          <w:rPr>
            <w:noProof/>
            <w:webHidden/>
          </w:rPr>
          <w:t>40</w:t>
        </w:r>
        <w:r>
          <w:rPr>
            <w:noProof/>
            <w:webHidden/>
          </w:rPr>
          <w:fldChar w:fldCharType="end"/>
        </w:r>
      </w:hyperlink>
    </w:p>
    <w:p w:rsidR="00560543" w:rsidRPr="00DF3703" w:rsidRDefault="00EB023D" w:rsidP="00560543">
      <w:pPr>
        <w:pStyle w:val="Contents-Minor"/>
        <w:rPr>
          <w:rFonts w:ascii="Arial" w:hAnsi="Arial" w:cs="Arial"/>
        </w:rPr>
      </w:pPr>
      <w:r w:rsidRPr="00DF3703">
        <w:rPr>
          <w:rFonts w:ascii="Arial" w:hAnsi="Arial" w:cs="Arial"/>
        </w:rPr>
        <w:fldChar w:fldCharType="end"/>
      </w:r>
    </w:p>
    <w:p w:rsidR="007257C4" w:rsidRPr="00DF3703" w:rsidRDefault="007257C4" w:rsidP="000175EC">
      <w:pPr>
        <w:pStyle w:val="BodyText"/>
        <w:rPr>
          <w:rFonts w:ascii="Arial" w:hAnsi="Arial" w:cs="Arial"/>
        </w:rPr>
      </w:pPr>
    </w:p>
    <w:p w:rsidR="000175EC" w:rsidRPr="00DF3703" w:rsidRDefault="000175EC" w:rsidP="000175EC">
      <w:pPr>
        <w:pStyle w:val="BodyText"/>
        <w:rPr>
          <w:rFonts w:ascii="Arial" w:hAnsi="Arial" w:cs="Arial"/>
        </w:rPr>
        <w:sectPr w:rsidR="000175EC" w:rsidRPr="00DF3703" w:rsidSect="00153E58">
          <w:headerReference w:type="even" r:id="rId17"/>
          <w:headerReference w:type="default" r:id="rId18"/>
          <w:footerReference w:type="default" r:id="rId19"/>
          <w:headerReference w:type="first" r:id="rId20"/>
          <w:footerReference w:type="first" r:id="rId21"/>
          <w:pgSz w:w="11906" w:h="16838" w:code="9"/>
          <w:pgMar w:top="1701" w:right="1701" w:bottom="1701" w:left="1701" w:header="720" w:footer="720" w:gutter="0"/>
          <w:pgNumType w:fmt="lowerRoman" w:start="1"/>
          <w:cols w:space="720"/>
          <w:titlePg/>
          <w:docGrid w:linePitch="360"/>
        </w:sectPr>
      </w:pPr>
    </w:p>
    <w:p w:rsidR="002E7FF6" w:rsidRPr="00DF3703" w:rsidRDefault="006B7D88" w:rsidP="00647BBE">
      <w:pPr>
        <w:pStyle w:val="Glossary"/>
        <w:rPr>
          <w:rFonts w:ascii="Segoe UI" w:hAnsi="Segoe UI" w:cs="Segoe UI"/>
        </w:rPr>
      </w:pPr>
      <w:bookmarkStart w:id="1" w:name="_Toc228005204"/>
      <w:bookmarkStart w:id="2" w:name="_Toc355700970"/>
      <w:r w:rsidRPr="00DF3703">
        <w:rPr>
          <w:rFonts w:ascii="Segoe UI" w:hAnsi="Segoe UI" w:cs="Segoe UI"/>
        </w:rPr>
        <w:lastRenderedPageBreak/>
        <w:t>Glossary</w:t>
      </w:r>
      <w:bookmarkEnd w:id="1"/>
      <w:bookmarkEnd w:id="2"/>
    </w:p>
    <w:tbl>
      <w:tblPr>
        <w:tblStyle w:val="TableAEGlossary"/>
        <w:tblW w:w="0" w:type="auto"/>
        <w:tblBorders>
          <w:top w:val="single" w:sz="4" w:space="0" w:color="002776"/>
          <w:bottom w:val="single" w:sz="4" w:space="0" w:color="002776"/>
        </w:tblBorders>
        <w:tblLook w:val="04A0"/>
      </w:tblPr>
      <w:tblGrid>
        <w:gridCol w:w="2580"/>
        <w:gridCol w:w="5856"/>
      </w:tblGrid>
      <w:tr w:rsidR="00CD7956" w:rsidRPr="00DF3703" w:rsidTr="00BD489D">
        <w:trPr>
          <w:cnfStyle w:val="100000000000"/>
        </w:trPr>
        <w:tc>
          <w:tcPr>
            <w:tcW w:w="2580" w:type="dxa"/>
          </w:tcPr>
          <w:p w:rsidR="00CD7956" w:rsidRPr="00DF3703" w:rsidRDefault="006B7D88" w:rsidP="00BD489D">
            <w:pPr>
              <w:pStyle w:val="GlossaryAbbreviation"/>
              <w:rPr>
                <w:rFonts w:ascii="Arial" w:hAnsi="Arial"/>
              </w:rPr>
            </w:pPr>
            <w:r w:rsidRPr="00DF3703">
              <w:rPr>
                <w:rFonts w:ascii="Arial" w:hAnsi="Arial"/>
              </w:rPr>
              <w:t>ABS</w:t>
            </w:r>
          </w:p>
        </w:tc>
        <w:tc>
          <w:tcPr>
            <w:tcW w:w="5856" w:type="dxa"/>
          </w:tcPr>
          <w:p w:rsidR="00CD7956" w:rsidRPr="00DF3703" w:rsidRDefault="006B7D88" w:rsidP="00BD489D">
            <w:pPr>
              <w:pStyle w:val="Glossarytext"/>
              <w:rPr>
                <w:rFonts w:ascii="Arial" w:hAnsi="Arial"/>
              </w:rPr>
            </w:pPr>
            <w:r w:rsidRPr="00DF3703">
              <w:rPr>
                <w:rFonts w:ascii="Arial" w:hAnsi="Arial"/>
              </w:rPr>
              <w:t>Australian Bureau of Statistics</w:t>
            </w:r>
          </w:p>
        </w:tc>
      </w:tr>
      <w:tr w:rsidR="00CD7956" w:rsidRPr="00DF3703" w:rsidTr="00BD489D">
        <w:tc>
          <w:tcPr>
            <w:tcW w:w="2580" w:type="dxa"/>
          </w:tcPr>
          <w:p w:rsidR="00CD7956" w:rsidRPr="00DF3703" w:rsidRDefault="006B7D88" w:rsidP="00BD489D">
            <w:pPr>
              <w:pStyle w:val="GlossaryAbbreviation"/>
              <w:rPr>
                <w:rFonts w:ascii="Arial" w:hAnsi="Arial"/>
              </w:rPr>
            </w:pPr>
            <w:r w:rsidRPr="00DF3703">
              <w:rPr>
                <w:rFonts w:ascii="Arial" w:hAnsi="Arial"/>
              </w:rPr>
              <w:t>DAE</w:t>
            </w:r>
          </w:p>
        </w:tc>
        <w:tc>
          <w:tcPr>
            <w:tcW w:w="5856" w:type="dxa"/>
          </w:tcPr>
          <w:p w:rsidR="00CD7956" w:rsidRPr="00DF3703" w:rsidRDefault="006B7D88" w:rsidP="00BD489D">
            <w:pPr>
              <w:pStyle w:val="Glossarytext"/>
              <w:rPr>
                <w:rFonts w:ascii="Arial" w:hAnsi="Arial"/>
              </w:rPr>
            </w:pPr>
            <w:r w:rsidRPr="00DF3703">
              <w:rPr>
                <w:rFonts w:ascii="Arial" w:hAnsi="Arial"/>
              </w:rPr>
              <w:t>Deloitte Access Economics</w:t>
            </w:r>
          </w:p>
        </w:tc>
      </w:tr>
      <w:tr w:rsidR="00EE3DE3" w:rsidRPr="00DF3703" w:rsidTr="00EE3DE3">
        <w:tc>
          <w:tcPr>
            <w:tcW w:w="2580" w:type="dxa"/>
          </w:tcPr>
          <w:p w:rsidR="00EE3DE3" w:rsidRPr="00DF3703" w:rsidRDefault="006B7D88" w:rsidP="00EE3DE3">
            <w:pPr>
              <w:pStyle w:val="GlossaryAbbreviation"/>
              <w:rPr>
                <w:rFonts w:ascii="Arial" w:hAnsi="Arial"/>
              </w:rPr>
            </w:pPr>
            <w:r w:rsidRPr="00DF3703">
              <w:rPr>
                <w:rFonts w:ascii="Arial" w:hAnsi="Arial"/>
              </w:rPr>
              <w:t>GBRMPA</w:t>
            </w:r>
          </w:p>
        </w:tc>
        <w:tc>
          <w:tcPr>
            <w:tcW w:w="5856" w:type="dxa"/>
          </w:tcPr>
          <w:p w:rsidR="00EE3DE3" w:rsidRPr="00DF3703" w:rsidRDefault="006B7D88" w:rsidP="00EE3DE3">
            <w:pPr>
              <w:pStyle w:val="Glossarytext"/>
              <w:rPr>
                <w:rFonts w:ascii="Arial" w:hAnsi="Arial"/>
              </w:rPr>
            </w:pPr>
            <w:r w:rsidRPr="00DF3703">
              <w:rPr>
                <w:rFonts w:ascii="Arial" w:hAnsi="Arial"/>
              </w:rPr>
              <w:t>Great Barrier Reef Marine Park Authority</w:t>
            </w:r>
          </w:p>
        </w:tc>
      </w:tr>
      <w:tr w:rsidR="00B41333" w:rsidRPr="00DF3703" w:rsidTr="00CD7956">
        <w:tc>
          <w:tcPr>
            <w:tcW w:w="2580" w:type="dxa"/>
          </w:tcPr>
          <w:p w:rsidR="00B41333" w:rsidRPr="00DF3703" w:rsidRDefault="006B7D88" w:rsidP="00BD489D">
            <w:pPr>
              <w:pStyle w:val="GlossaryAbbreviation"/>
              <w:rPr>
                <w:rFonts w:ascii="Arial" w:hAnsi="Arial"/>
              </w:rPr>
            </w:pPr>
            <w:r w:rsidRPr="00DF3703">
              <w:rPr>
                <w:rFonts w:ascii="Arial" w:hAnsi="Arial"/>
              </w:rPr>
              <w:t>NRM</w:t>
            </w:r>
          </w:p>
        </w:tc>
        <w:tc>
          <w:tcPr>
            <w:tcW w:w="5856" w:type="dxa"/>
          </w:tcPr>
          <w:p w:rsidR="00B41333" w:rsidRPr="00DF3703" w:rsidRDefault="006B7D88" w:rsidP="00BD489D">
            <w:pPr>
              <w:pStyle w:val="Glossarytext"/>
              <w:rPr>
                <w:rFonts w:ascii="Arial" w:hAnsi="Arial"/>
              </w:rPr>
            </w:pPr>
            <w:r w:rsidRPr="00DF3703">
              <w:rPr>
                <w:rFonts w:ascii="Arial" w:hAnsi="Arial"/>
              </w:rPr>
              <w:t>Natural Resource Management Region</w:t>
            </w:r>
          </w:p>
        </w:tc>
      </w:tr>
      <w:tr w:rsidR="00CD7956" w:rsidRPr="00DF3703" w:rsidTr="00CD7956">
        <w:tc>
          <w:tcPr>
            <w:tcW w:w="2580" w:type="dxa"/>
          </w:tcPr>
          <w:p w:rsidR="00CD7956" w:rsidRPr="00DF3703" w:rsidRDefault="006B7D88" w:rsidP="00BD489D">
            <w:pPr>
              <w:pStyle w:val="GlossaryAbbreviation"/>
              <w:rPr>
                <w:rFonts w:ascii="Arial" w:hAnsi="Arial"/>
              </w:rPr>
            </w:pPr>
            <w:r w:rsidRPr="00DF3703">
              <w:rPr>
                <w:rFonts w:ascii="Arial" w:hAnsi="Arial"/>
              </w:rPr>
              <w:t>TRA</w:t>
            </w:r>
          </w:p>
        </w:tc>
        <w:tc>
          <w:tcPr>
            <w:tcW w:w="5856" w:type="dxa"/>
          </w:tcPr>
          <w:p w:rsidR="00CD7956" w:rsidRPr="00DF3703" w:rsidRDefault="006B7D88" w:rsidP="00BD489D">
            <w:pPr>
              <w:pStyle w:val="Glossarytext"/>
              <w:rPr>
                <w:rFonts w:ascii="Arial" w:hAnsi="Arial"/>
              </w:rPr>
            </w:pPr>
            <w:r w:rsidRPr="00DF3703">
              <w:rPr>
                <w:rFonts w:ascii="Arial" w:hAnsi="Arial"/>
              </w:rPr>
              <w:t>Tourism Research Australia</w:t>
            </w:r>
          </w:p>
        </w:tc>
      </w:tr>
    </w:tbl>
    <w:p w:rsidR="0089430B" w:rsidRPr="00DF3703" w:rsidRDefault="0089430B" w:rsidP="000175EC">
      <w:pPr>
        <w:pStyle w:val="BodyText"/>
        <w:rPr>
          <w:rFonts w:ascii="Arial" w:hAnsi="Arial" w:cs="Arial"/>
        </w:rPr>
      </w:pPr>
    </w:p>
    <w:p w:rsidR="000175EC" w:rsidRPr="00DF3703" w:rsidRDefault="000175EC" w:rsidP="009B4B43">
      <w:pPr>
        <w:pStyle w:val="SingleLeft"/>
        <w:rPr>
          <w:rFonts w:ascii="Arial" w:hAnsi="Arial" w:cs="Arial"/>
        </w:rPr>
      </w:pPr>
    </w:p>
    <w:p w:rsidR="002E7FF6" w:rsidRPr="00DF3703" w:rsidRDefault="002E7FF6" w:rsidP="009B4B43">
      <w:pPr>
        <w:pStyle w:val="SingleLeft"/>
        <w:rPr>
          <w:rFonts w:ascii="Arial" w:hAnsi="Arial" w:cs="Arial"/>
        </w:rPr>
        <w:sectPr w:rsidR="002E7FF6" w:rsidRPr="00DF3703" w:rsidSect="000175EC">
          <w:pgSz w:w="11906" w:h="16838" w:code="9"/>
          <w:pgMar w:top="2268" w:right="1134" w:bottom="1134" w:left="2552" w:header="720" w:footer="720" w:gutter="0"/>
          <w:pgNumType w:fmt="lowerRoman" w:start="1"/>
          <w:cols w:space="720"/>
          <w:titlePg/>
          <w:docGrid w:linePitch="360"/>
        </w:sectPr>
      </w:pPr>
    </w:p>
    <w:p w:rsidR="00A65D32" w:rsidRPr="00DF3703" w:rsidRDefault="006B7D88" w:rsidP="00A65D32">
      <w:pPr>
        <w:pStyle w:val="MajorHeading"/>
        <w:numPr>
          <w:ilvl w:val="0"/>
          <w:numId w:val="0"/>
        </w:numPr>
        <w:rPr>
          <w:rFonts w:ascii="Segoe UI" w:hAnsi="Segoe UI" w:cs="Segoe UI"/>
        </w:rPr>
      </w:pPr>
      <w:bookmarkStart w:id="3" w:name="_Toc215906318"/>
      <w:bookmarkStart w:id="4" w:name="_Toc227746675"/>
      <w:bookmarkStart w:id="5" w:name="_Toc227746679"/>
      <w:bookmarkStart w:id="6" w:name="_Toc227746683"/>
      <w:bookmarkStart w:id="7" w:name="_Toc227746687"/>
      <w:bookmarkStart w:id="8" w:name="_Toc227748309"/>
      <w:bookmarkStart w:id="9" w:name="_Toc227748327"/>
      <w:bookmarkStart w:id="10" w:name="_Toc227748331"/>
      <w:bookmarkStart w:id="11" w:name="_Toc227748335"/>
      <w:bookmarkStart w:id="12" w:name="_Toc227748374"/>
      <w:bookmarkStart w:id="13" w:name="_Toc227748378"/>
      <w:bookmarkStart w:id="14" w:name="_Toc227748382"/>
      <w:bookmarkStart w:id="15" w:name="_Toc227748494"/>
      <w:bookmarkStart w:id="16" w:name="_Toc227748498"/>
      <w:bookmarkStart w:id="17" w:name="_Toc228005205"/>
      <w:bookmarkStart w:id="18" w:name="_Toc228092496"/>
      <w:bookmarkStart w:id="19" w:name="_Toc228264951"/>
      <w:bookmarkStart w:id="20" w:name="_Toc228264973"/>
      <w:bookmarkStart w:id="21" w:name="_Toc228264977"/>
      <w:bookmarkStart w:id="22" w:name="_Toc228264981"/>
      <w:bookmarkStart w:id="23" w:name="_Toc228264985"/>
      <w:bookmarkStart w:id="24" w:name="_Toc228265215"/>
      <w:bookmarkStart w:id="25" w:name="_Toc340243176"/>
      <w:bookmarkStart w:id="26" w:name="_Toc355700971"/>
      <w:r w:rsidRPr="00DF3703">
        <w:rPr>
          <w:rFonts w:ascii="Segoe UI" w:hAnsi="Segoe UI" w:cs="Segoe UI"/>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E65313" w:rsidRPr="00DF3703" w:rsidRDefault="006B7D88" w:rsidP="00A65D32">
      <w:pPr>
        <w:pStyle w:val="BodyText"/>
        <w:rPr>
          <w:rFonts w:ascii="Arial" w:hAnsi="Arial" w:cs="Arial"/>
        </w:rPr>
      </w:pPr>
      <w:r w:rsidRPr="00DF3703">
        <w:rPr>
          <w:rFonts w:ascii="Arial" w:hAnsi="Arial" w:cs="Arial"/>
        </w:rPr>
        <w:t xml:space="preserve">The Great Barrier Reef is the world’s largest coral reef ecosystem and one of the seven wonders of the natural world.  The World Heritage Area is located off the coast of Queensland, covering an area of almost 350,000 square kilometres from around </w:t>
      </w:r>
      <w:r w:rsidR="00194AE1" w:rsidRPr="00DF3703">
        <w:rPr>
          <w:rFonts w:ascii="Arial" w:hAnsi="Arial" w:cs="Arial"/>
        </w:rPr>
        <w:t xml:space="preserve">Bundaberg </w:t>
      </w:r>
      <w:r w:rsidRPr="00DF3703">
        <w:rPr>
          <w:rFonts w:ascii="Arial" w:hAnsi="Arial" w:cs="Arial"/>
        </w:rPr>
        <w:t xml:space="preserve">in the South to </w:t>
      </w:r>
      <w:r w:rsidR="006B21AB" w:rsidRPr="00DF3703">
        <w:rPr>
          <w:rFonts w:ascii="Arial" w:hAnsi="Arial" w:cs="Arial"/>
        </w:rPr>
        <w:t xml:space="preserve">the </w:t>
      </w:r>
      <w:r w:rsidR="00E65313" w:rsidRPr="00DF3703">
        <w:rPr>
          <w:rFonts w:ascii="Arial" w:hAnsi="Arial" w:cs="Arial"/>
        </w:rPr>
        <w:t>northern tip of Queensland.</w:t>
      </w:r>
    </w:p>
    <w:p w:rsidR="00FC7741" w:rsidRPr="00DF3703" w:rsidRDefault="006B7D88" w:rsidP="00A65D32">
      <w:pPr>
        <w:pStyle w:val="BodyText"/>
        <w:rPr>
          <w:rFonts w:ascii="Arial" w:hAnsi="Arial" w:cs="Arial"/>
        </w:rPr>
      </w:pPr>
      <w:r w:rsidRPr="00DF3703">
        <w:rPr>
          <w:rFonts w:ascii="Arial" w:hAnsi="Arial" w:cs="Arial"/>
        </w:rPr>
        <w:t>The st</w:t>
      </w:r>
      <w:r w:rsidR="00E65313" w:rsidRPr="00DF3703">
        <w:rPr>
          <w:rFonts w:ascii="Arial" w:hAnsi="Arial" w:cs="Arial"/>
        </w:rPr>
        <w:t>udy scope includes</w:t>
      </w:r>
      <w:r w:rsidRPr="00DF3703">
        <w:rPr>
          <w:rFonts w:ascii="Arial" w:hAnsi="Arial" w:cs="Arial"/>
        </w:rPr>
        <w:t xml:space="preserve"> </w:t>
      </w:r>
      <w:r w:rsidR="006B21AB" w:rsidRPr="00DF3703">
        <w:rPr>
          <w:rFonts w:ascii="Arial" w:hAnsi="Arial" w:cs="Arial"/>
        </w:rPr>
        <w:t>the</w:t>
      </w:r>
      <w:r w:rsidRPr="00DF3703">
        <w:rPr>
          <w:rFonts w:ascii="Arial" w:hAnsi="Arial" w:cs="Arial"/>
        </w:rPr>
        <w:t xml:space="preserve"> catchment area of coastal Queensland that takes in a number of Local Government Areas including North Burnett and Gladstone in the south, Townsville and Charters Towers in the Central region and Cairns an</w:t>
      </w:r>
      <w:r w:rsidR="004145E4" w:rsidRPr="00DF3703">
        <w:rPr>
          <w:rFonts w:ascii="Arial" w:hAnsi="Arial" w:cs="Arial"/>
        </w:rPr>
        <w:t>d the Tablelands in the north.</w:t>
      </w:r>
    </w:p>
    <w:p w:rsidR="00A65D32" w:rsidRPr="00DF3703" w:rsidRDefault="006B7D88" w:rsidP="00A65D32">
      <w:pPr>
        <w:pStyle w:val="BodyText"/>
        <w:rPr>
          <w:rFonts w:ascii="Arial" w:hAnsi="Arial" w:cs="Arial"/>
        </w:rPr>
      </w:pPr>
      <w:r w:rsidRPr="00DF3703">
        <w:rPr>
          <w:rFonts w:ascii="Arial" w:hAnsi="Arial" w:cs="Arial"/>
        </w:rPr>
        <w:t xml:space="preserve">This economic contribution study measures the tourist, recreational, commercial fishing and scientific research </w:t>
      </w:r>
      <w:r w:rsidR="007F0C11" w:rsidRPr="00DF3703">
        <w:rPr>
          <w:rFonts w:ascii="Arial" w:hAnsi="Arial" w:cs="Arial"/>
        </w:rPr>
        <w:t xml:space="preserve">and management </w:t>
      </w:r>
      <w:r w:rsidRPr="00DF3703">
        <w:rPr>
          <w:rFonts w:ascii="Arial" w:hAnsi="Arial" w:cs="Arial"/>
        </w:rPr>
        <w:t xml:space="preserve">activity within the </w:t>
      </w:r>
      <w:r w:rsidR="00036279" w:rsidRPr="00DF3703">
        <w:rPr>
          <w:rFonts w:ascii="Arial" w:hAnsi="Arial" w:cs="Arial"/>
        </w:rPr>
        <w:t>Reef</w:t>
      </w:r>
      <w:r w:rsidRPr="00DF3703">
        <w:rPr>
          <w:rFonts w:ascii="Arial" w:hAnsi="Arial" w:cs="Arial"/>
        </w:rPr>
        <w:t xml:space="preserve"> catchment and the </w:t>
      </w:r>
      <w:r w:rsidR="00036279" w:rsidRPr="00DF3703">
        <w:rPr>
          <w:rFonts w:ascii="Arial" w:hAnsi="Arial" w:cs="Arial"/>
        </w:rPr>
        <w:t>World Heritage Area</w:t>
      </w:r>
      <w:r w:rsidRPr="00DF3703">
        <w:rPr>
          <w:rFonts w:ascii="Arial" w:hAnsi="Arial" w:cs="Arial"/>
        </w:rPr>
        <w:t xml:space="preserve">, and estimates the economic contribution of this activity to the </w:t>
      </w:r>
      <w:r w:rsidR="00036279" w:rsidRPr="00DF3703">
        <w:rPr>
          <w:rFonts w:ascii="Arial" w:hAnsi="Arial" w:cs="Arial"/>
        </w:rPr>
        <w:t>Reef</w:t>
      </w:r>
      <w:r w:rsidRPr="00DF3703">
        <w:rPr>
          <w:rFonts w:ascii="Arial" w:hAnsi="Arial" w:cs="Arial"/>
        </w:rPr>
        <w:t xml:space="preserve"> catchment, Queensland and Australia</w:t>
      </w:r>
      <w:r w:rsidR="006B21AB" w:rsidRPr="00DF3703">
        <w:rPr>
          <w:rFonts w:ascii="Arial" w:hAnsi="Arial" w:cs="Arial"/>
        </w:rPr>
        <w:t>.</w:t>
      </w:r>
      <w:r w:rsidRPr="00DF3703">
        <w:rPr>
          <w:rFonts w:ascii="Arial" w:hAnsi="Arial" w:cs="Arial"/>
        </w:rPr>
        <w:t xml:space="preserve">  The report outlines </w:t>
      </w:r>
      <w:r w:rsidR="00FA0D74" w:rsidRPr="00DF3703">
        <w:rPr>
          <w:rFonts w:ascii="Arial" w:hAnsi="Arial" w:cs="Arial"/>
        </w:rPr>
        <w:t xml:space="preserve">the </w:t>
      </w:r>
      <w:r w:rsidRPr="00DF3703">
        <w:rPr>
          <w:rFonts w:ascii="Arial" w:hAnsi="Arial" w:cs="Arial"/>
        </w:rPr>
        <w:t xml:space="preserve">geographical contribution for each of the NRM </w:t>
      </w:r>
      <w:r w:rsidR="006B21AB" w:rsidRPr="00DF3703">
        <w:rPr>
          <w:rFonts w:ascii="Arial" w:hAnsi="Arial" w:cs="Arial"/>
        </w:rPr>
        <w:t>regions</w:t>
      </w:r>
      <w:r w:rsidRPr="00DF3703">
        <w:rPr>
          <w:rFonts w:ascii="Arial" w:hAnsi="Arial" w:cs="Arial"/>
        </w:rPr>
        <w:t xml:space="preserve"> within the </w:t>
      </w:r>
      <w:r w:rsidR="003C4DCF" w:rsidRPr="00DF3703">
        <w:rPr>
          <w:rFonts w:ascii="Arial" w:hAnsi="Arial" w:cs="Arial"/>
        </w:rPr>
        <w:t>catchment</w:t>
      </w:r>
      <w:r w:rsidRPr="00DF3703">
        <w:rPr>
          <w:rFonts w:ascii="Arial" w:hAnsi="Arial" w:cs="Arial"/>
        </w:rPr>
        <w:t>.</w:t>
      </w:r>
      <w:r w:rsidR="004145E4" w:rsidRPr="00DF3703">
        <w:rPr>
          <w:rFonts w:ascii="Arial" w:hAnsi="Arial" w:cs="Arial"/>
        </w:rPr>
        <w:t xml:space="preserve">  Throughout this report, NRM region refers to geographical areas not NRM management bodies.  </w:t>
      </w:r>
    </w:p>
    <w:p w:rsidR="00A65D32" w:rsidRPr="00DF3703" w:rsidRDefault="006B7D88" w:rsidP="00A65D32">
      <w:pPr>
        <w:pStyle w:val="BodyText"/>
        <w:rPr>
          <w:rFonts w:ascii="Arial" w:hAnsi="Arial" w:cs="Arial"/>
        </w:rPr>
      </w:pPr>
      <w:r w:rsidRPr="00DF3703">
        <w:rPr>
          <w:rFonts w:ascii="Arial" w:hAnsi="Arial" w:cs="Arial"/>
        </w:rPr>
        <w:t>Estimates of the economic contribution in this report are for the reference year 2011-12 (referred to as 2012) and are generally an update of previous studies conducted for 2006-07, 2005-06 and 2004-05.</w:t>
      </w:r>
    </w:p>
    <w:p w:rsidR="00A65D32" w:rsidRPr="00DF3703" w:rsidRDefault="006B7D88" w:rsidP="00A65D32">
      <w:pPr>
        <w:pStyle w:val="BodyText"/>
        <w:rPr>
          <w:rFonts w:ascii="Arial" w:hAnsi="Arial" w:cs="Arial"/>
        </w:rPr>
      </w:pPr>
      <w:r w:rsidRPr="00DF3703">
        <w:rPr>
          <w:rFonts w:ascii="Arial" w:hAnsi="Arial" w:cs="Arial"/>
        </w:rPr>
        <w:t>The total Australia</w:t>
      </w:r>
      <w:r w:rsidR="006B21AB" w:rsidRPr="00DF3703">
        <w:rPr>
          <w:rFonts w:ascii="Arial" w:hAnsi="Arial" w:cs="Arial"/>
        </w:rPr>
        <w:t>-wide</w:t>
      </w:r>
      <w:r w:rsidRPr="00DF3703">
        <w:rPr>
          <w:rFonts w:ascii="Arial" w:hAnsi="Arial" w:cs="Arial"/>
        </w:rPr>
        <w:t xml:space="preserve"> value-added </w:t>
      </w:r>
      <w:r w:rsidR="006B21AB" w:rsidRPr="00DF3703">
        <w:rPr>
          <w:rFonts w:ascii="Arial" w:hAnsi="Arial" w:cs="Arial"/>
        </w:rPr>
        <w:t xml:space="preserve">economic contribution </w:t>
      </w:r>
      <w:r w:rsidRPr="00DF3703">
        <w:rPr>
          <w:rFonts w:ascii="Arial" w:hAnsi="Arial" w:cs="Arial"/>
        </w:rPr>
        <w:t xml:space="preserve">generated in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in 2012 was $5.7 billion with employment (as measured in full-time equivalent workers) of just below 69,000 (</w:t>
      </w:r>
      <w:fldSimple w:instr=" REF _Ref343199294 \r \h  \* MERGEFORMAT ">
        <w:r w:rsidR="00536D7E">
          <w:rPr>
            <w:rFonts w:ascii="Arial" w:hAnsi="Arial" w:cs="Arial"/>
          </w:rPr>
          <w:t>Table i</w:t>
        </w:r>
      </w:fldSimple>
      <w:r w:rsidRPr="00DF3703">
        <w:rPr>
          <w:rFonts w:ascii="Arial" w:hAnsi="Arial" w:cs="Arial"/>
        </w:rPr>
        <w:t xml:space="preserve">).  These estimates are based on both the direct and indirect contribution of the activities considered, where the indirect component is calculated using input-output multipliers.  This Australia-wide value-added </w:t>
      </w:r>
      <w:r w:rsidR="006B21AB" w:rsidRPr="00DF3703">
        <w:rPr>
          <w:rFonts w:ascii="Arial" w:hAnsi="Arial" w:cs="Arial"/>
        </w:rPr>
        <w:t xml:space="preserve">economic contribution </w:t>
      </w:r>
      <w:r w:rsidRPr="00DF3703">
        <w:rPr>
          <w:rFonts w:ascii="Arial" w:hAnsi="Arial" w:cs="Arial"/>
        </w:rPr>
        <w:t>is driven by just over $7.0 billion in expenditure in the region.</w:t>
      </w:r>
    </w:p>
    <w:p w:rsidR="004145E4" w:rsidRPr="00DF3703" w:rsidRDefault="004145E4" w:rsidP="004145E4">
      <w:pPr>
        <w:pStyle w:val="ExecTableCaption"/>
        <w:rPr>
          <w:rFonts w:ascii="Arial" w:hAnsi="Arial" w:cs="Arial"/>
        </w:rPr>
      </w:pPr>
      <w:bookmarkStart w:id="27" w:name="_Ref343199294"/>
      <w:r w:rsidRPr="00DF3703">
        <w:rPr>
          <w:rFonts w:ascii="Arial" w:hAnsi="Arial" w:cs="Arial"/>
        </w:rPr>
        <w:t>: Economic contribution to Australia</w:t>
      </w:r>
      <w:bookmarkEnd w:id="27"/>
    </w:p>
    <w:tbl>
      <w:tblPr>
        <w:tblStyle w:val="TableAEGrey"/>
        <w:tblW w:w="5000" w:type="pct"/>
        <w:tblLook w:val="04A0"/>
      </w:tblPr>
      <w:tblGrid>
        <w:gridCol w:w="2109"/>
        <w:gridCol w:w="2109"/>
        <w:gridCol w:w="2109"/>
        <w:gridCol w:w="2109"/>
      </w:tblGrid>
      <w:tr w:rsidR="004145E4" w:rsidRPr="00DF3703" w:rsidTr="00921021">
        <w:trPr>
          <w:cnfStyle w:val="100000000000"/>
        </w:trPr>
        <w:tc>
          <w:tcPr>
            <w:tcW w:w="1250" w:type="pct"/>
          </w:tcPr>
          <w:p w:rsidR="004145E4" w:rsidRPr="00DF3703" w:rsidRDefault="004145E4" w:rsidP="00921021">
            <w:pPr>
              <w:pStyle w:val="TableHeadingCentre"/>
              <w:rPr>
                <w:rFonts w:ascii="Arial" w:hAnsi="Arial" w:cs="Arial"/>
              </w:rPr>
            </w:pPr>
          </w:p>
        </w:tc>
        <w:tc>
          <w:tcPr>
            <w:tcW w:w="1250" w:type="pct"/>
          </w:tcPr>
          <w:p w:rsidR="004145E4" w:rsidRPr="00DF3703" w:rsidRDefault="004145E4" w:rsidP="00921021">
            <w:pPr>
              <w:pStyle w:val="TableHeadingCentre"/>
              <w:rPr>
                <w:rFonts w:ascii="Arial" w:hAnsi="Arial" w:cs="Arial"/>
              </w:rPr>
            </w:pPr>
            <w:r w:rsidRPr="00DF3703">
              <w:rPr>
                <w:rFonts w:ascii="Arial" w:hAnsi="Arial" w:cs="Arial"/>
              </w:rPr>
              <w:t>Direct expenditure ($m)</w:t>
            </w:r>
          </w:p>
        </w:tc>
        <w:tc>
          <w:tcPr>
            <w:tcW w:w="1250" w:type="pct"/>
          </w:tcPr>
          <w:p w:rsidR="004145E4" w:rsidRPr="00DF3703" w:rsidRDefault="004145E4" w:rsidP="00921021">
            <w:pPr>
              <w:pStyle w:val="TableHeadingCentre"/>
              <w:rPr>
                <w:rFonts w:ascii="Arial" w:hAnsi="Arial" w:cs="Arial"/>
              </w:rPr>
            </w:pPr>
            <w:r w:rsidRPr="00DF3703">
              <w:rPr>
                <w:rFonts w:ascii="Arial" w:hAnsi="Arial" w:cs="Arial"/>
              </w:rPr>
              <w:t xml:space="preserve">Value-added </w:t>
            </w:r>
          </w:p>
          <w:p w:rsidR="004145E4" w:rsidRPr="00DF3703" w:rsidRDefault="004145E4" w:rsidP="00921021">
            <w:pPr>
              <w:pStyle w:val="TableHeadingCentre"/>
              <w:rPr>
                <w:rFonts w:ascii="Arial" w:hAnsi="Arial" w:cs="Arial"/>
              </w:rPr>
            </w:pPr>
            <w:r w:rsidRPr="00DF3703">
              <w:rPr>
                <w:rFonts w:ascii="Arial" w:hAnsi="Arial" w:cs="Arial"/>
              </w:rPr>
              <w:t>($m)</w:t>
            </w:r>
          </w:p>
        </w:tc>
        <w:tc>
          <w:tcPr>
            <w:tcW w:w="1250" w:type="pct"/>
          </w:tcPr>
          <w:p w:rsidR="004145E4" w:rsidRPr="00DF3703" w:rsidRDefault="004145E4" w:rsidP="00921021">
            <w:pPr>
              <w:pStyle w:val="TableHeadingCentre"/>
              <w:rPr>
                <w:rFonts w:ascii="Arial" w:hAnsi="Arial" w:cs="Arial"/>
              </w:rPr>
            </w:pPr>
            <w:r w:rsidRPr="00DF3703">
              <w:rPr>
                <w:rFonts w:ascii="Arial" w:hAnsi="Arial" w:cs="Arial"/>
              </w:rPr>
              <w:t>Employment</w:t>
            </w:r>
          </w:p>
          <w:p w:rsidR="004145E4" w:rsidRPr="00DF3703" w:rsidRDefault="004145E4" w:rsidP="00921021">
            <w:pPr>
              <w:pStyle w:val="TableHeadingCentre"/>
              <w:rPr>
                <w:rFonts w:ascii="Arial" w:hAnsi="Arial" w:cs="Arial"/>
              </w:rPr>
            </w:pPr>
            <w:r w:rsidRPr="00DF3703">
              <w:rPr>
                <w:rFonts w:ascii="Arial" w:hAnsi="Arial" w:cs="Arial"/>
              </w:rPr>
              <w:t>(FTE)</w:t>
            </w:r>
          </w:p>
        </w:tc>
      </w:tr>
      <w:tr w:rsidR="004145E4" w:rsidRPr="00DF3703" w:rsidTr="00921021">
        <w:tc>
          <w:tcPr>
            <w:tcW w:w="1250" w:type="pct"/>
          </w:tcPr>
          <w:p w:rsidR="004145E4" w:rsidRPr="00DF3703" w:rsidRDefault="004145E4" w:rsidP="00921021">
            <w:pPr>
              <w:pStyle w:val="TabletextLeft"/>
              <w:rPr>
                <w:rFonts w:ascii="Arial" w:hAnsi="Arial" w:cs="Arial"/>
                <w:sz w:val="21"/>
                <w:szCs w:val="21"/>
              </w:rPr>
            </w:pPr>
            <w:r w:rsidRPr="00DF3703">
              <w:rPr>
                <w:rFonts w:ascii="Arial" w:hAnsi="Arial" w:cs="Arial"/>
                <w:sz w:val="21"/>
                <w:szCs w:val="21"/>
              </w:rPr>
              <w:t>Tourism</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6,410.6</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5,175.6</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64,338</w:t>
            </w:r>
          </w:p>
        </w:tc>
      </w:tr>
      <w:tr w:rsidR="004145E4" w:rsidRPr="00DF3703" w:rsidTr="00921021">
        <w:tc>
          <w:tcPr>
            <w:tcW w:w="1250" w:type="pct"/>
          </w:tcPr>
          <w:p w:rsidR="004145E4" w:rsidRPr="00DF3703" w:rsidRDefault="004145E4" w:rsidP="00921021">
            <w:pPr>
              <w:pStyle w:val="TabletextLeft"/>
              <w:rPr>
                <w:rFonts w:ascii="Arial" w:hAnsi="Arial" w:cs="Arial"/>
                <w:sz w:val="21"/>
                <w:szCs w:val="21"/>
              </w:rPr>
            </w:pPr>
            <w:r w:rsidRPr="00DF3703">
              <w:rPr>
                <w:rFonts w:ascii="Arial" w:hAnsi="Arial" w:cs="Arial"/>
                <w:sz w:val="21"/>
                <w:szCs w:val="21"/>
              </w:rPr>
              <w:t>Recreation</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332.4</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243.9</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2,785</w:t>
            </w:r>
          </w:p>
        </w:tc>
      </w:tr>
      <w:tr w:rsidR="004145E4" w:rsidRPr="00DF3703" w:rsidTr="00921021">
        <w:tc>
          <w:tcPr>
            <w:tcW w:w="1250" w:type="pct"/>
          </w:tcPr>
          <w:p w:rsidR="004145E4" w:rsidRPr="00DF3703" w:rsidRDefault="004145E4" w:rsidP="00921021">
            <w:pPr>
              <w:pStyle w:val="TabletextLeft"/>
              <w:rPr>
                <w:rFonts w:ascii="Arial" w:hAnsi="Arial" w:cs="Arial"/>
                <w:sz w:val="21"/>
                <w:szCs w:val="21"/>
              </w:rPr>
            </w:pPr>
            <w:r w:rsidRPr="00DF3703">
              <w:rPr>
                <w:rFonts w:ascii="Arial" w:hAnsi="Arial" w:cs="Arial"/>
                <w:sz w:val="21"/>
                <w:szCs w:val="21"/>
              </w:rPr>
              <w:t>Commercial Fishing</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192.5</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160.3</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975</w:t>
            </w:r>
          </w:p>
        </w:tc>
      </w:tr>
      <w:tr w:rsidR="004145E4" w:rsidRPr="00DF3703" w:rsidTr="00921021">
        <w:tc>
          <w:tcPr>
            <w:tcW w:w="1250" w:type="pct"/>
          </w:tcPr>
          <w:p w:rsidR="004145E4" w:rsidRPr="00DF3703" w:rsidRDefault="004145E4" w:rsidP="00921021">
            <w:pPr>
              <w:pStyle w:val="TabletextLeft"/>
              <w:rPr>
                <w:rFonts w:ascii="Arial" w:hAnsi="Arial" w:cs="Arial"/>
                <w:sz w:val="21"/>
                <w:szCs w:val="21"/>
              </w:rPr>
            </w:pPr>
            <w:r w:rsidRPr="00DF3703">
              <w:rPr>
                <w:rFonts w:ascii="Arial" w:hAnsi="Arial" w:cs="Arial"/>
                <w:sz w:val="21"/>
                <w:szCs w:val="21"/>
              </w:rPr>
              <w:t>Scientific research</w:t>
            </w:r>
            <w:r w:rsidR="007F0C11" w:rsidRPr="00DF3703">
              <w:rPr>
                <w:rFonts w:ascii="Arial" w:hAnsi="Arial" w:cs="Arial"/>
                <w:sz w:val="21"/>
                <w:szCs w:val="21"/>
              </w:rPr>
              <w:t xml:space="preserve"> &amp; management</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106.1</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98.0</w:t>
            </w:r>
          </w:p>
        </w:tc>
        <w:tc>
          <w:tcPr>
            <w:tcW w:w="1250" w:type="pct"/>
            <w:vAlign w:val="center"/>
          </w:tcPr>
          <w:p w:rsidR="004145E4" w:rsidRPr="00DF3703" w:rsidRDefault="004145E4" w:rsidP="00921021">
            <w:pPr>
              <w:jc w:val="right"/>
              <w:rPr>
                <w:rFonts w:ascii="Arial" w:hAnsi="Arial" w:cs="Arial"/>
                <w:color w:val="000000"/>
                <w:sz w:val="21"/>
                <w:szCs w:val="21"/>
              </w:rPr>
            </w:pPr>
            <w:r w:rsidRPr="00DF3703">
              <w:rPr>
                <w:rFonts w:ascii="Arial" w:hAnsi="Arial" w:cs="Arial"/>
                <w:color w:val="000000"/>
                <w:sz w:val="21"/>
                <w:szCs w:val="21"/>
              </w:rPr>
              <w:t>881</w:t>
            </w:r>
          </w:p>
        </w:tc>
      </w:tr>
      <w:tr w:rsidR="004145E4" w:rsidRPr="00DF3703" w:rsidTr="00921021">
        <w:tc>
          <w:tcPr>
            <w:tcW w:w="1250" w:type="pct"/>
          </w:tcPr>
          <w:p w:rsidR="004145E4" w:rsidRPr="00DF3703" w:rsidRDefault="004145E4" w:rsidP="00921021">
            <w:pPr>
              <w:pStyle w:val="TableHeadingLeft"/>
              <w:rPr>
                <w:rFonts w:ascii="Arial" w:hAnsi="Arial" w:cs="Arial"/>
              </w:rPr>
            </w:pPr>
            <w:r w:rsidRPr="00DF3703">
              <w:rPr>
                <w:rFonts w:ascii="Arial" w:hAnsi="Arial" w:cs="Arial"/>
              </w:rPr>
              <w:t>Total</w:t>
            </w:r>
          </w:p>
        </w:tc>
        <w:tc>
          <w:tcPr>
            <w:tcW w:w="1250" w:type="pct"/>
            <w:vAlign w:val="center"/>
          </w:tcPr>
          <w:p w:rsidR="004145E4" w:rsidRPr="00DF3703" w:rsidRDefault="004145E4" w:rsidP="00921021">
            <w:pPr>
              <w:jc w:val="right"/>
              <w:rPr>
                <w:rFonts w:ascii="Arial" w:hAnsi="Arial" w:cs="Arial"/>
                <w:b/>
                <w:bCs/>
                <w:color w:val="002776"/>
                <w:szCs w:val="22"/>
              </w:rPr>
            </w:pPr>
            <w:r w:rsidRPr="00DF3703">
              <w:rPr>
                <w:rFonts w:ascii="Arial" w:hAnsi="Arial" w:cs="Arial"/>
                <w:b/>
                <w:bCs/>
                <w:color w:val="002776"/>
                <w:szCs w:val="22"/>
              </w:rPr>
              <w:t>7,041.5</w:t>
            </w:r>
          </w:p>
        </w:tc>
        <w:tc>
          <w:tcPr>
            <w:tcW w:w="1250" w:type="pct"/>
            <w:vAlign w:val="center"/>
          </w:tcPr>
          <w:p w:rsidR="004145E4" w:rsidRPr="00DF3703" w:rsidRDefault="004145E4" w:rsidP="00921021">
            <w:pPr>
              <w:jc w:val="right"/>
              <w:rPr>
                <w:rFonts w:ascii="Arial" w:hAnsi="Arial" w:cs="Arial"/>
                <w:b/>
                <w:bCs/>
                <w:color w:val="002776"/>
                <w:szCs w:val="22"/>
              </w:rPr>
            </w:pPr>
            <w:r w:rsidRPr="00DF3703">
              <w:rPr>
                <w:rFonts w:ascii="Arial" w:hAnsi="Arial" w:cs="Arial"/>
                <w:b/>
                <w:bCs/>
                <w:color w:val="002776"/>
                <w:szCs w:val="22"/>
              </w:rPr>
              <w:t>5,677.8</w:t>
            </w:r>
          </w:p>
        </w:tc>
        <w:tc>
          <w:tcPr>
            <w:tcW w:w="1250" w:type="pct"/>
            <w:vAlign w:val="center"/>
          </w:tcPr>
          <w:p w:rsidR="004145E4" w:rsidRPr="00DF3703" w:rsidRDefault="004145E4" w:rsidP="00921021">
            <w:pPr>
              <w:jc w:val="right"/>
              <w:rPr>
                <w:rFonts w:ascii="Arial" w:hAnsi="Arial" w:cs="Arial"/>
                <w:b/>
                <w:bCs/>
                <w:color w:val="002776"/>
                <w:szCs w:val="22"/>
              </w:rPr>
            </w:pPr>
            <w:r w:rsidRPr="00DF3703">
              <w:rPr>
                <w:rFonts w:ascii="Arial" w:hAnsi="Arial" w:cs="Arial"/>
                <w:b/>
                <w:bCs/>
                <w:color w:val="002776"/>
                <w:szCs w:val="22"/>
              </w:rPr>
              <w:t>68,978</w:t>
            </w:r>
          </w:p>
        </w:tc>
      </w:tr>
    </w:tbl>
    <w:p w:rsidR="004145E4" w:rsidRPr="00DF3703" w:rsidRDefault="004145E4" w:rsidP="004145E4">
      <w:pPr>
        <w:pStyle w:val="Source"/>
        <w:rPr>
          <w:rFonts w:ascii="Arial" w:hAnsi="Arial"/>
        </w:rPr>
      </w:pPr>
      <w:r w:rsidRPr="00DF3703">
        <w:rPr>
          <w:rFonts w:ascii="Arial" w:hAnsi="Arial"/>
        </w:rPr>
        <w:t>Source: Deloitte Access Economics estimates</w:t>
      </w:r>
    </w:p>
    <w:p w:rsidR="00A65D32" w:rsidRPr="00DF3703" w:rsidRDefault="006B7D88" w:rsidP="00A65D32">
      <w:pPr>
        <w:pStyle w:val="BodyText"/>
        <w:rPr>
          <w:rFonts w:ascii="Arial" w:hAnsi="Arial" w:cs="Arial"/>
        </w:rPr>
      </w:pPr>
      <w:r w:rsidRPr="00DF3703">
        <w:rPr>
          <w:rFonts w:ascii="Arial" w:hAnsi="Arial" w:cs="Arial"/>
        </w:rPr>
        <w:t xml:space="preserve">A high proportion of the value-added and employment generated emanates from tourism activity, with almost $5.2 billion in value added and about 64,000 FTEs generated by the </w:t>
      </w:r>
      <w:r w:rsidR="006B21AB" w:rsidRPr="00DF3703">
        <w:rPr>
          <w:rFonts w:ascii="Arial" w:hAnsi="Arial" w:cs="Arial"/>
        </w:rPr>
        <w:t xml:space="preserve">tourism </w:t>
      </w:r>
      <w:r w:rsidRPr="00DF3703">
        <w:rPr>
          <w:rFonts w:ascii="Arial" w:hAnsi="Arial" w:cs="Arial"/>
        </w:rPr>
        <w:t>sector.</w:t>
      </w:r>
    </w:p>
    <w:p w:rsidR="006B21AB" w:rsidRPr="00DF3703" w:rsidRDefault="006B21AB" w:rsidP="00080718">
      <w:pPr>
        <w:pStyle w:val="BodyText"/>
        <w:rPr>
          <w:rFonts w:ascii="Arial" w:hAnsi="Arial" w:cs="Arial"/>
        </w:rPr>
      </w:pPr>
      <w:r w:rsidRPr="00DF3703">
        <w:rPr>
          <w:rFonts w:ascii="Arial" w:hAnsi="Arial" w:cs="Arial"/>
        </w:rPr>
        <w:lastRenderedPageBreak/>
        <w:t>Over 90% of the direct economic activity in the region comes from tourism, and this follows throughout the economy, with tourism accounting for 91% and 93% of the region’s value-added and employment contributions to Australia respectively.</w:t>
      </w:r>
    </w:p>
    <w:p w:rsidR="00080718" w:rsidRPr="00DF3703" w:rsidRDefault="006B7D88" w:rsidP="00080718">
      <w:pPr>
        <w:pStyle w:val="BodyText"/>
        <w:rPr>
          <w:rFonts w:ascii="Arial" w:hAnsi="Arial" w:cs="Arial"/>
        </w:rPr>
      </w:pPr>
      <w:r w:rsidRPr="00DF3703">
        <w:rPr>
          <w:rFonts w:ascii="Arial" w:hAnsi="Arial" w:cs="Arial"/>
        </w:rPr>
        <w:t xml:space="preserve">Recreation, which covers household recreational activity by those who live in the </w:t>
      </w:r>
      <w:r w:rsidR="003C4DCF" w:rsidRPr="00DF3703">
        <w:rPr>
          <w:rFonts w:ascii="Arial" w:hAnsi="Arial" w:cs="Arial"/>
        </w:rPr>
        <w:t>catchment</w:t>
      </w:r>
      <w:r w:rsidR="004145E4" w:rsidRPr="00DF3703">
        <w:rPr>
          <w:rFonts w:ascii="Arial" w:hAnsi="Arial" w:cs="Arial"/>
        </w:rPr>
        <w:t xml:space="preserve"> area, contributed just over</w:t>
      </w:r>
      <w:r w:rsidRPr="00DF3703">
        <w:rPr>
          <w:rFonts w:ascii="Arial" w:hAnsi="Arial" w:cs="Arial"/>
        </w:rPr>
        <w:t xml:space="preserve"> $240 million </w:t>
      </w:r>
      <w:r w:rsidR="004145E4" w:rsidRPr="00DF3703">
        <w:rPr>
          <w:rFonts w:ascii="Arial" w:hAnsi="Arial" w:cs="Arial"/>
        </w:rPr>
        <w:t>in value-added and about 2,800</w:t>
      </w:r>
      <w:r w:rsidRPr="00DF3703">
        <w:rPr>
          <w:rFonts w:ascii="Arial" w:hAnsi="Arial" w:cs="Arial"/>
        </w:rPr>
        <w:t xml:space="preserve"> FTEs.  Recreational activity covers both trip-related expenditure for fishing, boating, sailing and visiting islands and household expenditure on recreational equipment.</w:t>
      </w:r>
    </w:p>
    <w:p w:rsidR="00080718" w:rsidRPr="00DF3703" w:rsidRDefault="006B7D88" w:rsidP="00080718">
      <w:pPr>
        <w:pStyle w:val="HeadingC"/>
        <w:rPr>
          <w:rFonts w:ascii="Arial" w:hAnsi="Arial" w:cs="Arial"/>
        </w:rPr>
      </w:pPr>
      <w:r w:rsidRPr="00DF3703">
        <w:rPr>
          <w:rFonts w:ascii="Arial" w:hAnsi="Arial" w:cs="Arial"/>
        </w:rPr>
        <w:t>Regional breakdown</w:t>
      </w:r>
    </w:p>
    <w:p w:rsidR="00080718" w:rsidRPr="00DF3703" w:rsidRDefault="006B7D88" w:rsidP="00080718">
      <w:pPr>
        <w:pStyle w:val="BodyText"/>
        <w:rPr>
          <w:rFonts w:ascii="Arial" w:hAnsi="Arial" w:cs="Arial"/>
        </w:rPr>
      </w:pPr>
      <w:r w:rsidRPr="00DF3703">
        <w:rPr>
          <w:rFonts w:ascii="Arial" w:hAnsi="Arial" w:cs="Arial"/>
        </w:rPr>
        <w:t>The Wet tropics NRM region has the highest level of modelled economic activity, with</w:t>
      </w:r>
      <w:r w:rsidR="00E65313" w:rsidRPr="00DF3703">
        <w:rPr>
          <w:rFonts w:ascii="Arial" w:hAnsi="Arial" w:cs="Arial"/>
        </w:rPr>
        <w:t xml:space="preserve"> almost</w:t>
      </w:r>
      <w:r w:rsidRPr="00DF3703">
        <w:rPr>
          <w:rFonts w:ascii="Arial" w:hAnsi="Arial" w:cs="Arial"/>
        </w:rPr>
        <w:t xml:space="preserve"> $2.7 billion in expenditure and $1.2 billion in direct value added (see </w:t>
      </w:r>
      <w:fldSimple w:instr=" REF _Ref343199155 \r \h  \* MERGEFORMAT ">
        <w:r w:rsidR="00536D7E" w:rsidRPr="00536D7E">
          <w:rPr>
            <w:rFonts w:ascii="Arial" w:hAnsi="Arial" w:cs="Arial"/>
          </w:rPr>
          <w:t>Table ii</w:t>
        </w:r>
      </w:fldSimple>
      <w:r w:rsidRPr="00DF3703">
        <w:rPr>
          <w:rFonts w:ascii="Arial" w:hAnsi="Arial" w:cs="Arial"/>
        </w:rPr>
        <w:t xml:space="preserve">).  Activity within the </w:t>
      </w:r>
      <w:r w:rsidR="003C4DCF" w:rsidRPr="00DF3703">
        <w:rPr>
          <w:rFonts w:ascii="Arial" w:hAnsi="Arial" w:cs="Arial"/>
        </w:rPr>
        <w:t>catchment</w:t>
      </w:r>
      <w:r w:rsidRPr="00DF3703">
        <w:rPr>
          <w:rFonts w:ascii="Arial" w:hAnsi="Arial" w:cs="Arial"/>
        </w:rPr>
        <w:t xml:space="preserve"> area also contributes significantly to other regions of Australia with about $1.3 billion in value added generated in the Rest of Queensland and Australia.</w:t>
      </w:r>
    </w:p>
    <w:p w:rsidR="00080718" w:rsidRPr="00DF3703" w:rsidRDefault="006B7D88" w:rsidP="00080718">
      <w:pPr>
        <w:pStyle w:val="ExecTableCaption"/>
        <w:rPr>
          <w:rFonts w:ascii="Arial" w:hAnsi="Arial" w:cs="Arial"/>
        </w:rPr>
      </w:pPr>
      <w:bookmarkStart w:id="28" w:name="_Ref343199155"/>
      <w:r w:rsidRPr="00DF3703">
        <w:rPr>
          <w:rFonts w:ascii="Arial" w:hAnsi="Arial" w:cs="Arial"/>
        </w:rPr>
        <w:t>: Total economic contribution by region, 2012</w:t>
      </w:r>
      <w:bookmarkEnd w:id="28"/>
    </w:p>
    <w:tbl>
      <w:tblPr>
        <w:tblStyle w:val="TableAEGrey"/>
        <w:tblW w:w="4528" w:type="pct"/>
        <w:tblLook w:val="04A0"/>
      </w:tblPr>
      <w:tblGrid>
        <w:gridCol w:w="2681"/>
        <w:gridCol w:w="1565"/>
        <w:gridCol w:w="1426"/>
        <w:gridCol w:w="1968"/>
      </w:tblGrid>
      <w:tr w:rsidR="00080718" w:rsidRPr="00DF3703" w:rsidTr="00220D62">
        <w:trPr>
          <w:cnfStyle w:val="100000000000"/>
        </w:trPr>
        <w:tc>
          <w:tcPr>
            <w:tcW w:w="1755" w:type="pct"/>
          </w:tcPr>
          <w:p w:rsidR="00080718" w:rsidRPr="00DF3703" w:rsidRDefault="00080718" w:rsidP="00220D62">
            <w:pPr>
              <w:pStyle w:val="TableHeadingCentre"/>
              <w:rPr>
                <w:rFonts w:ascii="Arial" w:hAnsi="Arial" w:cs="Arial"/>
              </w:rPr>
            </w:pPr>
          </w:p>
        </w:tc>
        <w:tc>
          <w:tcPr>
            <w:tcW w:w="1024" w:type="pct"/>
          </w:tcPr>
          <w:p w:rsidR="00080718" w:rsidRPr="00DF3703" w:rsidRDefault="006B7D88" w:rsidP="00220D62">
            <w:pPr>
              <w:pStyle w:val="TableHeadingCentre"/>
              <w:jc w:val="right"/>
              <w:rPr>
                <w:rFonts w:ascii="Arial" w:hAnsi="Arial" w:cs="Arial"/>
              </w:rPr>
            </w:pPr>
            <w:r w:rsidRPr="00DF3703">
              <w:rPr>
                <w:rFonts w:ascii="Arial" w:hAnsi="Arial" w:cs="Arial"/>
              </w:rPr>
              <w:t>Expenditure</w:t>
            </w:r>
          </w:p>
          <w:p w:rsidR="00F96499" w:rsidRPr="00DF3703" w:rsidRDefault="006B7D88" w:rsidP="00220D62">
            <w:pPr>
              <w:pStyle w:val="TableHeadingCentre"/>
              <w:jc w:val="right"/>
              <w:rPr>
                <w:rFonts w:ascii="Arial" w:hAnsi="Arial" w:cs="Arial"/>
              </w:rPr>
            </w:pPr>
            <w:r w:rsidRPr="00DF3703">
              <w:rPr>
                <w:rFonts w:ascii="Arial" w:hAnsi="Arial" w:cs="Arial"/>
              </w:rPr>
              <w:t>($m)</w:t>
            </w:r>
          </w:p>
        </w:tc>
        <w:tc>
          <w:tcPr>
            <w:tcW w:w="933" w:type="pct"/>
            <w:vAlign w:val="center"/>
          </w:tcPr>
          <w:p w:rsidR="00080718" w:rsidRPr="00DF3703" w:rsidRDefault="006B7D88" w:rsidP="00220D62">
            <w:pPr>
              <w:pStyle w:val="TableHeadingCentre"/>
              <w:jc w:val="right"/>
              <w:rPr>
                <w:rFonts w:ascii="Arial" w:hAnsi="Arial" w:cs="Arial"/>
              </w:rPr>
            </w:pPr>
            <w:r w:rsidRPr="00DF3703">
              <w:rPr>
                <w:rFonts w:ascii="Arial" w:hAnsi="Arial" w:cs="Arial"/>
              </w:rPr>
              <w:t>Value-added</w:t>
            </w:r>
          </w:p>
          <w:p w:rsidR="00080718" w:rsidRPr="00DF3703" w:rsidRDefault="006B7D88" w:rsidP="00220D62">
            <w:pPr>
              <w:pStyle w:val="TableHeadingCentre"/>
              <w:jc w:val="right"/>
              <w:rPr>
                <w:rFonts w:ascii="Arial" w:hAnsi="Arial" w:cs="Arial"/>
              </w:rPr>
            </w:pPr>
            <w:r w:rsidRPr="00DF3703">
              <w:rPr>
                <w:rFonts w:ascii="Arial" w:hAnsi="Arial" w:cs="Arial"/>
              </w:rPr>
              <w:t>($m)</w:t>
            </w:r>
          </w:p>
        </w:tc>
        <w:tc>
          <w:tcPr>
            <w:tcW w:w="1288" w:type="pct"/>
            <w:vAlign w:val="center"/>
          </w:tcPr>
          <w:p w:rsidR="00080718" w:rsidRPr="00DF3703" w:rsidRDefault="006B7D88" w:rsidP="00220D62">
            <w:pPr>
              <w:pStyle w:val="TableHeadingCentre"/>
              <w:jc w:val="right"/>
              <w:rPr>
                <w:rFonts w:ascii="Arial" w:hAnsi="Arial" w:cs="Arial"/>
              </w:rPr>
            </w:pPr>
            <w:r w:rsidRPr="00DF3703">
              <w:rPr>
                <w:rFonts w:ascii="Arial" w:hAnsi="Arial" w:cs="Arial"/>
              </w:rPr>
              <w:t>Employment</w:t>
            </w:r>
          </w:p>
          <w:p w:rsidR="00080718" w:rsidRPr="00DF3703" w:rsidRDefault="006B7D88" w:rsidP="00220D62">
            <w:pPr>
              <w:pStyle w:val="TableHeadingCentre"/>
              <w:jc w:val="right"/>
              <w:rPr>
                <w:rFonts w:ascii="Arial" w:hAnsi="Arial" w:cs="Arial"/>
              </w:rPr>
            </w:pPr>
            <w:r w:rsidRPr="00DF3703">
              <w:rPr>
                <w:rFonts w:ascii="Arial" w:hAnsi="Arial" w:cs="Arial"/>
              </w:rPr>
              <w:t>(FTE)</w:t>
            </w:r>
          </w:p>
        </w:tc>
      </w:tr>
      <w:tr w:rsidR="00080718" w:rsidRPr="00DF3703" w:rsidTr="00220D62">
        <w:tc>
          <w:tcPr>
            <w:tcW w:w="5000" w:type="pct"/>
            <w:gridSpan w:val="4"/>
            <w:vAlign w:val="bottom"/>
          </w:tcPr>
          <w:p w:rsidR="00080718" w:rsidRPr="00DF3703" w:rsidRDefault="006B7D88" w:rsidP="00220D62">
            <w:pPr>
              <w:pStyle w:val="TableHeadingRight"/>
              <w:jc w:val="left"/>
              <w:rPr>
                <w:rFonts w:ascii="Arial" w:hAnsi="Arial" w:cs="Arial"/>
              </w:rPr>
            </w:pPr>
            <w:r w:rsidRPr="00DF3703">
              <w:rPr>
                <w:rFonts w:ascii="Arial" w:hAnsi="Arial" w:cs="Arial"/>
              </w:rPr>
              <w:t>Tourism, Recreational activity and Commercial fishing</w:t>
            </w:r>
          </w:p>
        </w:tc>
      </w:tr>
      <w:tr w:rsidR="00080718" w:rsidRPr="00DF3703" w:rsidTr="00220D62">
        <w:tc>
          <w:tcPr>
            <w:tcW w:w="1755" w:type="pct"/>
            <w:vAlign w:val="bottom"/>
          </w:tcPr>
          <w:p w:rsidR="00080718" w:rsidRPr="00DF3703" w:rsidRDefault="006B7D88" w:rsidP="00220D62">
            <w:pPr>
              <w:pStyle w:val="TableHeadingRight"/>
              <w:jc w:val="left"/>
              <w:rPr>
                <w:rFonts w:ascii="Arial" w:hAnsi="Arial" w:cs="Arial"/>
                <w:sz w:val="20"/>
              </w:rPr>
            </w:pPr>
            <w:r w:rsidRPr="00DF3703">
              <w:rPr>
                <w:rFonts w:ascii="Arial" w:hAnsi="Arial" w:cs="Arial"/>
              </w:rPr>
              <w:t>Direct</w:t>
            </w:r>
          </w:p>
        </w:tc>
        <w:tc>
          <w:tcPr>
            <w:tcW w:w="1024" w:type="pct"/>
            <w:vAlign w:val="bottom"/>
          </w:tcPr>
          <w:p w:rsidR="00080718" w:rsidRPr="00DF3703" w:rsidRDefault="00080718" w:rsidP="00220D62">
            <w:pPr>
              <w:jc w:val="right"/>
              <w:rPr>
                <w:rFonts w:ascii="Arial" w:hAnsi="Arial" w:cs="Arial"/>
                <w:sz w:val="20"/>
              </w:rPr>
            </w:pPr>
          </w:p>
        </w:tc>
        <w:tc>
          <w:tcPr>
            <w:tcW w:w="933" w:type="pct"/>
            <w:vAlign w:val="bottom"/>
          </w:tcPr>
          <w:p w:rsidR="00080718" w:rsidRPr="00DF3703" w:rsidRDefault="00080718" w:rsidP="00220D62">
            <w:pPr>
              <w:jc w:val="right"/>
              <w:rPr>
                <w:rFonts w:ascii="Arial" w:hAnsi="Arial" w:cs="Arial"/>
                <w:sz w:val="20"/>
              </w:rPr>
            </w:pPr>
          </w:p>
        </w:tc>
        <w:tc>
          <w:tcPr>
            <w:tcW w:w="1288" w:type="pct"/>
            <w:vAlign w:val="bottom"/>
          </w:tcPr>
          <w:p w:rsidR="00080718" w:rsidRPr="00DF3703" w:rsidRDefault="00080718" w:rsidP="00220D62">
            <w:pPr>
              <w:jc w:val="right"/>
              <w:rPr>
                <w:rFonts w:ascii="Arial" w:hAnsi="Arial" w:cs="Arial"/>
                <w:sz w:val="20"/>
              </w:rPr>
            </w:pPr>
          </w:p>
        </w:tc>
      </w:tr>
      <w:tr w:rsidR="00E65313" w:rsidRPr="00DF3703" w:rsidTr="00452009">
        <w:tc>
          <w:tcPr>
            <w:tcW w:w="1755" w:type="pct"/>
            <w:vAlign w:val="bottom"/>
          </w:tcPr>
          <w:p w:rsidR="00E65313" w:rsidRPr="00DF3703" w:rsidRDefault="00E65313" w:rsidP="00220D62">
            <w:pPr>
              <w:ind w:firstLineChars="200" w:firstLine="420"/>
              <w:rPr>
                <w:rFonts w:ascii="Arial" w:hAnsi="Arial" w:cs="Arial"/>
                <w:sz w:val="21"/>
                <w:szCs w:val="21"/>
              </w:rPr>
            </w:pPr>
            <w:r w:rsidRPr="00DF3703">
              <w:rPr>
                <w:rFonts w:ascii="Arial" w:hAnsi="Arial" w:cs="Arial"/>
                <w:sz w:val="21"/>
                <w:szCs w:val="21"/>
              </w:rPr>
              <w:t>Torres Strait</w:t>
            </w:r>
          </w:p>
        </w:tc>
        <w:tc>
          <w:tcPr>
            <w:tcW w:w="1024"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2.9</w:t>
            </w:r>
          </w:p>
        </w:tc>
        <w:tc>
          <w:tcPr>
            <w:tcW w:w="933"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1.2</w:t>
            </w:r>
          </w:p>
        </w:tc>
        <w:tc>
          <w:tcPr>
            <w:tcW w:w="1288"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18</w:t>
            </w:r>
          </w:p>
        </w:tc>
      </w:tr>
      <w:tr w:rsidR="00E65313" w:rsidRPr="00DF3703" w:rsidTr="00452009">
        <w:tc>
          <w:tcPr>
            <w:tcW w:w="1755" w:type="pct"/>
            <w:vAlign w:val="bottom"/>
          </w:tcPr>
          <w:p w:rsidR="00E65313" w:rsidRPr="00DF3703" w:rsidRDefault="00E65313" w:rsidP="00220D62">
            <w:pPr>
              <w:ind w:firstLineChars="200" w:firstLine="420"/>
              <w:rPr>
                <w:rFonts w:ascii="Arial" w:hAnsi="Arial" w:cs="Arial"/>
                <w:sz w:val="21"/>
                <w:szCs w:val="21"/>
              </w:rPr>
            </w:pPr>
            <w:r w:rsidRPr="00DF3703">
              <w:rPr>
                <w:rFonts w:ascii="Arial" w:hAnsi="Arial" w:cs="Arial"/>
                <w:sz w:val="21"/>
                <w:szCs w:val="21"/>
              </w:rPr>
              <w:t>Cape York</w:t>
            </w:r>
          </w:p>
        </w:tc>
        <w:tc>
          <w:tcPr>
            <w:tcW w:w="1024"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234.2</w:t>
            </w:r>
          </w:p>
        </w:tc>
        <w:tc>
          <w:tcPr>
            <w:tcW w:w="933"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106.9</w:t>
            </w:r>
          </w:p>
        </w:tc>
        <w:tc>
          <w:tcPr>
            <w:tcW w:w="1288"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1,442</w:t>
            </w:r>
          </w:p>
        </w:tc>
      </w:tr>
      <w:tr w:rsidR="00E65313" w:rsidRPr="00DF3703" w:rsidTr="00452009">
        <w:tc>
          <w:tcPr>
            <w:tcW w:w="1755" w:type="pct"/>
            <w:vAlign w:val="bottom"/>
          </w:tcPr>
          <w:p w:rsidR="00E65313" w:rsidRPr="00DF3703" w:rsidRDefault="00E65313" w:rsidP="00220D62">
            <w:pPr>
              <w:ind w:firstLineChars="200" w:firstLine="420"/>
              <w:rPr>
                <w:rFonts w:ascii="Arial" w:hAnsi="Arial" w:cs="Arial"/>
                <w:sz w:val="21"/>
                <w:szCs w:val="21"/>
              </w:rPr>
            </w:pPr>
            <w:r w:rsidRPr="00DF3703">
              <w:rPr>
                <w:rFonts w:ascii="Arial" w:hAnsi="Arial" w:cs="Arial"/>
                <w:sz w:val="21"/>
                <w:szCs w:val="21"/>
              </w:rPr>
              <w:t>Wet Tropics</w:t>
            </w:r>
          </w:p>
        </w:tc>
        <w:tc>
          <w:tcPr>
            <w:tcW w:w="1024"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2,694.4</w:t>
            </w:r>
          </w:p>
        </w:tc>
        <w:tc>
          <w:tcPr>
            <w:tcW w:w="933"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1,213.3</w:t>
            </w:r>
          </w:p>
        </w:tc>
        <w:tc>
          <w:tcPr>
            <w:tcW w:w="1288"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18,629</w:t>
            </w:r>
          </w:p>
        </w:tc>
      </w:tr>
      <w:tr w:rsidR="00E65313" w:rsidRPr="00DF3703" w:rsidTr="00452009">
        <w:tc>
          <w:tcPr>
            <w:tcW w:w="1755" w:type="pct"/>
            <w:vAlign w:val="bottom"/>
          </w:tcPr>
          <w:p w:rsidR="00E65313" w:rsidRPr="00DF3703" w:rsidRDefault="00E65313" w:rsidP="00220D62">
            <w:pPr>
              <w:ind w:firstLineChars="200" w:firstLine="420"/>
              <w:rPr>
                <w:rFonts w:ascii="Arial" w:hAnsi="Arial" w:cs="Arial"/>
                <w:sz w:val="21"/>
                <w:szCs w:val="21"/>
              </w:rPr>
            </w:pPr>
            <w:r w:rsidRPr="00DF3703">
              <w:rPr>
                <w:rFonts w:ascii="Arial" w:hAnsi="Arial" w:cs="Arial"/>
                <w:sz w:val="21"/>
                <w:szCs w:val="21"/>
              </w:rPr>
              <w:t>Burdekin</w:t>
            </w:r>
          </w:p>
        </w:tc>
        <w:tc>
          <w:tcPr>
            <w:tcW w:w="1024"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1,167.9</w:t>
            </w:r>
          </w:p>
        </w:tc>
        <w:tc>
          <w:tcPr>
            <w:tcW w:w="933"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524.2</w:t>
            </w:r>
          </w:p>
        </w:tc>
        <w:tc>
          <w:tcPr>
            <w:tcW w:w="1288"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7,837</w:t>
            </w:r>
          </w:p>
        </w:tc>
      </w:tr>
      <w:tr w:rsidR="00E65313" w:rsidRPr="00DF3703" w:rsidTr="00452009">
        <w:tc>
          <w:tcPr>
            <w:tcW w:w="1755" w:type="pct"/>
            <w:vAlign w:val="bottom"/>
          </w:tcPr>
          <w:p w:rsidR="00E65313" w:rsidRPr="00DF3703" w:rsidRDefault="00E65313" w:rsidP="00220D62">
            <w:pPr>
              <w:ind w:firstLineChars="200" w:firstLine="420"/>
              <w:rPr>
                <w:rFonts w:ascii="Arial" w:hAnsi="Arial" w:cs="Arial"/>
                <w:sz w:val="21"/>
                <w:szCs w:val="21"/>
              </w:rPr>
            </w:pPr>
            <w:r w:rsidRPr="00DF3703">
              <w:rPr>
                <w:rFonts w:ascii="Arial" w:hAnsi="Arial" w:cs="Arial"/>
                <w:sz w:val="21"/>
                <w:szCs w:val="21"/>
              </w:rPr>
              <w:t>Mackay-Whitsundays</w:t>
            </w:r>
          </w:p>
        </w:tc>
        <w:tc>
          <w:tcPr>
            <w:tcW w:w="1024"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1,085.9</w:t>
            </w:r>
          </w:p>
        </w:tc>
        <w:tc>
          <w:tcPr>
            <w:tcW w:w="933"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489.0</w:t>
            </w:r>
          </w:p>
        </w:tc>
        <w:tc>
          <w:tcPr>
            <w:tcW w:w="1288"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7,410</w:t>
            </w:r>
          </w:p>
        </w:tc>
      </w:tr>
      <w:tr w:rsidR="00E65313" w:rsidRPr="00DF3703" w:rsidTr="00452009">
        <w:tc>
          <w:tcPr>
            <w:tcW w:w="1755" w:type="pct"/>
            <w:shd w:val="clear" w:color="auto" w:fill="FFFFFF" w:themeFill="background1"/>
            <w:vAlign w:val="bottom"/>
          </w:tcPr>
          <w:p w:rsidR="00E65313" w:rsidRPr="00DF3703" w:rsidRDefault="00E65313" w:rsidP="00220D62">
            <w:pPr>
              <w:ind w:firstLineChars="200" w:firstLine="420"/>
              <w:rPr>
                <w:rFonts w:ascii="Arial" w:hAnsi="Arial" w:cs="Arial"/>
                <w:sz w:val="21"/>
                <w:szCs w:val="21"/>
              </w:rPr>
            </w:pPr>
            <w:r w:rsidRPr="00DF3703">
              <w:rPr>
                <w:rFonts w:ascii="Arial" w:hAnsi="Arial" w:cs="Arial"/>
                <w:sz w:val="21"/>
                <w:szCs w:val="21"/>
              </w:rPr>
              <w:t>Fitzroy</w:t>
            </w:r>
          </w:p>
        </w:tc>
        <w:tc>
          <w:tcPr>
            <w:tcW w:w="1024" w:type="pct"/>
            <w:shd w:val="clear" w:color="auto" w:fill="FFFFFF" w:themeFill="background1"/>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1,147.2</w:t>
            </w:r>
          </w:p>
        </w:tc>
        <w:tc>
          <w:tcPr>
            <w:tcW w:w="933" w:type="pct"/>
            <w:shd w:val="clear" w:color="auto" w:fill="FFFFFF" w:themeFill="background1"/>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515.7</w:t>
            </w:r>
          </w:p>
        </w:tc>
        <w:tc>
          <w:tcPr>
            <w:tcW w:w="1288" w:type="pct"/>
            <w:shd w:val="clear" w:color="auto" w:fill="FFFFFF" w:themeFill="background1"/>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7,785</w:t>
            </w:r>
          </w:p>
        </w:tc>
      </w:tr>
      <w:tr w:rsidR="00E65313" w:rsidRPr="00DF3703" w:rsidTr="00452009">
        <w:tc>
          <w:tcPr>
            <w:tcW w:w="1755" w:type="pct"/>
            <w:vAlign w:val="bottom"/>
          </w:tcPr>
          <w:p w:rsidR="00E65313" w:rsidRPr="00DF3703" w:rsidRDefault="00E65313" w:rsidP="00220D62">
            <w:pPr>
              <w:ind w:firstLineChars="200" w:firstLine="420"/>
              <w:rPr>
                <w:rFonts w:ascii="Arial" w:hAnsi="Arial" w:cs="Arial"/>
                <w:sz w:val="21"/>
                <w:szCs w:val="21"/>
              </w:rPr>
            </w:pPr>
            <w:r w:rsidRPr="00DF3703">
              <w:rPr>
                <w:rFonts w:ascii="Arial" w:hAnsi="Arial" w:cs="Arial"/>
                <w:sz w:val="21"/>
                <w:szCs w:val="21"/>
              </w:rPr>
              <w:t>Burnett-Mary</w:t>
            </w:r>
          </w:p>
        </w:tc>
        <w:tc>
          <w:tcPr>
            <w:tcW w:w="1024"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603.1</w:t>
            </w:r>
          </w:p>
        </w:tc>
        <w:tc>
          <w:tcPr>
            <w:tcW w:w="933"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267.0</w:t>
            </w:r>
          </w:p>
        </w:tc>
        <w:tc>
          <w:tcPr>
            <w:tcW w:w="1288" w:type="pct"/>
            <w:vAlign w:val="center"/>
          </w:tcPr>
          <w:p w:rsidR="00E65313" w:rsidRPr="00DF3703" w:rsidRDefault="00E65313" w:rsidP="00E65313">
            <w:pPr>
              <w:jc w:val="right"/>
              <w:rPr>
                <w:rFonts w:ascii="Arial" w:hAnsi="Arial" w:cs="Arial"/>
                <w:color w:val="000000"/>
                <w:sz w:val="21"/>
                <w:szCs w:val="21"/>
              </w:rPr>
            </w:pPr>
            <w:r w:rsidRPr="00DF3703">
              <w:rPr>
                <w:rFonts w:ascii="Arial" w:hAnsi="Arial" w:cs="Arial"/>
                <w:color w:val="000000"/>
                <w:sz w:val="21"/>
                <w:szCs w:val="21"/>
              </w:rPr>
              <w:t>4,032</w:t>
            </w:r>
          </w:p>
        </w:tc>
      </w:tr>
      <w:tr w:rsidR="00E65313" w:rsidRPr="00DF3703" w:rsidTr="00E65313">
        <w:tc>
          <w:tcPr>
            <w:tcW w:w="1755" w:type="pct"/>
            <w:vAlign w:val="bottom"/>
          </w:tcPr>
          <w:p w:rsidR="00E65313" w:rsidRPr="00DF3703" w:rsidRDefault="00E65313" w:rsidP="00220D62">
            <w:pPr>
              <w:rPr>
                <w:rFonts w:ascii="Arial" w:hAnsi="Arial" w:cs="Arial"/>
              </w:rPr>
            </w:pPr>
            <w:r w:rsidRPr="00DF3703">
              <w:rPr>
                <w:rFonts w:ascii="Arial" w:hAnsi="Arial" w:cs="Arial"/>
                <w:sz w:val="20"/>
              </w:rPr>
              <w:t>Scientific research</w:t>
            </w:r>
            <w:r w:rsidR="007F0C11" w:rsidRPr="00DF3703">
              <w:rPr>
                <w:rFonts w:ascii="Arial" w:hAnsi="Arial" w:cs="Arial"/>
                <w:sz w:val="20"/>
              </w:rPr>
              <w:t xml:space="preserve"> &amp; management</w:t>
            </w:r>
          </w:p>
        </w:tc>
        <w:tc>
          <w:tcPr>
            <w:tcW w:w="1024" w:type="pct"/>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106.1</w:t>
            </w:r>
          </w:p>
        </w:tc>
        <w:tc>
          <w:tcPr>
            <w:tcW w:w="933" w:type="pct"/>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50.2</w:t>
            </w:r>
          </w:p>
        </w:tc>
        <w:tc>
          <w:tcPr>
            <w:tcW w:w="1288" w:type="pct"/>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464</w:t>
            </w:r>
          </w:p>
        </w:tc>
      </w:tr>
      <w:tr w:rsidR="00E65313" w:rsidRPr="00DF3703" w:rsidTr="00220D62">
        <w:tc>
          <w:tcPr>
            <w:tcW w:w="1755" w:type="pct"/>
            <w:vAlign w:val="bottom"/>
          </w:tcPr>
          <w:p w:rsidR="00E65313" w:rsidRPr="00DF3703" w:rsidRDefault="00E65313" w:rsidP="00220D62">
            <w:pPr>
              <w:pStyle w:val="TableHeadingRight"/>
              <w:jc w:val="left"/>
              <w:rPr>
                <w:rFonts w:ascii="Arial" w:hAnsi="Arial" w:cs="Arial"/>
              </w:rPr>
            </w:pPr>
            <w:r w:rsidRPr="00DF3703">
              <w:rPr>
                <w:rFonts w:ascii="Arial" w:hAnsi="Arial" w:cs="Arial"/>
              </w:rPr>
              <w:t>Total direct</w:t>
            </w:r>
          </w:p>
        </w:tc>
        <w:tc>
          <w:tcPr>
            <w:tcW w:w="1024" w:type="pct"/>
            <w:vAlign w:val="bottom"/>
          </w:tcPr>
          <w:p w:rsidR="00E65313" w:rsidRPr="00DF3703" w:rsidRDefault="00E65313" w:rsidP="00E65313">
            <w:pPr>
              <w:jc w:val="right"/>
              <w:rPr>
                <w:rFonts w:ascii="Arial" w:hAnsi="Arial" w:cs="Arial"/>
                <w:b/>
                <w:color w:val="002060"/>
                <w:sz w:val="21"/>
                <w:szCs w:val="21"/>
              </w:rPr>
            </w:pPr>
            <w:r w:rsidRPr="00DF3703">
              <w:rPr>
                <w:rFonts w:ascii="Arial" w:hAnsi="Arial" w:cs="Arial"/>
                <w:b/>
                <w:color w:val="002060"/>
                <w:sz w:val="21"/>
                <w:szCs w:val="21"/>
              </w:rPr>
              <w:t>7,041.5</w:t>
            </w:r>
          </w:p>
        </w:tc>
        <w:tc>
          <w:tcPr>
            <w:tcW w:w="933" w:type="pct"/>
            <w:vAlign w:val="bottom"/>
          </w:tcPr>
          <w:p w:rsidR="00E65313" w:rsidRPr="00DF3703" w:rsidRDefault="00E65313" w:rsidP="00E65313">
            <w:pPr>
              <w:jc w:val="right"/>
              <w:rPr>
                <w:rFonts w:ascii="Arial" w:hAnsi="Arial" w:cs="Arial"/>
                <w:b/>
                <w:color w:val="002060"/>
                <w:sz w:val="21"/>
                <w:szCs w:val="21"/>
              </w:rPr>
            </w:pPr>
            <w:r w:rsidRPr="00DF3703">
              <w:rPr>
                <w:rFonts w:ascii="Arial" w:hAnsi="Arial" w:cs="Arial"/>
                <w:b/>
                <w:color w:val="002060"/>
                <w:sz w:val="21"/>
                <w:szCs w:val="21"/>
              </w:rPr>
              <w:t>3,167.6</w:t>
            </w:r>
          </w:p>
        </w:tc>
        <w:tc>
          <w:tcPr>
            <w:tcW w:w="1288" w:type="pct"/>
            <w:vAlign w:val="bottom"/>
          </w:tcPr>
          <w:p w:rsidR="00E65313" w:rsidRPr="00DF3703" w:rsidRDefault="00E65313" w:rsidP="00E65313">
            <w:pPr>
              <w:jc w:val="right"/>
              <w:rPr>
                <w:rFonts w:ascii="Arial" w:hAnsi="Arial" w:cs="Arial"/>
                <w:b/>
                <w:color w:val="002060"/>
                <w:sz w:val="21"/>
                <w:szCs w:val="21"/>
              </w:rPr>
            </w:pPr>
            <w:r w:rsidRPr="00DF3703">
              <w:rPr>
                <w:rFonts w:ascii="Arial" w:hAnsi="Arial" w:cs="Arial"/>
                <w:b/>
                <w:color w:val="002060"/>
                <w:sz w:val="21"/>
                <w:szCs w:val="21"/>
              </w:rPr>
              <w:t>47,615</w:t>
            </w:r>
          </w:p>
        </w:tc>
      </w:tr>
      <w:tr w:rsidR="00E65313" w:rsidRPr="00DF3703" w:rsidTr="00220D62">
        <w:tc>
          <w:tcPr>
            <w:tcW w:w="1755" w:type="pct"/>
            <w:vAlign w:val="bottom"/>
          </w:tcPr>
          <w:p w:rsidR="00E65313" w:rsidRPr="00DF3703" w:rsidRDefault="00E65313" w:rsidP="00220D62">
            <w:pPr>
              <w:pStyle w:val="TableHeadingRight"/>
              <w:jc w:val="left"/>
              <w:rPr>
                <w:rFonts w:ascii="Arial" w:hAnsi="Arial" w:cs="Arial"/>
              </w:rPr>
            </w:pPr>
            <w:r w:rsidRPr="00DF3703">
              <w:rPr>
                <w:rFonts w:ascii="Arial" w:hAnsi="Arial" w:cs="Arial"/>
              </w:rPr>
              <w:t>Indirect</w:t>
            </w:r>
          </w:p>
        </w:tc>
        <w:tc>
          <w:tcPr>
            <w:tcW w:w="1024" w:type="pct"/>
            <w:vAlign w:val="bottom"/>
          </w:tcPr>
          <w:p w:rsidR="00E65313" w:rsidRPr="00DF3703" w:rsidRDefault="00E65313" w:rsidP="00E65313">
            <w:pPr>
              <w:jc w:val="right"/>
              <w:rPr>
                <w:rFonts w:ascii="Arial" w:hAnsi="Arial" w:cs="Arial"/>
                <w:sz w:val="21"/>
                <w:szCs w:val="21"/>
              </w:rPr>
            </w:pPr>
          </w:p>
        </w:tc>
        <w:tc>
          <w:tcPr>
            <w:tcW w:w="933" w:type="pct"/>
            <w:vAlign w:val="bottom"/>
          </w:tcPr>
          <w:p w:rsidR="00E65313" w:rsidRPr="00DF3703" w:rsidRDefault="00E65313" w:rsidP="00E65313">
            <w:pPr>
              <w:jc w:val="right"/>
              <w:rPr>
                <w:rFonts w:ascii="Arial" w:hAnsi="Arial" w:cs="Arial"/>
                <w:sz w:val="21"/>
                <w:szCs w:val="21"/>
              </w:rPr>
            </w:pPr>
          </w:p>
        </w:tc>
        <w:tc>
          <w:tcPr>
            <w:tcW w:w="1288" w:type="pct"/>
            <w:vAlign w:val="bottom"/>
          </w:tcPr>
          <w:p w:rsidR="00E65313" w:rsidRPr="00DF3703" w:rsidRDefault="00E65313" w:rsidP="00E65313">
            <w:pPr>
              <w:jc w:val="right"/>
              <w:rPr>
                <w:rFonts w:ascii="Arial" w:hAnsi="Arial" w:cs="Arial"/>
                <w:sz w:val="21"/>
                <w:szCs w:val="21"/>
              </w:rPr>
            </w:pPr>
          </w:p>
        </w:tc>
      </w:tr>
      <w:tr w:rsidR="00E65313" w:rsidRPr="00DF3703" w:rsidTr="00220D62">
        <w:tc>
          <w:tcPr>
            <w:tcW w:w="1755" w:type="pct"/>
            <w:vAlign w:val="bottom"/>
          </w:tcPr>
          <w:p w:rsidR="00E65313" w:rsidRPr="00DF3703" w:rsidRDefault="00E65313" w:rsidP="00220D62">
            <w:pPr>
              <w:ind w:firstLineChars="200" w:firstLine="400"/>
              <w:rPr>
                <w:rFonts w:ascii="Arial" w:hAnsi="Arial" w:cs="Arial"/>
                <w:sz w:val="20"/>
              </w:rPr>
            </w:pPr>
            <w:r w:rsidRPr="00DF3703">
              <w:rPr>
                <w:rFonts w:ascii="Arial" w:hAnsi="Arial" w:cs="Arial"/>
                <w:sz w:val="20"/>
              </w:rPr>
              <w:t>Reef catchment</w:t>
            </w:r>
          </w:p>
        </w:tc>
        <w:tc>
          <w:tcPr>
            <w:tcW w:w="1024" w:type="pct"/>
            <w:vAlign w:val="bottom"/>
          </w:tcPr>
          <w:p w:rsidR="00E65313" w:rsidRPr="00DF3703" w:rsidRDefault="00E65313" w:rsidP="00E65313">
            <w:pPr>
              <w:jc w:val="right"/>
              <w:rPr>
                <w:rFonts w:ascii="Arial" w:hAnsi="Arial" w:cs="Arial"/>
                <w:sz w:val="21"/>
                <w:szCs w:val="21"/>
              </w:rPr>
            </w:pPr>
          </w:p>
        </w:tc>
        <w:tc>
          <w:tcPr>
            <w:tcW w:w="933" w:type="pct"/>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1,226.3</w:t>
            </w:r>
          </w:p>
        </w:tc>
        <w:tc>
          <w:tcPr>
            <w:tcW w:w="1288" w:type="pct"/>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11,633</w:t>
            </w:r>
          </w:p>
        </w:tc>
      </w:tr>
      <w:tr w:rsidR="00E65313" w:rsidRPr="00DF3703" w:rsidTr="00220D62">
        <w:tc>
          <w:tcPr>
            <w:tcW w:w="1755" w:type="pct"/>
            <w:vAlign w:val="bottom"/>
          </w:tcPr>
          <w:p w:rsidR="00E65313" w:rsidRPr="00DF3703" w:rsidRDefault="00E65313" w:rsidP="00220D62">
            <w:pPr>
              <w:ind w:left="444"/>
              <w:rPr>
                <w:rFonts w:ascii="Arial" w:hAnsi="Arial" w:cs="Arial"/>
                <w:sz w:val="20"/>
              </w:rPr>
            </w:pPr>
            <w:r w:rsidRPr="00DF3703">
              <w:rPr>
                <w:rFonts w:ascii="Arial" w:hAnsi="Arial" w:cs="Arial"/>
                <w:sz w:val="20"/>
              </w:rPr>
              <w:t>Rest of Qld</w:t>
            </w:r>
          </w:p>
        </w:tc>
        <w:tc>
          <w:tcPr>
            <w:tcW w:w="1024" w:type="pct"/>
            <w:vAlign w:val="bottom"/>
          </w:tcPr>
          <w:p w:rsidR="00E65313" w:rsidRPr="00DF3703" w:rsidRDefault="00E65313" w:rsidP="00E65313">
            <w:pPr>
              <w:jc w:val="right"/>
              <w:rPr>
                <w:rFonts w:ascii="Arial" w:hAnsi="Arial" w:cs="Arial"/>
                <w:sz w:val="21"/>
                <w:szCs w:val="21"/>
              </w:rPr>
            </w:pPr>
          </w:p>
        </w:tc>
        <w:tc>
          <w:tcPr>
            <w:tcW w:w="933" w:type="pct"/>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192.7</w:t>
            </w:r>
          </w:p>
        </w:tc>
        <w:tc>
          <w:tcPr>
            <w:tcW w:w="1288" w:type="pct"/>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1,415</w:t>
            </w:r>
          </w:p>
        </w:tc>
      </w:tr>
      <w:tr w:rsidR="00E65313" w:rsidRPr="00DF3703" w:rsidTr="00080718">
        <w:tc>
          <w:tcPr>
            <w:tcW w:w="1755" w:type="pct"/>
            <w:tcBorders>
              <w:bottom w:val="single" w:sz="4" w:space="0" w:color="A6A6A6"/>
            </w:tcBorders>
            <w:vAlign w:val="bottom"/>
          </w:tcPr>
          <w:p w:rsidR="00E65313" w:rsidRPr="00DF3703" w:rsidRDefault="00E65313" w:rsidP="00220D62">
            <w:pPr>
              <w:ind w:firstLineChars="200" w:firstLine="400"/>
              <w:rPr>
                <w:rFonts w:ascii="Arial" w:hAnsi="Arial" w:cs="Arial"/>
                <w:sz w:val="20"/>
              </w:rPr>
            </w:pPr>
            <w:r w:rsidRPr="00DF3703">
              <w:rPr>
                <w:rFonts w:ascii="Arial" w:hAnsi="Arial" w:cs="Arial"/>
                <w:sz w:val="20"/>
              </w:rPr>
              <w:t>Rest of Australia</w:t>
            </w:r>
          </w:p>
        </w:tc>
        <w:tc>
          <w:tcPr>
            <w:tcW w:w="1024" w:type="pct"/>
            <w:tcBorders>
              <w:bottom w:val="single" w:sz="4" w:space="0" w:color="A6A6A6"/>
            </w:tcBorders>
            <w:vAlign w:val="bottom"/>
          </w:tcPr>
          <w:p w:rsidR="00E65313" w:rsidRPr="00DF3703" w:rsidRDefault="00E65313" w:rsidP="00E65313">
            <w:pPr>
              <w:jc w:val="right"/>
              <w:rPr>
                <w:rFonts w:ascii="Arial" w:hAnsi="Arial" w:cs="Arial"/>
                <w:sz w:val="21"/>
                <w:szCs w:val="21"/>
              </w:rPr>
            </w:pPr>
          </w:p>
        </w:tc>
        <w:tc>
          <w:tcPr>
            <w:tcW w:w="933" w:type="pct"/>
            <w:tcBorders>
              <w:bottom w:val="single" w:sz="4" w:space="0" w:color="A6A6A6"/>
            </w:tcBorders>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1,091.1</w:t>
            </w:r>
          </w:p>
        </w:tc>
        <w:tc>
          <w:tcPr>
            <w:tcW w:w="1288" w:type="pct"/>
            <w:tcBorders>
              <w:bottom w:val="single" w:sz="4" w:space="0" w:color="A6A6A6"/>
            </w:tcBorders>
            <w:vAlign w:val="bottom"/>
          </w:tcPr>
          <w:p w:rsidR="00E65313" w:rsidRPr="00DF3703" w:rsidRDefault="00E65313" w:rsidP="00E65313">
            <w:pPr>
              <w:jc w:val="right"/>
              <w:rPr>
                <w:rFonts w:ascii="Arial" w:hAnsi="Arial" w:cs="Arial"/>
                <w:sz w:val="21"/>
                <w:szCs w:val="21"/>
              </w:rPr>
            </w:pPr>
            <w:r w:rsidRPr="00DF3703">
              <w:rPr>
                <w:rFonts w:ascii="Arial" w:hAnsi="Arial" w:cs="Arial"/>
                <w:sz w:val="21"/>
                <w:szCs w:val="21"/>
              </w:rPr>
              <w:t>8,315</w:t>
            </w:r>
          </w:p>
        </w:tc>
      </w:tr>
      <w:tr w:rsidR="00E65313" w:rsidRPr="00DF3703" w:rsidTr="00080718">
        <w:tc>
          <w:tcPr>
            <w:tcW w:w="1755" w:type="pct"/>
            <w:tcBorders>
              <w:top w:val="single" w:sz="4" w:space="0" w:color="A6A6A6"/>
              <w:bottom w:val="single" w:sz="12" w:space="0" w:color="002776"/>
            </w:tcBorders>
            <w:vAlign w:val="bottom"/>
          </w:tcPr>
          <w:p w:rsidR="00E65313" w:rsidRPr="00DF3703" w:rsidRDefault="00E65313" w:rsidP="00220D62">
            <w:pPr>
              <w:pStyle w:val="TableHeadingRight"/>
              <w:jc w:val="left"/>
              <w:rPr>
                <w:rFonts w:ascii="Arial" w:hAnsi="Arial" w:cs="Arial"/>
                <w:sz w:val="20"/>
              </w:rPr>
            </w:pPr>
            <w:r w:rsidRPr="00DF3703">
              <w:rPr>
                <w:rFonts w:ascii="Arial" w:hAnsi="Arial" w:cs="Arial"/>
              </w:rPr>
              <w:t>Total Australia</w:t>
            </w:r>
          </w:p>
        </w:tc>
        <w:tc>
          <w:tcPr>
            <w:tcW w:w="1024" w:type="pct"/>
            <w:tcBorders>
              <w:top w:val="single" w:sz="4" w:space="0" w:color="A6A6A6"/>
              <w:bottom w:val="single" w:sz="12" w:space="0" w:color="002776"/>
            </w:tcBorders>
            <w:vAlign w:val="bottom"/>
          </w:tcPr>
          <w:p w:rsidR="00E65313" w:rsidRPr="00DF3703" w:rsidRDefault="00E65313" w:rsidP="00E65313">
            <w:pPr>
              <w:jc w:val="right"/>
              <w:rPr>
                <w:rFonts w:ascii="Arial" w:hAnsi="Arial" w:cs="Arial"/>
                <w:sz w:val="20"/>
              </w:rPr>
            </w:pPr>
          </w:p>
        </w:tc>
        <w:tc>
          <w:tcPr>
            <w:tcW w:w="933" w:type="pct"/>
            <w:tcBorders>
              <w:top w:val="single" w:sz="4" w:space="0" w:color="A6A6A6"/>
              <w:bottom w:val="single" w:sz="12" w:space="0" w:color="002776"/>
            </w:tcBorders>
            <w:vAlign w:val="bottom"/>
          </w:tcPr>
          <w:p w:rsidR="00E65313" w:rsidRPr="00DF3703" w:rsidRDefault="00E65313" w:rsidP="00E65313">
            <w:pPr>
              <w:pStyle w:val="TableHeadingRight"/>
              <w:rPr>
                <w:rFonts w:ascii="Arial" w:hAnsi="Arial" w:cs="Arial"/>
              </w:rPr>
            </w:pPr>
            <w:r w:rsidRPr="00DF3703">
              <w:rPr>
                <w:rFonts w:ascii="Arial" w:hAnsi="Arial" w:cs="Arial"/>
              </w:rPr>
              <w:t>5,677.8</w:t>
            </w:r>
          </w:p>
        </w:tc>
        <w:tc>
          <w:tcPr>
            <w:tcW w:w="1288" w:type="pct"/>
            <w:tcBorders>
              <w:top w:val="single" w:sz="4" w:space="0" w:color="A6A6A6"/>
              <w:bottom w:val="single" w:sz="12" w:space="0" w:color="002776"/>
            </w:tcBorders>
            <w:vAlign w:val="bottom"/>
          </w:tcPr>
          <w:p w:rsidR="00E65313" w:rsidRPr="00DF3703" w:rsidRDefault="00E65313" w:rsidP="00E65313">
            <w:pPr>
              <w:pStyle w:val="TableHeadingRight"/>
              <w:rPr>
                <w:rFonts w:ascii="Arial" w:hAnsi="Arial" w:cs="Arial"/>
              </w:rPr>
            </w:pPr>
            <w:r w:rsidRPr="00DF3703">
              <w:rPr>
                <w:rFonts w:ascii="Arial" w:hAnsi="Arial" w:cs="Arial"/>
              </w:rPr>
              <w:t>68,978</w:t>
            </w:r>
          </w:p>
        </w:tc>
      </w:tr>
    </w:tbl>
    <w:p w:rsidR="00080718" w:rsidRPr="00DF3703" w:rsidRDefault="006B7D88" w:rsidP="009D1369">
      <w:pPr>
        <w:pStyle w:val="Source"/>
        <w:rPr>
          <w:rFonts w:ascii="Arial" w:hAnsi="Arial"/>
        </w:rPr>
      </w:pPr>
      <w:r w:rsidRPr="00DF3703">
        <w:rPr>
          <w:rFonts w:ascii="Arial" w:hAnsi="Arial"/>
        </w:rPr>
        <w:t>Source: Deloitte Access Economics estimates</w:t>
      </w:r>
    </w:p>
    <w:p w:rsidR="00C30127" w:rsidRPr="00DF3703" w:rsidRDefault="006B7D88" w:rsidP="009C17B9">
      <w:pPr>
        <w:pStyle w:val="HeadingC"/>
        <w:rPr>
          <w:rFonts w:ascii="Arial" w:hAnsi="Arial" w:cs="Arial"/>
        </w:rPr>
      </w:pPr>
      <w:r w:rsidRPr="00DF3703">
        <w:rPr>
          <w:rFonts w:ascii="Arial" w:hAnsi="Arial" w:cs="Arial"/>
        </w:rPr>
        <w:t>Comparison to previous estimates</w:t>
      </w:r>
    </w:p>
    <w:p w:rsidR="006A23E4" w:rsidRPr="00DF3703" w:rsidRDefault="006B7D88" w:rsidP="00A65D32">
      <w:pPr>
        <w:pStyle w:val="BodyText"/>
        <w:rPr>
          <w:rFonts w:ascii="Arial" w:hAnsi="Arial" w:cs="Arial"/>
        </w:rPr>
      </w:pPr>
      <w:r w:rsidRPr="00DF3703">
        <w:rPr>
          <w:rFonts w:ascii="Arial" w:hAnsi="Arial" w:cs="Arial"/>
        </w:rPr>
        <w:t xml:space="preserve">Since the previous report </w:t>
      </w:r>
      <w:r w:rsidR="00526AAF" w:rsidRPr="00DF3703">
        <w:rPr>
          <w:rFonts w:ascii="Arial" w:hAnsi="Arial" w:cs="Arial"/>
        </w:rPr>
        <w:t xml:space="preserve">based on </w:t>
      </w:r>
      <w:r w:rsidRPr="00DF3703">
        <w:rPr>
          <w:rFonts w:ascii="Arial" w:hAnsi="Arial" w:cs="Arial"/>
        </w:rPr>
        <w:t>2006-07</w:t>
      </w:r>
      <w:r w:rsidR="00526AAF" w:rsidRPr="00DF3703">
        <w:rPr>
          <w:rFonts w:ascii="Arial" w:hAnsi="Arial" w:cs="Arial"/>
        </w:rPr>
        <w:t xml:space="preserve"> data,</w:t>
      </w:r>
      <w:r w:rsidRPr="00DF3703">
        <w:rPr>
          <w:rFonts w:ascii="Arial" w:hAnsi="Arial" w:cs="Arial"/>
        </w:rPr>
        <w:t xml:space="preserve"> the economic contribution is down slightly, by 1.8%, from $5.76 billion in value-added (in 2012 dollars).  This is driven by a slight reduction in tourist activity in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and also by changes in method.  These changes in </w:t>
      </w:r>
      <w:r w:rsidR="008D02A5" w:rsidRPr="00DF3703">
        <w:rPr>
          <w:rFonts w:ascii="Arial" w:hAnsi="Arial" w:cs="Arial"/>
        </w:rPr>
        <w:t>method</w:t>
      </w:r>
      <w:r w:rsidRPr="00DF3703">
        <w:rPr>
          <w:rFonts w:ascii="Arial" w:hAnsi="Arial" w:cs="Arial"/>
        </w:rPr>
        <w:t xml:space="preserve"> are based on improved information in the activity in the </w:t>
      </w:r>
      <w:r w:rsidR="003C4DCF" w:rsidRPr="00DF3703">
        <w:rPr>
          <w:rFonts w:ascii="Arial" w:hAnsi="Arial" w:cs="Arial"/>
        </w:rPr>
        <w:t>catchment</w:t>
      </w:r>
      <w:r w:rsidRPr="00DF3703">
        <w:rPr>
          <w:rFonts w:ascii="Arial" w:hAnsi="Arial" w:cs="Arial"/>
        </w:rPr>
        <w:t xml:space="preserve"> and are outlined in the Introduction.</w:t>
      </w:r>
    </w:p>
    <w:p w:rsidR="00A65D32" w:rsidRPr="00DF3703" w:rsidRDefault="006B7D88" w:rsidP="00A65D32">
      <w:pPr>
        <w:pStyle w:val="SubHeading"/>
        <w:rPr>
          <w:rFonts w:ascii="Arial" w:hAnsi="Arial"/>
          <w:color w:val="002776"/>
        </w:rPr>
      </w:pPr>
      <w:r w:rsidRPr="00DF3703">
        <w:rPr>
          <w:rFonts w:ascii="Arial" w:hAnsi="Arial"/>
          <w:color w:val="002776"/>
          <w:lang w:eastAsia="en-AU"/>
        </w:rPr>
        <w:t>Deloitte Access Economics</w:t>
      </w:r>
    </w:p>
    <w:p w:rsidR="00A65D32" w:rsidRPr="00DF3703" w:rsidRDefault="00A65D32" w:rsidP="00A65D32">
      <w:pPr>
        <w:pStyle w:val="SingleLeft"/>
        <w:rPr>
          <w:rFonts w:ascii="Arial" w:hAnsi="Arial" w:cs="Arial"/>
          <w:color w:val="002776"/>
        </w:rPr>
        <w:sectPr w:rsidR="00A65D32" w:rsidRPr="00DF3703" w:rsidSect="000175EC">
          <w:headerReference w:type="even" r:id="rId22"/>
          <w:headerReference w:type="default" r:id="rId23"/>
          <w:footerReference w:type="default" r:id="rId24"/>
          <w:headerReference w:type="first" r:id="rId25"/>
          <w:pgSz w:w="11906" w:h="16838" w:code="9"/>
          <w:pgMar w:top="2268" w:right="1134" w:bottom="1134" w:left="2552" w:header="720" w:footer="720" w:gutter="0"/>
          <w:pgNumType w:fmt="lowerRoman" w:start="1"/>
          <w:cols w:space="720"/>
          <w:docGrid w:linePitch="360"/>
        </w:sectPr>
      </w:pPr>
    </w:p>
    <w:p w:rsidR="00A65D32" w:rsidRPr="00DF3703" w:rsidRDefault="006B7D88" w:rsidP="00A65D32">
      <w:pPr>
        <w:pStyle w:val="Heading1"/>
        <w:rPr>
          <w:rFonts w:ascii="Segoe UI" w:hAnsi="Segoe UI" w:cs="Segoe UI"/>
        </w:rPr>
      </w:pPr>
      <w:bookmarkStart w:id="29" w:name="_Toc340243177"/>
      <w:bookmarkStart w:id="30" w:name="_Ref340673651"/>
      <w:bookmarkStart w:id="31" w:name="_Toc355700972"/>
      <w:r w:rsidRPr="00DF3703">
        <w:rPr>
          <w:rFonts w:ascii="Segoe UI" w:hAnsi="Segoe UI" w:cs="Segoe UI"/>
        </w:rPr>
        <w:lastRenderedPageBreak/>
        <w:t>Introduction</w:t>
      </w:r>
      <w:bookmarkEnd w:id="29"/>
      <w:bookmarkEnd w:id="30"/>
      <w:bookmarkEnd w:id="31"/>
    </w:p>
    <w:p w:rsidR="00A65D32" w:rsidRPr="00DF3703" w:rsidRDefault="006B7D88" w:rsidP="00A65D32">
      <w:pPr>
        <w:pStyle w:val="BodyText"/>
        <w:rPr>
          <w:rFonts w:ascii="Arial" w:hAnsi="Arial" w:cs="Arial"/>
        </w:rPr>
      </w:pPr>
      <w:r w:rsidRPr="00DF3703">
        <w:rPr>
          <w:rFonts w:ascii="Arial" w:hAnsi="Arial" w:cs="Arial"/>
        </w:rPr>
        <w:t xml:space="preserve">Deloitte Access Economics (DAE) has been engaged by the Great Barrier Reef Marine Park Authority (GBRMPA) to analyse the economic contribution of the activity that occurs within the </w:t>
      </w:r>
      <w:r w:rsidR="00FB1F9D" w:rsidRPr="00DF3703">
        <w:rPr>
          <w:rFonts w:ascii="Arial" w:hAnsi="Arial" w:cs="Arial"/>
        </w:rPr>
        <w:t xml:space="preserve">Great Barrier Reef </w:t>
      </w:r>
      <w:r w:rsidRPr="00DF3703">
        <w:rPr>
          <w:rFonts w:ascii="Arial" w:hAnsi="Arial" w:cs="Arial"/>
        </w:rPr>
        <w:t>World Heritage Area</w:t>
      </w:r>
      <w:r w:rsidR="004A1D50" w:rsidRPr="00DF3703">
        <w:rPr>
          <w:rFonts w:ascii="Arial" w:hAnsi="Arial" w:cs="Arial"/>
        </w:rPr>
        <w:t>.</w:t>
      </w:r>
      <w:r w:rsidRPr="00DF3703">
        <w:rPr>
          <w:rFonts w:ascii="Arial" w:hAnsi="Arial" w:cs="Arial"/>
        </w:rPr>
        <w:t xml:space="preserve"> </w:t>
      </w:r>
    </w:p>
    <w:p w:rsidR="00B31CC9" w:rsidRPr="00DF3703" w:rsidRDefault="006B7D88" w:rsidP="00B31CC9">
      <w:pPr>
        <w:pStyle w:val="BodyText"/>
        <w:rPr>
          <w:rFonts w:ascii="Arial" w:hAnsi="Arial" w:cs="Arial"/>
        </w:rPr>
      </w:pPr>
      <w:bookmarkStart w:id="32" w:name="_Toc340243178"/>
      <w:r w:rsidRPr="00DF3703">
        <w:rPr>
          <w:rFonts w:ascii="Arial" w:hAnsi="Arial" w:cs="Arial"/>
        </w:rPr>
        <w:t xml:space="preserve">The </w:t>
      </w:r>
      <w:r w:rsidR="00FB1F9D" w:rsidRPr="00DF3703">
        <w:rPr>
          <w:rFonts w:ascii="Arial" w:hAnsi="Arial" w:cs="Arial"/>
        </w:rPr>
        <w:t>Great Barrier Reef (</w:t>
      </w:r>
      <w:r w:rsidR="00036279" w:rsidRPr="00DF3703">
        <w:rPr>
          <w:rFonts w:ascii="Arial" w:hAnsi="Arial" w:cs="Arial"/>
        </w:rPr>
        <w:t>Reef</w:t>
      </w:r>
      <w:r w:rsidR="00FB1F9D" w:rsidRPr="00DF3703">
        <w:rPr>
          <w:rFonts w:ascii="Arial" w:hAnsi="Arial" w:cs="Arial"/>
        </w:rPr>
        <w:t>)</w:t>
      </w:r>
      <w:r w:rsidRPr="00DF3703">
        <w:rPr>
          <w:rFonts w:ascii="Arial" w:hAnsi="Arial" w:cs="Arial"/>
        </w:rPr>
        <w:t xml:space="preserve"> is the world’s largest coral reef ecosystem and one of the seven wonders of the natural world.  This World Heritage Area contributes significantly to the Queensland and the Australian economies through a number of commercial channels, which ult</w:t>
      </w:r>
      <w:r w:rsidR="004145E4" w:rsidRPr="00DF3703">
        <w:rPr>
          <w:rFonts w:ascii="Arial" w:hAnsi="Arial" w:cs="Arial"/>
        </w:rPr>
        <w:t>imately contribute to</w:t>
      </w:r>
      <w:r w:rsidRPr="00DF3703">
        <w:rPr>
          <w:rFonts w:ascii="Arial" w:hAnsi="Arial" w:cs="Arial"/>
        </w:rPr>
        <w:t xml:space="preserve"> the national accounts.  In addition, the </w:t>
      </w:r>
      <w:r w:rsidR="00036279" w:rsidRPr="00DF3703">
        <w:rPr>
          <w:rFonts w:ascii="Arial" w:hAnsi="Arial" w:cs="Arial"/>
        </w:rPr>
        <w:t>Reef</w:t>
      </w:r>
      <w:r w:rsidRPr="00DF3703">
        <w:rPr>
          <w:rFonts w:ascii="Arial" w:hAnsi="Arial" w:cs="Arial"/>
        </w:rPr>
        <w:t xml:space="preserve"> has considerable non-commercial value, providing significant intangible benefits to all visitors and locals through</w:t>
      </w:r>
      <w:r w:rsidR="004145E4" w:rsidRPr="00DF3703">
        <w:rPr>
          <w:rFonts w:ascii="Arial" w:hAnsi="Arial" w:cs="Arial"/>
        </w:rPr>
        <w:t xml:space="preserve"> its natural beauty.</w:t>
      </w:r>
    </w:p>
    <w:p w:rsidR="00590C62" w:rsidRPr="00DF3703" w:rsidRDefault="006B7D88" w:rsidP="00590C62">
      <w:pPr>
        <w:pStyle w:val="BodyText"/>
        <w:rPr>
          <w:rFonts w:ascii="Arial" w:hAnsi="Arial" w:cs="Arial"/>
        </w:rPr>
      </w:pPr>
      <w:r w:rsidRPr="00DF3703">
        <w:rPr>
          <w:rFonts w:ascii="Arial" w:hAnsi="Arial" w:cs="Arial"/>
        </w:rPr>
        <w:t xml:space="preserve">This report estimates the economic contribution in FY2012 to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area, Queensland and Australia.  By nature of the analysis, the intangible benefits are ignored and only the tangible, monetary contributions to the national accounts are considered.</w:t>
      </w:r>
    </w:p>
    <w:p w:rsidR="00B53D04" w:rsidRPr="00DF3703" w:rsidRDefault="006B7D88" w:rsidP="00B53D04">
      <w:pPr>
        <w:pStyle w:val="BSubheading-Bluedk"/>
        <w:rPr>
          <w:rFonts w:cs="Arial"/>
        </w:rPr>
      </w:pPr>
      <w:bookmarkStart w:id="33" w:name="_Toc355700973"/>
      <w:r w:rsidRPr="00DF3703">
        <w:rPr>
          <w:rFonts w:cs="Arial"/>
        </w:rPr>
        <w:t>Economic contribution stud</w:t>
      </w:r>
      <w:r w:rsidR="00A52162" w:rsidRPr="00DF3703">
        <w:rPr>
          <w:rFonts w:cs="Arial"/>
        </w:rPr>
        <w:t xml:space="preserve">y </w:t>
      </w:r>
      <w:r w:rsidR="008D02A5" w:rsidRPr="00DF3703">
        <w:rPr>
          <w:rFonts w:cs="Arial"/>
        </w:rPr>
        <w:t>method</w:t>
      </w:r>
      <w:bookmarkEnd w:id="33"/>
    </w:p>
    <w:p w:rsidR="00590C62" w:rsidRPr="00DF3703" w:rsidRDefault="006B7D88" w:rsidP="00590C62">
      <w:pPr>
        <w:pStyle w:val="BodyText"/>
        <w:rPr>
          <w:rFonts w:ascii="Arial" w:hAnsi="Arial" w:cs="Arial"/>
        </w:rPr>
      </w:pPr>
      <w:r w:rsidRPr="00DF3703">
        <w:rPr>
          <w:rFonts w:ascii="Arial" w:hAnsi="Arial" w:cs="Arial"/>
        </w:rPr>
        <w:t>While the non-monetary benefits are an important part of the Reef’s value, using a pure national accounting framework to measure the Reef’s contribution means that the value established is based on market transactions between suppliers and consumers.  Non-market or value judgements over the relative worth of the Reef are not part of the economic contribution metric.  This approach is therefore less subjective and is also well understood and well-regarded by policy makers.</w:t>
      </w:r>
    </w:p>
    <w:p w:rsidR="006E11AD" w:rsidRPr="00DF3703" w:rsidRDefault="006B7D88" w:rsidP="00B31CC9">
      <w:pPr>
        <w:pStyle w:val="BodyText"/>
        <w:rPr>
          <w:rFonts w:ascii="Arial" w:hAnsi="Arial" w:cs="Arial"/>
        </w:rPr>
      </w:pPr>
      <w:r w:rsidRPr="00DF3703">
        <w:rPr>
          <w:rFonts w:ascii="Arial" w:hAnsi="Arial" w:cs="Arial"/>
        </w:rPr>
        <w:t xml:space="preserve">This report is the fourth in a series of economic contribution studies conducted for the </w:t>
      </w:r>
      <w:r w:rsidR="00036279" w:rsidRPr="00DF3703">
        <w:rPr>
          <w:rFonts w:ascii="Arial" w:hAnsi="Arial" w:cs="Arial"/>
        </w:rPr>
        <w:t>Reef</w:t>
      </w:r>
      <w:r w:rsidRPr="00DF3703">
        <w:rPr>
          <w:rFonts w:ascii="Arial" w:hAnsi="Arial" w:cs="Arial"/>
        </w:rPr>
        <w:t xml:space="preserve">, and so its point of reference is largely the growth (or change) since the last report – being 2007. An outline of the </w:t>
      </w:r>
      <w:r w:rsidR="008D02A5" w:rsidRPr="00DF3703">
        <w:rPr>
          <w:rFonts w:ascii="Arial" w:hAnsi="Arial" w:cs="Arial"/>
        </w:rPr>
        <w:t>method</w:t>
      </w:r>
      <w:r w:rsidRPr="00DF3703">
        <w:rPr>
          <w:rFonts w:ascii="Arial" w:hAnsi="Arial" w:cs="Arial"/>
        </w:rPr>
        <w:t xml:space="preserve"> used</w:t>
      </w:r>
      <w:r w:rsidR="004145E4" w:rsidRPr="00DF3703">
        <w:rPr>
          <w:rFonts w:ascii="Arial" w:hAnsi="Arial" w:cs="Arial"/>
        </w:rPr>
        <w:t xml:space="preserve"> for this report is provided in </w:t>
      </w:r>
      <w:fldSimple w:instr=" REF _Ref347920071 \r \h  \* MERGEFORMAT ">
        <w:r w:rsidR="00536D7E" w:rsidRPr="00536D7E">
          <w:rPr>
            <w:rFonts w:ascii="Arial" w:hAnsi="Arial" w:cs="Arial"/>
          </w:rPr>
          <w:t>Appendix B</w:t>
        </w:r>
      </w:fldSimple>
      <w:r w:rsidR="004145E4" w:rsidRPr="00DF3703">
        <w:rPr>
          <w:rFonts w:ascii="Arial" w:hAnsi="Arial" w:cs="Arial"/>
        </w:rPr>
        <w:t>.</w:t>
      </w:r>
    </w:p>
    <w:p w:rsidR="00B53D04" w:rsidRPr="00DF3703" w:rsidRDefault="006B7D88" w:rsidP="00B53D04">
      <w:pPr>
        <w:pStyle w:val="BSubheading-Bluedk"/>
        <w:rPr>
          <w:rFonts w:cs="Arial"/>
        </w:rPr>
      </w:pPr>
      <w:bookmarkStart w:id="34" w:name="_Toc355700974"/>
      <w:bookmarkEnd w:id="32"/>
      <w:r w:rsidRPr="00DF3703">
        <w:rPr>
          <w:rFonts w:cs="Arial"/>
        </w:rPr>
        <w:t xml:space="preserve">Contribution of activity in the </w:t>
      </w:r>
      <w:r w:rsidR="00036279" w:rsidRPr="00DF3703">
        <w:rPr>
          <w:rFonts w:cs="Arial"/>
        </w:rPr>
        <w:t>Reef</w:t>
      </w:r>
      <w:r w:rsidRPr="00DF3703">
        <w:rPr>
          <w:rFonts w:cs="Arial"/>
        </w:rPr>
        <w:t xml:space="preserve"> </w:t>
      </w:r>
      <w:r w:rsidR="003C4DCF" w:rsidRPr="00DF3703">
        <w:rPr>
          <w:rFonts w:cs="Arial"/>
        </w:rPr>
        <w:t>catchment</w:t>
      </w:r>
      <w:bookmarkEnd w:id="34"/>
    </w:p>
    <w:p w:rsidR="00B53D04" w:rsidRPr="00DF3703" w:rsidRDefault="006B7D88" w:rsidP="00B53D04">
      <w:pPr>
        <w:pStyle w:val="BodyText"/>
        <w:rPr>
          <w:rFonts w:ascii="Arial" w:hAnsi="Arial" w:cs="Arial"/>
        </w:rPr>
      </w:pPr>
      <w:r w:rsidRPr="00DF3703">
        <w:rPr>
          <w:rFonts w:ascii="Arial" w:hAnsi="Arial" w:cs="Arial"/>
        </w:rPr>
        <w:t>Broadly the scope of activity modelled here is similar to the previous analysis, these include:</w:t>
      </w:r>
    </w:p>
    <w:p w:rsidR="00B53D04" w:rsidRPr="00DF3703" w:rsidRDefault="006B7D88" w:rsidP="00B53D04">
      <w:pPr>
        <w:pStyle w:val="Bullet1"/>
        <w:ind w:left="567" w:hanging="567"/>
        <w:rPr>
          <w:rFonts w:ascii="Arial" w:hAnsi="Arial"/>
        </w:rPr>
      </w:pPr>
      <w:r w:rsidRPr="00DF3703">
        <w:rPr>
          <w:rFonts w:ascii="Arial" w:hAnsi="Arial"/>
        </w:rPr>
        <w:t>Tourism</w:t>
      </w:r>
      <w:r w:rsidR="004A1D50" w:rsidRPr="00DF3703">
        <w:rPr>
          <w:rFonts w:ascii="Arial" w:hAnsi="Arial"/>
        </w:rPr>
        <w:t>,</w:t>
      </w:r>
    </w:p>
    <w:p w:rsidR="00F96499" w:rsidRPr="00DF3703" w:rsidRDefault="006B7D88" w:rsidP="00F96499">
      <w:pPr>
        <w:pStyle w:val="Bullet1"/>
        <w:ind w:left="567" w:hanging="567"/>
        <w:rPr>
          <w:rFonts w:ascii="Arial" w:hAnsi="Arial"/>
        </w:rPr>
      </w:pPr>
      <w:r w:rsidRPr="00DF3703">
        <w:rPr>
          <w:rFonts w:ascii="Arial" w:hAnsi="Arial"/>
        </w:rPr>
        <w:t>Commercial fishing and aquaculture</w:t>
      </w:r>
      <w:r w:rsidR="004A1D50" w:rsidRPr="00DF3703">
        <w:rPr>
          <w:rFonts w:ascii="Arial" w:hAnsi="Arial"/>
        </w:rPr>
        <w:t>,</w:t>
      </w:r>
    </w:p>
    <w:p w:rsidR="004538E5" w:rsidRPr="00DF3703" w:rsidRDefault="006B7D88" w:rsidP="00B53D04">
      <w:pPr>
        <w:pStyle w:val="Bullet1"/>
        <w:ind w:left="567" w:hanging="567"/>
        <w:rPr>
          <w:rFonts w:ascii="Arial" w:hAnsi="Arial"/>
        </w:rPr>
      </w:pPr>
      <w:r w:rsidRPr="00DF3703">
        <w:rPr>
          <w:rFonts w:ascii="Arial" w:hAnsi="Arial"/>
        </w:rPr>
        <w:t>Recreation</w:t>
      </w:r>
      <w:r w:rsidR="004538E5" w:rsidRPr="00DF3703">
        <w:rPr>
          <w:rFonts w:ascii="Arial" w:hAnsi="Arial"/>
        </w:rPr>
        <w:t>, and</w:t>
      </w:r>
    </w:p>
    <w:p w:rsidR="00B53D04" w:rsidRPr="00DF3703" w:rsidRDefault="006B7D88" w:rsidP="00B53D04">
      <w:pPr>
        <w:pStyle w:val="Bullet1"/>
        <w:ind w:left="567" w:hanging="567"/>
        <w:rPr>
          <w:rFonts w:ascii="Arial" w:hAnsi="Arial"/>
        </w:rPr>
      </w:pPr>
      <w:r w:rsidRPr="00DF3703">
        <w:rPr>
          <w:rFonts w:ascii="Arial" w:hAnsi="Arial"/>
        </w:rPr>
        <w:t>Scientific research</w:t>
      </w:r>
      <w:r w:rsidR="00977007" w:rsidRPr="00DF3703">
        <w:rPr>
          <w:rFonts w:ascii="Arial" w:hAnsi="Arial"/>
        </w:rPr>
        <w:t>,</w:t>
      </w:r>
      <w:r w:rsidRPr="00DF3703">
        <w:rPr>
          <w:rFonts w:ascii="Arial" w:hAnsi="Arial"/>
        </w:rPr>
        <w:t xml:space="preserve"> </w:t>
      </w:r>
      <w:r w:rsidR="00F943D7" w:rsidRPr="00DF3703">
        <w:rPr>
          <w:rFonts w:ascii="Arial" w:hAnsi="Arial"/>
        </w:rPr>
        <w:t>R</w:t>
      </w:r>
      <w:r w:rsidRPr="00DF3703">
        <w:rPr>
          <w:rFonts w:ascii="Arial" w:hAnsi="Arial"/>
        </w:rPr>
        <w:t>eef management.</w:t>
      </w:r>
    </w:p>
    <w:p w:rsidR="006917D0" w:rsidRPr="00DF3703" w:rsidRDefault="006B7D88" w:rsidP="004538E5">
      <w:pPr>
        <w:pStyle w:val="BSubheading-Bluedk"/>
        <w:rPr>
          <w:rFonts w:cs="Arial"/>
          <w:b w:val="0"/>
          <w:i/>
        </w:rPr>
      </w:pPr>
      <w:bookmarkStart w:id="35" w:name="_Toc355700975"/>
      <w:r w:rsidRPr="00DF3703">
        <w:rPr>
          <w:rFonts w:cs="Arial"/>
          <w:b w:val="0"/>
          <w:i/>
        </w:rPr>
        <w:t>Tourism</w:t>
      </w:r>
      <w:bookmarkEnd w:id="35"/>
    </w:p>
    <w:p w:rsidR="00B53D04" w:rsidRPr="00DF3703" w:rsidRDefault="006B7D88" w:rsidP="00B53D04">
      <w:pPr>
        <w:pStyle w:val="BodyText"/>
        <w:rPr>
          <w:rFonts w:ascii="Arial" w:hAnsi="Arial" w:cs="Arial"/>
        </w:rPr>
      </w:pPr>
      <w:r w:rsidRPr="00DF3703">
        <w:rPr>
          <w:rFonts w:ascii="Arial" w:hAnsi="Arial" w:cs="Arial"/>
        </w:rPr>
        <w:t xml:space="preserve">The tourism contribution is based on information provided in the National Visitors Survey (NVS) and International Visitors Survey (IVS), with the addition of cruise-ship related tourism.  The body of the report provides an account of the economic contribution based on the expenditure, as defined in the IVS and NVS, within the </w:t>
      </w:r>
      <w:r w:rsidR="00036279" w:rsidRPr="00DF3703">
        <w:rPr>
          <w:rFonts w:ascii="Arial" w:hAnsi="Arial" w:cs="Arial"/>
        </w:rPr>
        <w:lastRenderedPageBreak/>
        <w:t>Reef</w:t>
      </w:r>
      <w:r w:rsidRPr="00DF3703">
        <w:rPr>
          <w:rFonts w:ascii="Arial" w:hAnsi="Arial" w:cs="Arial"/>
        </w:rPr>
        <w:t xml:space="preserve"> </w:t>
      </w:r>
      <w:r w:rsidR="003C4DCF" w:rsidRPr="00DF3703">
        <w:rPr>
          <w:rFonts w:ascii="Arial" w:hAnsi="Arial" w:cs="Arial"/>
        </w:rPr>
        <w:t>catchment</w:t>
      </w:r>
      <w:r w:rsidR="004538E5" w:rsidRPr="00DF3703">
        <w:rPr>
          <w:rFonts w:ascii="Arial" w:hAnsi="Arial" w:cs="Arial"/>
        </w:rPr>
        <w:t xml:space="preserve"> area.  </w:t>
      </w:r>
      <w:fldSimple w:instr=" REF _Ref347987637 \r \h  \* MERGEFORMAT ">
        <w:r w:rsidR="00536D7E" w:rsidRPr="00536D7E">
          <w:rPr>
            <w:rFonts w:ascii="Arial" w:hAnsi="Arial" w:cs="Arial"/>
          </w:rPr>
          <w:t>Appendix A</w:t>
        </w:r>
      </w:fldSimple>
      <w:r w:rsidRPr="00DF3703">
        <w:rPr>
          <w:rFonts w:ascii="Arial" w:hAnsi="Arial" w:cs="Arial"/>
        </w:rPr>
        <w:t xml:space="preserve"> outlines the economic contribution of the tourism activity using the Tourism Satellite Account </w:t>
      </w:r>
      <w:r w:rsidR="008D02A5" w:rsidRPr="00DF3703">
        <w:rPr>
          <w:rFonts w:ascii="Arial" w:hAnsi="Arial" w:cs="Arial"/>
        </w:rPr>
        <w:t>method</w:t>
      </w:r>
      <w:r w:rsidRPr="00DF3703">
        <w:rPr>
          <w:rFonts w:ascii="Arial" w:hAnsi="Arial" w:cs="Arial"/>
        </w:rPr>
        <w:t>.</w:t>
      </w:r>
    </w:p>
    <w:p w:rsidR="006917D0" w:rsidRPr="00DF3703" w:rsidRDefault="006B7D88" w:rsidP="004538E5">
      <w:pPr>
        <w:pStyle w:val="BSubheading-Bluedk"/>
        <w:rPr>
          <w:rFonts w:cs="Arial"/>
          <w:b w:val="0"/>
          <w:i/>
        </w:rPr>
      </w:pPr>
      <w:bookmarkStart w:id="36" w:name="_Toc355700976"/>
      <w:r w:rsidRPr="00DF3703">
        <w:rPr>
          <w:rFonts w:cs="Arial"/>
          <w:b w:val="0"/>
          <w:i/>
        </w:rPr>
        <w:t>Commercial Fishing and Aquaculture</w:t>
      </w:r>
      <w:bookmarkEnd w:id="36"/>
    </w:p>
    <w:p w:rsidR="004538E5" w:rsidRPr="00DF3703" w:rsidRDefault="006917D0" w:rsidP="006917D0">
      <w:pPr>
        <w:pStyle w:val="BodyText"/>
        <w:rPr>
          <w:rFonts w:ascii="Arial" w:hAnsi="Arial" w:cs="Arial"/>
        </w:rPr>
      </w:pPr>
      <w:r w:rsidRPr="00DF3703">
        <w:rPr>
          <w:rFonts w:ascii="Arial" w:hAnsi="Arial" w:cs="Arial"/>
        </w:rPr>
        <w:t xml:space="preserve">The information used to measure the economic contribution of commercial fishing </w:t>
      </w:r>
      <w:r w:rsidR="00145CF9" w:rsidRPr="00DF3703">
        <w:rPr>
          <w:rFonts w:ascii="Arial" w:hAnsi="Arial" w:cs="Arial"/>
        </w:rPr>
        <w:t xml:space="preserve">and aquaculture </w:t>
      </w:r>
      <w:r w:rsidRPr="00DF3703">
        <w:rPr>
          <w:rFonts w:ascii="Arial" w:hAnsi="Arial" w:cs="Arial"/>
        </w:rPr>
        <w:t>has remained relatively unchanged.  As with previous sections of the analysis the data has been granulated to smaller regional levels and mapped to the modelling regions.  Some of the data and information used is based on years before the 2012 reference year.</w:t>
      </w:r>
    </w:p>
    <w:p w:rsidR="006917D0" w:rsidRPr="00DF3703" w:rsidRDefault="006B7D88" w:rsidP="004538E5">
      <w:pPr>
        <w:pStyle w:val="BSubheading-Bluedk"/>
        <w:rPr>
          <w:rFonts w:cs="Arial"/>
          <w:b w:val="0"/>
          <w:i/>
        </w:rPr>
      </w:pPr>
      <w:bookmarkStart w:id="37" w:name="_Toc355700977"/>
      <w:r w:rsidRPr="00DF3703">
        <w:rPr>
          <w:rFonts w:cs="Arial"/>
          <w:b w:val="0"/>
          <w:i/>
        </w:rPr>
        <w:t>Recreation</w:t>
      </w:r>
      <w:bookmarkEnd w:id="37"/>
    </w:p>
    <w:p w:rsidR="00B53D04" w:rsidRPr="00DF3703" w:rsidRDefault="006B7D88" w:rsidP="00B53D04">
      <w:pPr>
        <w:pStyle w:val="BodyText"/>
        <w:rPr>
          <w:rFonts w:ascii="Arial" w:hAnsi="Arial" w:cs="Arial"/>
        </w:rPr>
      </w:pPr>
      <w:r w:rsidRPr="00DF3703">
        <w:rPr>
          <w:rFonts w:ascii="Arial" w:hAnsi="Arial" w:cs="Arial"/>
        </w:rPr>
        <w:t xml:space="preserve">The recreational activity </w:t>
      </w:r>
      <w:r w:rsidR="008D02A5" w:rsidRPr="00DF3703">
        <w:rPr>
          <w:rFonts w:ascii="Arial" w:hAnsi="Arial" w:cs="Arial"/>
        </w:rPr>
        <w:t>method</w:t>
      </w:r>
      <w:r w:rsidRPr="00DF3703">
        <w:rPr>
          <w:rFonts w:ascii="Arial" w:hAnsi="Arial" w:cs="Arial"/>
        </w:rPr>
        <w:t xml:space="preserve"> has changed from that employed in the last report.  Where the previous report was heavily focused on recreational fishing this study has increased the scope of activity to include</w:t>
      </w:r>
    </w:p>
    <w:p w:rsidR="00B53D04" w:rsidRPr="00DF3703" w:rsidRDefault="006B7D88" w:rsidP="00B53D04">
      <w:pPr>
        <w:pStyle w:val="Bullet1"/>
        <w:ind w:left="567" w:hanging="567"/>
        <w:rPr>
          <w:rFonts w:ascii="Arial" w:hAnsi="Arial"/>
        </w:rPr>
      </w:pPr>
      <w:r w:rsidRPr="00DF3703">
        <w:rPr>
          <w:rFonts w:ascii="Arial" w:hAnsi="Arial"/>
        </w:rPr>
        <w:t>Visiting an island</w:t>
      </w:r>
      <w:r w:rsidR="004A1D50" w:rsidRPr="00DF3703">
        <w:rPr>
          <w:rFonts w:ascii="Arial" w:hAnsi="Arial"/>
        </w:rPr>
        <w:t>,</w:t>
      </w:r>
    </w:p>
    <w:p w:rsidR="00B53D04" w:rsidRPr="00DF3703" w:rsidRDefault="006B7D88" w:rsidP="00B53D04">
      <w:pPr>
        <w:pStyle w:val="Bullet1"/>
        <w:ind w:left="567" w:hanging="567"/>
        <w:rPr>
          <w:rFonts w:ascii="Arial" w:hAnsi="Arial"/>
        </w:rPr>
      </w:pPr>
      <w:r w:rsidRPr="00DF3703">
        <w:rPr>
          <w:rFonts w:ascii="Arial" w:hAnsi="Arial"/>
        </w:rPr>
        <w:t>Sailing</w:t>
      </w:r>
      <w:r w:rsidR="004A1D50" w:rsidRPr="00DF3703">
        <w:rPr>
          <w:rFonts w:ascii="Arial" w:hAnsi="Arial"/>
        </w:rPr>
        <w:t>,</w:t>
      </w:r>
    </w:p>
    <w:p w:rsidR="00B53D04" w:rsidRPr="00DF3703" w:rsidRDefault="006B7D88" w:rsidP="00B53D04">
      <w:pPr>
        <w:pStyle w:val="Bullet1"/>
        <w:ind w:left="567" w:hanging="567"/>
        <w:rPr>
          <w:rFonts w:ascii="Arial" w:hAnsi="Arial"/>
        </w:rPr>
      </w:pPr>
      <w:r w:rsidRPr="00DF3703">
        <w:rPr>
          <w:rFonts w:ascii="Arial" w:hAnsi="Arial"/>
        </w:rPr>
        <w:t>Boating</w:t>
      </w:r>
      <w:r w:rsidR="004A1D50" w:rsidRPr="00DF3703">
        <w:rPr>
          <w:rFonts w:ascii="Arial" w:hAnsi="Arial"/>
        </w:rPr>
        <w:t>,</w:t>
      </w:r>
      <w:r w:rsidR="002B57E8" w:rsidRPr="00DF3703">
        <w:rPr>
          <w:rFonts w:ascii="Arial" w:hAnsi="Arial"/>
        </w:rPr>
        <w:t xml:space="preserve"> </w:t>
      </w:r>
      <w:r w:rsidRPr="00DF3703">
        <w:rPr>
          <w:rFonts w:ascii="Arial" w:hAnsi="Arial"/>
        </w:rPr>
        <w:t>and</w:t>
      </w:r>
    </w:p>
    <w:p w:rsidR="00B53D04" w:rsidRPr="00DF3703" w:rsidRDefault="006B7D88" w:rsidP="00B53D04">
      <w:pPr>
        <w:pStyle w:val="Bullet1"/>
        <w:ind w:left="567" w:hanging="567"/>
        <w:rPr>
          <w:rFonts w:ascii="Arial" w:hAnsi="Arial"/>
        </w:rPr>
      </w:pPr>
      <w:r w:rsidRPr="00DF3703">
        <w:rPr>
          <w:rFonts w:ascii="Arial" w:hAnsi="Arial"/>
        </w:rPr>
        <w:t>Fishing</w:t>
      </w:r>
      <w:r w:rsidR="004A1D50" w:rsidRPr="00DF3703">
        <w:rPr>
          <w:rFonts w:ascii="Arial" w:hAnsi="Arial"/>
        </w:rPr>
        <w:t>.</w:t>
      </w:r>
    </w:p>
    <w:p w:rsidR="00B53D04" w:rsidRPr="00DF3703" w:rsidRDefault="006B7D88" w:rsidP="00B53D04">
      <w:pPr>
        <w:pStyle w:val="BodyText"/>
        <w:rPr>
          <w:rFonts w:ascii="Arial" w:hAnsi="Arial" w:cs="Arial"/>
        </w:rPr>
      </w:pPr>
      <w:r w:rsidRPr="00DF3703">
        <w:rPr>
          <w:rFonts w:ascii="Arial" w:hAnsi="Arial" w:cs="Arial"/>
        </w:rPr>
        <w:t>The previous report was based on information outlined in the Fisheries Queensland State</w:t>
      </w:r>
      <w:r w:rsidR="003E6A5C" w:rsidRPr="00DF3703">
        <w:rPr>
          <w:rFonts w:ascii="Arial" w:hAnsi="Arial" w:cs="Arial"/>
        </w:rPr>
        <w:t>-</w:t>
      </w:r>
      <w:r w:rsidRPr="00DF3703">
        <w:rPr>
          <w:rFonts w:ascii="Arial" w:hAnsi="Arial" w:cs="Arial"/>
        </w:rPr>
        <w:t>wide Recreational Fishing Survey.  A number of factors have caused a move away from using this information source including a lack of recent data and advi</w:t>
      </w:r>
      <w:r w:rsidR="002B57E8" w:rsidRPr="00DF3703">
        <w:rPr>
          <w:rFonts w:ascii="Arial" w:hAnsi="Arial" w:cs="Arial"/>
        </w:rPr>
        <w:t>c</w:t>
      </w:r>
      <w:r w:rsidRPr="00DF3703">
        <w:rPr>
          <w:rFonts w:ascii="Arial" w:hAnsi="Arial" w:cs="Arial"/>
        </w:rPr>
        <w:t>e</w:t>
      </w:r>
      <w:r w:rsidR="00FE76E3" w:rsidRPr="00DF3703">
        <w:rPr>
          <w:rFonts w:ascii="Arial" w:hAnsi="Arial" w:cs="Arial"/>
        </w:rPr>
        <w:t xml:space="preserve"> </w:t>
      </w:r>
      <w:r w:rsidRPr="00DF3703">
        <w:rPr>
          <w:rFonts w:ascii="Arial" w:hAnsi="Arial" w:cs="Arial"/>
        </w:rPr>
        <w:t>p</w:t>
      </w:r>
      <w:r w:rsidR="00FE76E3" w:rsidRPr="00DF3703">
        <w:rPr>
          <w:rFonts w:ascii="Arial" w:hAnsi="Arial" w:cs="Arial"/>
        </w:rPr>
        <w:t>rovided by Fisheries Queensland</w:t>
      </w:r>
      <w:r w:rsidRPr="00DF3703">
        <w:rPr>
          <w:rFonts w:ascii="Arial" w:hAnsi="Arial" w:cs="Arial"/>
        </w:rPr>
        <w:t xml:space="preserve"> that the sample includes a high degree of av</w:t>
      </w:r>
      <w:r w:rsidR="00FE76E3" w:rsidRPr="00DF3703">
        <w:rPr>
          <w:rFonts w:ascii="Arial" w:hAnsi="Arial" w:cs="Arial"/>
        </w:rPr>
        <w:t>id anglers and as a result could</w:t>
      </w:r>
      <w:r w:rsidRPr="00DF3703">
        <w:rPr>
          <w:rFonts w:ascii="Arial" w:hAnsi="Arial" w:cs="Arial"/>
        </w:rPr>
        <w:t xml:space="preserve"> overstate the economic activity.  In addition a more recent survey of recreational use </w:t>
      </w:r>
      <w:r w:rsidRPr="00DF3703">
        <w:rPr>
          <w:rFonts w:ascii="Arial" w:hAnsi="Arial" w:cs="Arial"/>
          <w:i/>
        </w:rPr>
        <w:t>Valuing local recreation in the Great Barrier Reef, Australia</w:t>
      </w:r>
      <w:r w:rsidRPr="00DF3703">
        <w:rPr>
          <w:rFonts w:ascii="Arial" w:hAnsi="Arial" w:cs="Arial"/>
        </w:rPr>
        <w:t xml:space="preserve"> John Rolfe et al. (2012) was made available for use in this report.</w:t>
      </w:r>
    </w:p>
    <w:p w:rsidR="00B53D04" w:rsidRPr="00DF3703" w:rsidRDefault="006B7D88" w:rsidP="00B53D04">
      <w:pPr>
        <w:pStyle w:val="BodyText"/>
        <w:rPr>
          <w:rFonts w:ascii="Arial" w:hAnsi="Arial" w:cs="Arial"/>
        </w:rPr>
      </w:pPr>
      <w:r w:rsidRPr="00DF3703">
        <w:rPr>
          <w:rFonts w:ascii="Arial" w:hAnsi="Arial" w:cs="Arial"/>
        </w:rPr>
        <w:t>The study outlines</w:t>
      </w:r>
      <w:r w:rsidR="002B57E8" w:rsidRPr="00DF3703">
        <w:rPr>
          <w:rFonts w:ascii="Arial" w:hAnsi="Arial" w:cs="Arial"/>
        </w:rPr>
        <w:t>:</w:t>
      </w:r>
    </w:p>
    <w:p w:rsidR="00B53D04" w:rsidRPr="00DF3703" w:rsidRDefault="006B7D88" w:rsidP="00B53D04">
      <w:pPr>
        <w:pStyle w:val="Bullet1"/>
        <w:ind w:left="567" w:hanging="567"/>
        <w:rPr>
          <w:rFonts w:ascii="Arial" w:hAnsi="Arial"/>
        </w:rPr>
      </w:pPr>
      <w:r w:rsidRPr="00DF3703">
        <w:rPr>
          <w:rFonts w:ascii="Arial" w:hAnsi="Arial"/>
        </w:rPr>
        <w:t>The proportion of the population that undertake the activities outlined above</w:t>
      </w:r>
      <w:r w:rsidR="004A1D50" w:rsidRPr="00DF3703">
        <w:rPr>
          <w:rFonts w:ascii="Arial" w:hAnsi="Arial"/>
        </w:rPr>
        <w:t>,</w:t>
      </w:r>
    </w:p>
    <w:p w:rsidR="00B53D04" w:rsidRPr="00DF3703" w:rsidRDefault="006B7D88" w:rsidP="00B53D04">
      <w:pPr>
        <w:pStyle w:val="Bullet1"/>
        <w:ind w:left="567" w:hanging="567"/>
        <w:rPr>
          <w:rFonts w:ascii="Arial" w:hAnsi="Arial"/>
        </w:rPr>
      </w:pPr>
      <w:r w:rsidRPr="00DF3703">
        <w:rPr>
          <w:rFonts w:ascii="Arial" w:hAnsi="Arial"/>
        </w:rPr>
        <w:t>The frequency</w:t>
      </w:r>
      <w:r w:rsidR="004A1D50" w:rsidRPr="00DF3703">
        <w:rPr>
          <w:rFonts w:ascii="Arial" w:hAnsi="Arial"/>
        </w:rPr>
        <w:t>,</w:t>
      </w:r>
      <w:r w:rsidRPr="00DF3703">
        <w:rPr>
          <w:rFonts w:ascii="Arial" w:hAnsi="Arial"/>
        </w:rPr>
        <w:t xml:space="preserve"> and</w:t>
      </w:r>
    </w:p>
    <w:p w:rsidR="00B53D04" w:rsidRPr="00DF3703" w:rsidRDefault="006B7D88" w:rsidP="00B53D04">
      <w:pPr>
        <w:pStyle w:val="Bullet1"/>
        <w:ind w:left="567" w:hanging="567"/>
        <w:rPr>
          <w:rFonts w:ascii="Arial" w:hAnsi="Arial"/>
        </w:rPr>
      </w:pPr>
      <w:r w:rsidRPr="00DF3703">
        <w:rPr>
          <w:rFonts w:ascii="Arial" w:hAnsi="Arial"/>
        </w:rPr>
        <w:t>The expenditure associated with trip</w:t>
      </w:r>
      <w:r w:rsidR="004A1D50" w:rsidRPr="00DF3703">
        <w:rPr>
          <w:rFonts w:ascii="Arial" w:hAnsi="Arial"/>
        </w:rPr>
        <w:t>.</w:t>
      </w:r>
    </w:p>
    <w:p w:rsidR="006917D0" w:rsidRPr="00DF3703" w:rsidRDefault="006B7D88" w:rsidP="00A52162">
      <w:pPr>
        <w:pStyle w:val="BodyText"/>
        <w:rPr>
          <w:rFonts w:ascii="Arial" w:hAnsi="Arial" w:cs="Arial"/>
        </w:rPr>
      </w:pPr>
      <w:r w:rsidRPr="00DF3703">
        <w:rPr>
          <w:rFonts w:ascii="Arial" w:hAnsi="Arial" w:cs="Arial"/>
        </w:rPr>
        <w:t xml:space="preserve">These factors were taken into account when measuring the trip-related expenditure for households within the World Heritage Area.  Australian Bureau of Statistics </w:t>
      </w:r>
      <w:r w:rsidRPr="00DF3703">
        <w:rPr>
          <w:rFonts w:ascii="Arial" w:hAnsi="Arial" w:cs="Arial"/>
          <w:i/>
        </w:rPr>
        <w:t>Household Expenditure Survey 2009-10 (ABS cat. no. 6530.0)</w:t>
      </w:r>
      <w:r w:rsidRPr="00DF3703">
        <w:rPr>
          <w:rFonts w:ascii="Arial" w:hAnsi="Arial" w:cs="Arial"/>
        </w:rPr>
        <w:t xml:space="preserve"> was used to model the expenditure on recreational equipment.</w:t>
      </w:r>
    </w:p>
    <w:p w:rsidR="006917D0" w:rsidRPr="00DF3703" w:rsidRDefault="006B7D88" w:rsidP="004538E5">
      <w:pPr>
        <w:pStyle w:val="BSubheading-Bluedk"/>
        <w:rPr>
          <w:rFonts w:cs="Arial"/>
          <w:b w:val="0"/>
        </w:rPr>
      </w:pPr>
      <w:bookmarkStart w:id="38" w:name="_Toc355700978"/>
      <w:r w:rsidRPr="00DF3703">
        <w:rPr>
          <w:rFonts w:cs="Arial"/>
          <w:b w:val="0"/>
          <w:i/>
        </w:rPr>
        <w:t>Scientific Research and Reef Management</w:t>
      </w:r>
      <w:bookmarkEnd w:id="38"/>
    </w:p>
    <w:p w:rsidR="00FE76E3" w:rsidRPr="00DF3703" w:rsidRDefault="00750954" w:rsidP="00EB23E0">
      <w:pPr>
        <w:pStyle w:val="BodyText"/>
        <w:rPr>
          <w:rFonts w:ascii="Arial" w:hAnsi="Arial" w:cs="Arial"/>
        </w:rPr>
      </w:pPr>
      <w:r w:rsidRPr="00563F35">
        <w:rPr>
          <w:rFonts w:ascii="Arial" w:hAnsi="Arial" w:cs="Arial"/>
          <w:i/>
        </w:rPr>
        <w:t>Scientific research and Reef management</w:t>
      </w:r>
      <w:r w:rsidR="007F0C11" w:rsidRPr="00DF3703">
        <w:rPr>
          <w:rFonts w:ascii="Arial" w:hAnsi="Arial" w:cs="Arial"/>
        </w:rPr>
        <w:t xml:space="preserve"> </w:t>
      </w:r>
      <w:r w:rsidR="00A52162" w:rsidRPr="00DF3703">
        <w:rPr>
          <w:rFonts w:ascii="Arial" w:hAnsi="Arial" w:cs="Arial"/>
        </w:rPr>
        <w:t xml:space="preserve">is a new addition to the economic contribution study.  It captures the economic contribution of a wide range of institutions including the </w:t>
      </w:r>
      <w:r w:rsidR="007F0C11" w:rsidRPr="00DF3703">
        <w:rPr>
          <w:rFonts w:ascii="Arial" w:hAnsi="Arial" w:cs="Arial"/>
        </w:rPr>
        <w:t xml:space="preserve">Great Barrier Reef Marine Park Authority (GBRMPA), the </w:t>
      </w:r>
      <w:r w:rsidR="00A52162" w:rsidRPr="00DF3703">
        <w:rPr>
          <w:rFonts w:ascii="Arial" w:hAnsi="Arial" w:cs="Arial"/>
        </w:rPr>
        <w:t>Australian Institute of Marine Science and the scientific research stations on Heron Island and Lizard Island.</w:t>
      </w:r>
    </w:p>
    <w:p w:rsidR="00EB23E0" w:rsidRPr="00DF3703" w:rsidRDefault="00FE76E3" w:rsidP="00EB23E0">
      <w:pPr>
        <w:pStyle w:val="BodyText"/>
        <w:rPr>
          <w:rFonts w:ascii="Arial" w:hAnsi="Arial" w:cs="Arial"/>
        </w:rPr>
      </w:pPr>
      <w:r w:rsidRPr="00DF3703">
        <w:rPr>
          <w:rFonts w:ascii="Arial" w:hAnsi="Arial" w:cs="Arial"/>
        </w:rPr>
        <w:t>I</w:t>
      </w:r>
      <w:r w:rsidR="006B7D88" w:rsidRPr="00DF3703">
        <w:rPr>
          <w:rFonts w:ascii="Arial" w:hAnsi="Arial" w:cs="Arial"/>
        </w:rPr>
        <w:t>n line with the approach, the r</w:t>
      </w:r>
      <w:r w:rsidR="00B1115C" w:rsidRPr="00DF3703">
        <w:rPr>
          <w:rFonts w:ascii="Arial" w:hAnsi="Arial" w:cs="Arial"/>
        </w:rPr>
        <w:t>eport is structured as follows:</w:t>
      </w:r>
    </w:p>
    <w:p w:rsidR="00EB23E0" w:rsidRPr="00DF3703" w:rsidRDefault="006B7D88" w:rsidP="00EB23E0">
      <w:pPr>
        <w:pStyle w:val="Bullet1"/>
        <w:rPr>
          <w:rFonts w:ascii="Arial" w:hAnsi="Arial"/>
        </w:rPr>
      </w:pPr>
      <w:r w:rsidRPr="00DF3703">
        <w:rPr>
          <w:rFonts w:ascii="Arial" w:hAnsi="Arial"/>
        </w:rPr>
        <w:lastRenderedPageBreak/>
        <w:t xml:space="preserve">Chapter </w:t>
      </w:r>
      <w:fldSimple w:instr=" REF _Ref335144310 \r \h  \* MERGEFORMAT ">
        <w:r w:rsidR="00536D7E">
          <w:t>2</w:t>
        </w:r>
      </w:fldSimple>
      <w:r w:rsidRPr="00DF3703">
        <w:rPr>
          <w:rFonts w:ascii="Arial" w:hAnsi="Arial"/>
        </w:rPr>
        <w:t xml:space="preserve"> gives a brief background of the </w:t>
      </w:r>
      <w:r w:rsidR="00036279" w:rsidRPr="00DF3703">
        <w:rPr>
          <w:rFonts w:ascii="Arial" w:hAnsi="Arial"/>
        </w:rPr>
        <w:t>Reef</w:t>
      </w:r>
      <w:r w:rsidRPr="00DF3703">
        <w:rPr>
          <w:rFonts w:ascii="Arial" w:hAnsi="Arial"/>
        </w:rPr>
        <w:t xml:space="preserve"> and outlines the key economic information </w:t>
      </w:r>
      <w:r w:rsidR="006917D0" w:rsidRPr="00DF3703">
        <w:rPr>
          <w:rFonts w:ascii="Arial" w:hAnsi="Arial"/>
        </w:rPr>
        <w:t xml:space="preserve">for the catchment </w:t>
      </w:r>
      <w:r w:rsidRPr="00DF3703">
        <w:rPr>
          <w:rFonts w:ascii="Arial" w:hAnsi="Arial"/>
        </w:rPr>
        <w:t xml:space="preserve">including the industry structure and occupations.  The information is provided </w:t>
      </w:r>
      <w:r w:rsidR="006917D0" w:rsidRPr="00DF3703">
        <w:rPr>
          <w:rFonts w:ascii="Arial" w:hAnsi="Arial"/>
        </w:rPr>
        <w:t>for the NRM regions.</w:t>
      </w:r>
    </w:p>
    <w:p w:rsidR="00EB23E0" w:rsidRPr="00DF3703" w:rsidRDefault="006B7D88" w:rsidP="00EB23E0">
      <w:pPr>
        <w:pStyle w:val="Bullet1"/>
        <w:rPr>
          <w:rFonts w:ascii="Arial" w:hAnsi="Arial"/>
        </w:rPr>
      </w:pPr>
      <w:r w:rsidRPr="00DF3703">
        <w:rPr>
          <w:rFonts w:ascii="Arial" w:hAnsi="Arial"/>
        </w:rPr>
        <w:t xml:space="preserve">Chapters 3 - 6 provide an account of the economic </w:t>
      </w:r>
      <w:r w:rsidR="006917D0" w:rsidRPr="00DF3703">
        <w:rPr>
          <w:rFonts w:ascii="Arial" w:hAnsi="Arial"/>
        </w:rPr>
        <w:t xml:space="preserve">contribution for each of the four industries: tourism, commercial fishing and aquaculture, recreation, and scientific research and </w:t>
      </w:r>
      <w:r w:rsidR="00F943D7" w:rsidRPr="00DF3703">
        <w:rPr>
          <w:rFonts w:ascii="Arial" w:hAnsi="Arial"/>
        </w:rPr>
        <w:t>R</w:t>
      </w:r>
      <w:r w:rsidR="006917D0" w:rsidRPr="00DF3703">
        <w:rPr>
          <w:rFonts w:ascii="Arial" w:hAnsi="Arial"/>
        </w:rPr>
        <w:t>eef management.</w:t>
      </w:r>
    </w:p>
    <w:p w:rsidR="00EB23E0" w:rsidRPr="00DF3703" w:rsidRDefault="006B7D88" w:rsidP="00EB23E0">
      <w:pPr>
        <w:pStyle w:val="Bullet1"/>
        <w:rPr>
          <w:rFonts w:ascii="Arial" w:hAnsi="Arial"/>
        </w:rPr>
      </w:pPr>
      <w:r w:rsidRPr="00DF3703">
        <w:rPr>
          <w:rFonts w:ascii="Arial" w:hAnsi="Arial"/>
        </w:rPr>
        <w:t xml:space="preserve">Chapter </w:t>
      </w:r>
      <w:fldSimple w:instr=" REF _Ref335204677 \r \h  \* MERGEFORMAT ">
        <w:r w:rsidR="00536D7E">
          <w:t>7</w:t>
        </w:r>
      </w:fldSimple>
      <w:r w:rsidRPr="00DF3703">
        <w:rPr>
          <w:rFonts w:ascii="Arial" w:hAnsi="Arial"/>
        </w:rPr>
        <w:t xml:space="preserve"> summarizes the economic contribution of all industries</w:t>
      </w:r>
      <w:r w:rsidR="006917D0" w:rsidRPr="00DF3703">
        <w:rPr>
          <w:rFonts w:ascii="Arial" w:hAnsi="Arial"/>
        </w:rPr>
        <w:t>.</w:t>
      </w:r>
    </w:p>
    <w:p w:rsidR="00EB23E0" w:rsidRPr="00DF3703" w:rsidRDefault="00EB023D" w:rsidP="00EB23E0">
      <w:pPr>
        <w:pStyle w:val="Bullet1"/>
        <w:rPr>
          <w:rFonts w:ascii="Arial" w:hAnsi="Arial"/>
        </w:rPr>
      </w:pPr>
      <w:fldSimple w:instr=" REF _Ref340916226 \r \h  \* MERGEFORMAT ">
        <w:r w:rsidR="00536D7E" w:rsidRPr="00536D7E">
          <w:rPr>
            <w:rFonts w:ascii="Arial" w:hAnsi="Arial"/>
          </w:rPr>
          <w:t>Appendix A</w:t>
        </w:r>
      </w:fldSimple>
      <w:r w:rsidR="006B7D88" w:rsidRPr="00DF3703">
        <w:rPr>
          <w:rFonts w:ascii="Arial" w:hAnsi="Arial"/>
        </w:rPr>
        <w:t xml:space="preserve"> outlines the tourist economic contribution using the Tourism Satellite Account </w:t>
      </w:r>
      <w:r w:rsidR="008D02A5" w:rsidRPr="00DF3703">
        <w:rPr>
          <w:rFonts w:ascii="Arial" w:hAnsi="Arial"/>
        </w:rPr>
        <w:t>method</w:t>
      </w:r>
      <w:r w:rsidR="006B7D88" w:rsidRPr="00DF3703">
        <w:rPr>
          <w:rFonts w:ascii="Arial" w:hAnsi="Arial"/>
        </w:rPr>
        <w:t>.</w:t>
      </w:r>
    </w:p>
    <w:p w:rsidR="00423B5C" w:rsidRPr="00DF3703" w:rsidRDefault="00EB023D" w:rsidP="00A65D32">
      <w:pPr>
        <w:pStyle w:val="Bullet1"/>
        <w:rPr>
          <w:rFonts w:ascii="Arial" w:hAnsi="Arial"/>
        </w:rPr>
      </w:pPr>
      <w:fldSimple w:instr=" REF _Ref340916249 \r \h  \* MERGEFORMAT ">
        <w:r w:rsidR="00536D7E" w:rsidRPr="00536D7E">
          <w:rPr>
            <w:rFonts w:ascii="Arial" w:hAnsi="Arial"/>
          </w:rPr>
          <w:t>Appendix B</w:t>
        </w:r>
      </w:fldSimple>
      <w:r w:rsidR="006B7D88" w:rsidRPr="00DF3703">
        <w:rPr>
          <w:rFonts w:ascii="Arial" w:hAnsi="Arial"/>
        </w:rPr>
        <w:t xml:space="preserve"> outlines the</w:t>
      </w:r>
      <w:r w:rsidR="006917D0" w:rsidRPr="00DF3703">
        <w:rPr>
          <w:rFonts w:ascii="Arial" w:hAnsi="Arial"/>
        </w:rPr>
        <w:t xml:space="preserve"> </w:t>
      </w:r>
      <w:r w:rsidR="008D02A5" w:rsidRPr="00DF3703">
        <w:rPr>
          <w:rFonts w:ascii="Arial" w:hAnsi="Arial"/>
        </w:rPr>
        <w:t>method</w:t>
      </w:r>
      <w:r w:rsidR="006917D0" w:rsidRPr="00DF3703">
        <w:rPr>
          <w:rFonts w:ascii="Arial" w:hAnsi="Arial"/>
        </w:rPr>
        <w:t xml:space="preserve"> and the</w:t>
      </w:r>
      <w:r w:rsidR="006B7D88" w:rsidRPr="00DF3703">
        <w:rPr>
          <w:rFonts w:ascii="Arial" w:hAnsi="Arial"/>
        </w:rPr>
        <w:t xml:space="preserve"> limitations of the economic contribution modelling framework.</w:t>
      </w:r>
    </w:p>
    <w:p w:rsidR="00A65D32" w:rsidRPr="00DF3703" w:rsidRDefault="006B7D88" w:rsidP="00A65D32">
      <w:pPr>
        <w:pStyle w:val="Heading1"/>
        <w:rPr>
          <w:rFonts w:ascii="Segoe UI" w:hAnsi="Segoe UI" w:cs="Segoe UI"/>
        </w:rPr>
      </w:pPr>
      <w:bookmarkStart w:id="39" w:name="_Ref335144310"/>
      <w:bookmarkStart w:id="40" w:name="_Toc340243181"/>
      <w:bookmarkStart w:id="41" w:name="_Toc355700979"/>
      <w:r w:rsidRPr="00DF3703">
        <w:rPr>
          <w:rFonts w:ascii="Segoe UI" w:hAnsi="Segoe UI" w:cs="Segoe UI"/>
        </w:rPr>
        <w:lastRenderedPageBreak/>
        <w:t>The Great Barrier Reef</w:t>
      </w:r>
      <w:bookmarkEnd w:id="39"/>
      <w:bookmarkEnd w:id="40"/>
      <w:bookmarkEnd w:id="41"/>
    </w:p>
    <w:p w:rsidR="00A65D32" w:rsidRPr="00DF3703" w:rsidRDefault="006B7D88" w:rsidP="00A65D32">
      <w:pPr>
        <w:pStyle w:val="BodyText"/>
        <w:rPr>
          <w:rFonts w:ascii="Arial" w:hAnsi="Arial" w:cs="Arial"/>
        </w:rPr>
      </w:pPr>
      <w:r w:rsidRPr="00DF3703">
        <w:rPr>
          <w:rFonts w:ascii="Arial" w:hAnsi="Arial" w:cs="Arial"/>
        </w:rPr>
        <w:t>The Great Barrier Reef</w:t>
      </w:r>
      <w:r w:rsidR="000C33F7" w:rsidRPr="00DF3703">
        <w:t xml:space="preserve"> </w:t>
      </w:r>
      <w:r w:rsidRPr="00DF3703">
        <w:rPr>
          <w:rFonts w:ascii="Arial" w:hAnsi="Arial" w:cs="Arial"/>
        </w:rPr>
        <w:t>is one of Australia’s national treasures. It is the world’s largest coral reef system</w:t>
      </w:r>
      <w:r w:rsidR="00AB1C3F" w:rsidRPr="00DF3703">
        <w:rPr>
          <w:rFonts w:ascii="Arial" w:hAnsi="Arial" w:cs="Arial"/>
        </w:rPr>
        <w:t xml:space="preserve"> and</w:t>
      </w:r>
      <w:r w:rsidRPr="00DF3703">
        <w:rPr>
          <w:rFonts w:ascii="Arial" w:hAnsi="Arial" w:cs="Arial"/>
        </w:rPr>
        <w:t xml:space="preserve"> was world heritage listed by UNESCO in 1981. </w:t>
      </w:r>
    </w:p>
    <w:p w:rsidR="00A65D32" w:rsidRPr="00DF3703" w:rsidRDefault="006B7D88" w:rsidP="00A65D32">
      <w:pPr>
        <w:pStyle w:val="BodyText"/>
        <w:rPr>
          <w:rFonts w:ascii="Arial" w:hAnsi="Arial" w:cs="Arial"/>
        </w:rPr>
      </w:pPr>
      <w:r w:rsidRPr="00DF3703">
        <w:rPr>
          <w:rFonts w:ascii="Arial" w:hAnsi="Arial" w:cs="Arial"/>
        </w:rPr>
        <w:t xml:space="preserve">As illustrated in </w:t>
      </w:r>
      <w:fldSimple w:instr=" REF _Ref336529035 \r \h  \* MERGEFORMAT ">
        <w:r w:rsidR="00536D7E" w:rsidRPr="00536D7E">
          <w:rPr>
            <w:rFonts w:ascii="Arial" w:hAnsi="Arial" w:cs="Arial"/>
          </w:rPr>
          <w:t>Figure 2.1</w:t>
        </w:r>
      </w:fldSimple>
      <w:r w:rsidRPr="00DF3703">
        <w:rPr>
          <w:rFonts w:ascii="Arial" w:hAnsi="Arial" w:cs="Arial"/>
        </w:rPr>
        <w:t xml:space="preserve">,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area was disaggregated into NRM regions</w:t>
      </w:r>
      <w:r w:rsidR="00083215" w:rsidRPr="00DF3703">
        <w:rPr>
          <w:rFonts w:ascii="Arial" w:hAnsi="Arial" w:cs="Arial"/>
        </w:rPr>
        <w:t>.</w:t>
      </w:r>
      <w:r w:rsidR="00B1115C" w:rsidRPr="00DF3703">
        <w:rPr>
          <w:rFonts w:ascii="Arial" w:hAnsi="Arial" w:cs="Arial"/>
        </w:rPr>
        <w:t xml:space="preserve">  </w:t>
      </w:r>
    </w:p>
    <w:p w:rsidR="00B1115C" w:rsidRPr="00DF3703" w:rsidRDefault="006B7D88" w:rsidP="00B1115C">
      <w:pPr>
        <w:pStyle w:val="CaptionFigure"/>
        <w:spacing w:before="120" w:after="0"/>
        <w:rPr>
          <w:rFonts w:ascii="Arial" w:hAnsi="Arial" w:cs="Arial"/>
        </w:rPr>
      </w:pPr>
      <w:bookmarkStart w:id="42" w:name="_Ref336529035"/>
      <w:bookmarkStart w:id="43" w:name="_Toc340243217"/>
      <w:bookmarkStart w:id="44" w:name="_Toc355701071"/>
      <w:r w:rsidRPr="00DF3703">
        <w:rPr>
          <w:rFonts w:ascii="Arial" w:hAnsi="Arial" w:cs="Arial"/>
        </w:rPr>
        <w:t xml:space="preserve">: Great Barrier Reef </w:t>
      </w:r>
      <w:r w:rsidR="00083215" w:rsidRPr="00DF3703">
        <w:rPr>
          <w:rFonts w:ascii="Arial" w:hAnsi="Arial" w:cs="Arial"/>
        </w:rPr>
        <w:t>Catchment NRM Regions</w:t>
      </w:r>
      <w:bookmarkEnd w:id="42"/>
      <w:bookmarkEnd w:id="43"/>
      <w:bookmarkEnd w:id="44"/>
    </w:p>
    <w:p w:rsidR="00A65D32" w:rsidRPr="00DF3703" w:rsidRDefault="00895ECA" w:rsidP="00B1115C">
      <w:pPr>
        <w:pStyle w:val="BodyText"/>
        <w:spacing w:before="0"/>
        <w:jc w:val="center"/>
        <w:rPr>
          <w:rFonts w:ascii="Arial" w:hAnsi="Arial" w:cs="Arial"/>
        </w:rPr>
      </w:pPr>
      <w:r w:rsidRPr="00DF3703">
        <w:rPr>
          <w:rFonts w:ascii="Arial" w:hAnsi="Arial" w:cs="Arial"/>
          <w:noProof/>
          <w:lang w:eastAsia="en-AU"/>
        </w:rPr>
        <w:drawing>
          <wp:inline distT="0" distB="0" distL="0" distR="0">
            <wp:extent cx="4448660" cy="6296417"/>
            <wp:effectExtent l="0" t="0" r="9525" b="0"/>
            <wp:docPr id="1" name="Picture 1" descr="The map shows the location of the Great Barrier Reef Marine Park and the Great Barrier Reef catchment which is divided into the following NRM management areas: Burnett Mary, Fitzroy, Mackay-Whitsunday, Burdekin, Far North Queensland, Cape York and Torres Stra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g\AppData\Local\Microsoft\Windows\Temporary Internet Files\Content.Outlook\KJL6ANYQ\120326_RMRegionalBodies_Catchments_April201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4883" cy="6305225"/>
                    </a:xfrm>
                    <a:prstGeom prst="rect">
                      <a:avLst/>
                    </a:prstGeom>
                    <a:noFill/>
                    <a:ln>
                      <a:noFill/>
                    </a:ln>
                  </pic:spPr>
                </pic:pic>
              </a:graphicData>
            </a:graphic>
          </wp:inline>
        </w:drawing>
      </w:r>
    </w:p>
    <w:p w:rsidR="00A65D32" w:rsidRPr="00DF3703" w:rsidRDefault="006B7D88" w:rsidP="00A65D32">
      <w:pPr>
        <w:pStyle w:val="Source"/>
        <w:ind w:left="993"/>
        <w:rPr>
          <w:rFonts w:ascii="Arial" w:hAnsi="Arial"/>
        </w:rPr>
      </w:pPr>
      <w:r w:rsidRPr="00DF3703">
        <w:rPr>
          <w:rFonts w:ascii="Arial" w:hAnsi="Arial"/>
        </w:rPr>
        <w:t>S</w:t>
      </w:r>
      <w:r w:rsidR="00B1115C" w:rsidRPr="00DF3703">
        <w:rPr>
          <w:rFonts w:ascii="Arial" w:hAnsi="Arial"/>
        </w:rPr>
        <w:t>ource: GBRMPA</w:t>
      </w:r>
    </w:p>
    <w:p w:rsidR="00A65D32" w:rsidRPr="00DF3703" w:rsidRDefault="006B7D88" w:rsidP="00FE76E3">
      <w:pPr>
        <w:pStyle w:val="Heading2"/>
        <w:numPr>
          <w:ilvl w:val="1"/>
          <w:numId w:val="39"/>
        </w:numPr>
        <w:ind w:hanging="709"/>
        <w:rPr>
          <w:rFonts w:ascii="Arial" w:hAnsi="Arial" w:cs="Arial"/>
          <w:sz w:val="32"/>
          <w:szCs w:val="32"/>
        </w:rPr>
      </w:pPr>
      <w:bookmarkStart w:id="45" w:name="_Toc340243185"/>
      <w:bookmarkStart w:id="46" w:name="_Toc355700980"/>
      <w:r w:rsidRPr="00DF3703">
        <w:rPr>
          <w:rFonts w:ascii="Arial" w:hAnsi="Arial" w:cs="Arial"/>
          <w:sz w:val="32"/>
          <w:szCs w:val="32"/>
        </w:rPr>
        <w:lastRenderedPageBreak/>
        <w:t xml:space="preserve">Economic profile of the </w:t>
      </w:r>
      <w:r w:rsidR="003C4DCF" w:rsidRPr="00DF3703">
        <w:rPr>
          <w:rFonts w:ascii="Arial" w:hAnsi="Arial" w:cs="Arial"/>
          <w:sz w:val="32"/>
          <w:szCs w:val="32"/>
        </w:rPr>
        <w:t>catchment</w:t>
      </w:r>
      <w:r w:rsidRPr="00DF3703">
        <w:rPr>
          <w:rFonts w:ascii="Arial" w:hAnsi="Arial" w:cs="Arial"/>
          <w:sz w:val="32"/>
          <w:szCs w:val="32"/>
        </w:rPr>
        <w:t xml:space="preserve"> – 2011</w:t>
      </w:r>
      <w:bookmarkEnd w:id="45"/>
      <w:bookmarkEnd w:id="46"/>
    </w:p>
    <w:p w:rsidR="00A65D32" w:rsidRPr="00DF3703" w:rsidRDefault="006B7D88" w:rsidP="00A65D32">
      <w:pPr>
        <w:pStyle w:val="HeadingB"/>
        <w:rPr>
          <w:rFonts w:ascii="Arial" w:hAnsi="Arial" w:cs="Arial"/>
          <w:sz w:val="24"/>
          <w:szCs w:val="24"/>
        </w:rPr>
      </w:pPr>
      <w:r w:rsidRPr="00DF3703">
        <w:rPr>
          <w:rFonts w:ascii="Arial" w:hAnsi="Arial" w:cs="Arial"/>
          <w:sz w:val="24"/>
          <w:szCs w:val="24"/>
        </w:rPr>
        <w:t>Population and income</w:t>
      </w:r>
    </w:p>
    <w:bookmarkStart w:id="47" w:name="_Ref336595670"/>
    <w:bookmarkStart w:id="48" w:name="_Toc340243218"/>
    <w:p w:rsidR="00DA2632" w:rsidRPr="00DF3703" w:rsidRDefault="00EB023D" w:rsidP="00DA2632">
      <w:pPr>
        <w:pStyle w:val="BodyText"/>
        <w:rPr>
          <w:rFonts w:ascii="Arial" w:hAnsi="Arial" w:cs="Arial"/>
        </w:rPr>
      </w:pPr>
      <w:r w:rsidRPr="00DF3703">
        <w:rPr>
          <w:rFonts w:ascii="Arial" w:hAnsi="Arial" w:cs="Arial"/>
        </w:rPr>
        <w:fldChar w:fldCharType="begin"/>
      </w:r>
      <w:r w:rsidR="006B7D88" w:rsidRPr="00DF3703">
        <w:rPr>
          <w:rFonts w:ascii="Arial" w:hAnsi="Arial" w:cs="Arial"/>
        </w:rPr>
        <w:instrText xml:space="preserve"> REF _Ref336529162 \r \h </w:instrText>
      </w:r>
      <w:r w:rsidR="009669FC" w:rsidRPr="00DF3703">
        <w:rPr>
          <w:rFonts w:ascii="Arial" w:hAnsi="Arial" w:cs="Arial"/>
        </w:rPr>
        <w:instrText xml:space="preserve"> \* MERGEFORMAT </w:instrText>
      </w:r>
      <w:r w:rsidRPr="00DF3703">
        <w:rPr>
          <w:rFonts w:ascii="Arial" w:hAnsi="Arial" w:cs="Arial"/>
        </w:rPr>
      </w:r>
      <w:r w:rsidRPr="00DF3703">
        <w:rPr>
          <w:rFonts w:ascii="Arial" w:hAnsi="Arial" w:cs="Arial"/>
        </w:rPr>
        <w:fldChar w:fldCharType="separate"/>
      </w:r>
      <w:r w:rsidR="00536D7E">
        <w:rPr>
          <w:rFonts w:ascii="Arial" w:hAnsi="Arial" w:cs="Arial"/>
        </w:rPr>
        <w:t>Table 2.1</w:t>
      </w:r>
      <w:r w:rsidRPr="00DF3703">
        <w:rPr>
          <w:rFonts w:ascii="Arial" w:hAnsi="Arial" w:cs="Arial"/>
        </w:rPr>
        <w:fldChar w:fldCharType="end"/>
      </w:r>
      <w:r w:rsidR="006B7D88" w:rsidRPr="00DF3703">
        <w:rPr>
          <w:rFonts w:ascii="Arial" w:hAnsi="Arial" w:cs="Arial"/>
        </w:rPr>
        <w:t xml:space="preserve"> presents key population, household and income statistics for each of the seven NRM regions within the </w:t>
      </w:r>
      <w:r w:rsidR="00083215" w:rsidRPr="00DF3703">
        <w:rPr>
          <w:rFonts w:ascii="Arial" w:hAnsi="Arial" w:cs="Arial"/>
        </w:rPr>
        <w:t>catchment</w:t>
      </w:r>
      <w:r w:rsidR="006B7D88" w:rsidRPr="00DF3703">
        <w:rPr>
          <w:rFonts w:ascii="Arial" w:hAnsi="Arial" w:cs="Arial"/>
        </w:rPr>
        <w:t xml:space="preserve"> from the 2011 Census of Population and Housing.</w:t>
      </w:r>
    </w:p>
    <w:p w:rsidR="00DA2632" w:rsidRPr="00DF3703" w:rsidRDefault="006B7D88" w:rsidP="00DA2632">
      <w:pPr>
        <w:pStyle w:val="BodyText"/>
        <w:rPr>
          <w:rFonts w:ascii="Arial" w:hAnsi="Arial" w:cs="Arial"/>
        </w:rPr>
      </w:pPr>
      <w:r w:rsidRPr="00DF3703">
        <w:rPr>
          <w:rFonts w:ascii="Arial" w:hAnsi="Arial" w:cs="Arial"/>
        </w:rPr>
        <w:t xml:space="preserve">In 2011, over 1.1 million people lived across the regions, with the Burnett Mary and </w:t>
      </w:r>
      <w:r w:rsidR="00B411F6" w:rsidRPr="00DF3703">
        <w:rPr>
          <w:rFonts w:ascii="Arial" w:hAnsi="Arial" w:cs="Arial"/>
        </w:rPr>
        <w:t>the Wet Tropics</w:t>
      </w:r>
      <w:r w:rsidRPr="00DF3703">
        <w:rPr>
          <w:rFonts w:ascii="Arial" w:hAnsi="Arial" w:cs="Arial"/>
        </w:rPr>
        <w:t xml:space="preserve"> regions home to the largest share of the population.  The Mackay Whitsunday</w:t>
      </w:r>
      <w:r w:rsidR="00B411F6" w:rsidRPr="00DF3703">
        <w:rPr>
          <w:rFonts w:ascii="Arial" w:hAnsi="Arial" w:cs="Arial"/>
        </w:rPr>
        <w:t xml:space="preserve"> and the Fitzroy</w:t>
      </w:r>
      <w:r w:rsidRPr="00DF3703">
        <w:rPr>
          <w:rFonts w:ascii="Arial" w:hAnsi="Arial" w:cs="Arial"/>
        </w:rPr>
        <w:t xml:space="preserve"> region</w:t>
      </w:r>
      <w:r w:rsidR="00B411F6" w:rsidRPr="00DF3703">
        <w:rPr>
          <w:rFonts w:ascii="Arial" w:hAnsi="Arial" w:cs="Arial"/>
        </w:rPr>
        <w:t>s</w:t>
      </w:r>
      <w:r w:rsidRPr="00DF3703">
        <w:rPr>
          <w:rFonts w:ascii="Arial" w:hAnsi="Arial" w:cs="Arial"/>
        </w:rPr>
        <w:t xml:space="preserve"> had the highest average individual income of</w:t>
      </w:r>
      <w:r w:rsidR="00B411F6" w:rsidRPr="00DF3703">
        <w:rPr>
          <w:rFonts w:ascii="Arial" w:hAnsi="Arial" w:cs="Arial"/>
        </w:rPr>
        <w:t xml:space="preserve"> about</w:t>
      </w:r>
      <w:r w:rsidRPr="00DF3703">
        <w:rPr>
          <w:rFonts w:ascii="Arial" w:hAnsi="Arial" w:cs="Arial"/>
        </w:rPr>
        <w:t xml:space="preserve"> $47,</w:t>
      </w:r>
      <w:r w:rsidR="00B411F6" w:rsidRPr="00DF3703">
        <w:rPr>
          <w:rFonts w:ascii="Arial" w:hAnsi="Arial" w:cs="Arial"/>
        </w:rPr>
        <w:t>000</w:t>
      </w:r>
      <w:r w:rsidRPr="00DF3703">
        <w:rPr>
          <w:rFonts w:ascii="Arial" w:hAnsi="Arial" w:cs="Arial"/>
        </w:rPr>
        <w:t xml:space="preserve"> which is </w:t>
      </w:r>
      <w:r w:rsidR="00B411F6" w:rsidRPr="00DF3703">
        <w:rPr>
          <w:rFonts w:ascii="Arial" w:hAnsi="Arial" w:cs="Arial"/>
        </w:rPr>
        <w:t xml:space="preserve">about </w:t>
      </w:r>
      <w:r w:rsidRPr="00DF3703">
        <w:rPr>
          <w:rFonts w:ascii="Arial" w:hAnsi="Arial" w:cs="Arial"/>
        </w:rPr>
        <w:t xml:space="preserve">$6,000 higher than the state average.  </w:t>
      </w:r>
    </w:p>
    <w:p w:rsidR="00DA2632" w:rsidRPr="00DF3703" w:rsidRDefault="006B7D88" w:rsidP="00DA2632">
      <w:pPr>
        <w:pStyle w:val="CaptionTable"/>
        <w:numPr>
          <w:ilvl w:val="6"/>
          <w:numId w:val="28"/>
        </w:numPr>
        <w:ind w:left="0"/>
        <w:rPr>
          <w:rFonts w:ascii="Arial" w:hAnsi="Arial" w:cs="Arial"/>
        </w:rPr>
      </w:pPr>
      <w:bookmarkStart w:id="49" w:name="_Ref336529162"/>
      <w:bookmarkStart w:id="50" w:name="_Toc355701048"/>
      <w:r w:rsidRPr="00DF3703">
        <w:rPr>
          <w:rFonts w:ascii="Arial" w:hAnsi="Arial" w:cs="Arial"/>
        </w:rPr>
        <w:t>: Population, household and income snapshot, 2011</w:t>
      </w:r>
      <w:bookmarkEnd w:id="49"/>
      <w:bookmarkEnd w:id="50"/>
    </w:p>
    <w:tbl>
      <w:tblPr>
        <w:tblStyle w:val="TableAE"/>
        <w:tblW w:w="0" w:type="auto"/>
        <w:tblLook w:val="04A0"/>
      </w:tblPr>
      <w:tblGrid>
        <w:gridCol w:w="1897"/>
        <w:gridCol w:w="1106"/>
        <w:gridCol w:w="1457"/>
        <w:gridCol w:w="1243"/>
        <w:gridCol w:w="2733"/>
      </w:tblGrid>
      <w:tr w:rsidR="00DA2632" w:rsidRPr="00DF3703" w:rsidTr="00DA2632">
        <w:trPr>
          <w:cnfStyle w:val="100000000000"/>
        </w:trPr>
        <w:tc>
          <w:tcPr>
            <w:tcW w:w="0" w:type="auto"/>
          </w:tcPr>
          <w:p w:rsidR="00DA2632" w:rsidRPr="00DF3703" w:rsidRDefault="006B7D88" w:rsidP="00DA2632">
            <w:pPr>
              <w:pStyle w:val="TableHeadingCentre"/>
              <w:jc w:val="left"/>
              <w:rPr>
                <w:rFonts w:ascii="Arial" w:hAnsi="Arial" w:cs="Arial"/>
              </w:rPr>
            </w:pPr>
            <w:r w:rsidRPr="00DF3703">
              <w:rPr>
                <w:rFonts w:ascii="Arial" w:hAnsi="Arial" w:cs="Arial"/>
              </w:rPr>
              <w:t>NRM</w:t>
            </w:r>
          </w:p>
        </w:tc>
        <w:tc>
          <w:tcPr>
            <w:tcW w:w="0" w:type="auto"/>
          </w:tcPr>
          <w:p w:rsidR="00DA2632" w:rsidRPr="00DF3703" w:rsidRDefault="006B7D88" w:rsidP="003E6A5C">
            <w:pPr>
              <w:pStyle w:val="TableHeadingCentre"/>
              <w:rPr>
                <w:rFonts w:ascii="Arial" w:hAnsi="Arial" w:cs="Arial"/>
              </w:rPr>
            </w:pPr>
            <w:r w:rsidRPr="00DF3703">
              <w:rPr>
                <w:rFonts w:ascii="Arial" w:hAnsi="Arial" w:cs="Arial"/>
              </w:rPr>
              <w:t>Persons</w:t>
            </w:r>
          </w:p>
        </w:tc>
        <w:tc>
          <w:tcPr>
            <w:tcW w:w="0" w:type="auto"/>
          </w:tcPr>
          <w:p w:rsidR="00DA2632" w:rsidRPr="00DF3703" w:rsidRDefault="006B7D88" w:rsidP="003E6A5C">
            <w:pPr>
              <w:pStyle w:val="TableHeadingCentre"/>
              <w:rPr>
                <w:rFonts w:ascii="Arial" w:hAnsi="Arial" w:cs="Arial"/>
              </w:rPr>
            </w:pPr>
            <w:r w:rsidRPr="00DF3703">
              <w:rPr>
                <w:rFonts w:ascii="Arial" w:hAnsi="Arial" w:cs="Arial"/>
              </w:rPr>
              <w:t>Average age</w:t>
            </w:r>
          </w:p>
        </w:tc>
        <w:tc>
          <w:tcPr>
            <w:tcW w:w="0" w:type="auto"/>
          </w:tcPr>
          <w:p w:rsidR="00DA2632" w:rsidRPr="00DF3703" w:rsidRDefault="006B7D88" w:rsidP="003E6A5C">
            <w:pPr>
              <w:pStyle w:val="TableHeadingCentre"/>
              <w:rPr>
                <w:rFonts w:ascii="Arial" w:hAnsi="Arial" w:cs="Arial"/>
              </w:rPr>
            </w:pPr>
            <w:r w:rsidRPr="00DF3703">
              <w:rPr>
                <w:rFonts w:ascii="Arial" w:hAnsi="Arial" w:cs="Arial"/>
              </w:rPr>
              <w:t>Dwellings</w:t>
            </w:r>
          </w:p>
        </w:tc>
        <w:tc>
          <w:tcPr>
            <w:tcW w:w="0" w:type="auto"/>
          </w:tcPr>
          <w:p w:rsidR="00DA2632" w:rsidRPr="00DF3703" w:rsidRDefault="006B7D88" w:rsidP="003E6A5C">
            <w:pPr>
              <w:pStyle w:val="TableHeadingCentre"/>
              <w:rPr>
                <w:rFonts w:ascii="Arial" w:hAnsi="Arial" w:cs="Arial"/>
              </w:rPr>
            </w:pPr>
            <w:r w:rsidRPr="00DF3703">
              <w:rPr>
                <w:rFonts w:ascii="Arial" w:hAnsi="Arial" w:cs="Arial"/>
              </w:rPr>
              <w:t>Average individual income</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Cape York</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13,758</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31</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5,457</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$38,185</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Wet Tropics</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237,351</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37</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109,286</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$38,351</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Torres Strait</w:t>
            </w:r>
          </w:p>
        </w:tc>
        <w:tc>
          <w:tcPr>
            <w:tcW w:w="0" w:type="auto"/>
            <w:vAlign w:val="center"/>
          </w:tcPr>
          <w:p w:rsidR="009C7772" w:rsidRPr="00DF3703" w:rsidRDefault="009C7772" w:rsidP="009C7772">
            <w:pPr>
              <w:pStyle w:val="TabletextLeft"/>
              <w:jc w:val="right"/>
              <w:rPr>
                <w:rFonts w:ascii="Arial" w:hAnsi="Arial" w:cs="Arial"/>
              </w:rPr>
            </w:pPr>
            <w:r w:rsidRPr="00DF3703">
              <w:rPr>
                <w:rFonts w:ascii="Arial" w:hAnsi="Arial" w:cs="Arial"/>
                <w:color w:val="000000"/>
              </w:rPr>
              <w:t>7,489</w:t>
            </w:r>
          </w:p>
        </w:tc>
        <w:tc>
          <w:tcPr>
            <w:tcW w:w="0" w:type="auto"/>
            <w:vAlign w:val="center"/>
          </w:tcPr>
          <w:p w:rsidR="009C7772" w:rsidRPr="00DF3703" w:rsidRDefault="009C7772" w:rsidP="009C7772">
            <w:pPr>
              <w:pStyle w:val="TabletextLeft"/>
              <w:jc w:val="right"/>
              <w:rPr>
                <w:rFonts w:ascii="Arial" w:hAnsi="Arial" w:cs="Arial"/>
              </w:rPr>
            </w:pPr>
            <w:r w:rsidRPr="00DF3703">
              <w:rPr>
                <w:rFonts w:ascii="Arial" w:hAnsi="Arial" w:cs="Arial"/>
                <w:color w:val="000000"/>
              </w:rPr>
              <w:t>28</w:t>
            </w:r>
          </w:p>
        </w:tc>
        <w:tc>
          <w:tcPr>
            <w:tcW w:w="0" w:type="auto"/>
            <w:vAlign w:val="center"/>
          </w:tcPr>
          <w:p w:rsidR="009C7772" w:rsidRPr="00DF3703" w:rsidRDefault="009C7772" w:rsidP="009C7772">
            <w:pPr>
              <w:pStyle w:val="TabletextLeft"/>
              <w:jc w:val="right"/>
              <w:rPr>
                <w:rFonts w:ascii="Arial" w:hAnsi="Arial" w:cs="Arial"/>
              </w:rPr>
            </w:pPr>
            <w:r w:rsidRPr="00DF3703">
              <w:rPr>
                <w:rFonts w:ascii="Arial" w:hAnsi="Arial" w:cs="Arial"/>
                <w:color w:val="000000"/>
              </w:rPr>
              <w:t>2,329</w:t>
            </w:r>
          </w:p>
        </w:tc>
        <w:tc>
          <w:tcPr>
            <w:tcW w:w="0" w:type="auto"/>
            <w:vAlign w:val="center"/>
          </w:tcPr>
          <w:p w:rsidR="009C7772" w:rsidRPr="00DF3703" w:rsidRDefault="009C7772" w:rsidP="009C7772">
            <w:pPr>
              <w:pStyle w:val="TabletextLeft"/>
              <w:jc w:val="right"/>
              <w:rPr>
                <w:rFonts w:ascii="Arial" w:hAnsi="Arial" w:cs="Arial"/>
              </w:rPr>
            </w:pPr>
            <w:r w:rsidRPr="00DF3703">
              <w:rPr>
                <w:rFonts w:ascii="Arial" w:hAnsi="Arial" w:cs="Arial"/>
                <w:color w:val="000000"/>
              </w:rPr>
              <w:t>$33,707</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Burdekin</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222,116</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35</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95,310</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$42,698</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Mackay Whitsunday</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131,537</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36</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55,065</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$46,994</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Fitzroy</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227,830</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35</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99,170</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$46,943</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Burnett Mary</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301,052</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41</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142,143</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$32,065</w:t>
            </w:r>
          </w:p>
        </w:tc>
      </w:tr>
      <w:tr w:rsidR="009C7772" w:rsidRPr="00DF3703" w:rsidTr="009C7772">
        <w:tc>
          <w:tcPr>
            <w:tcW w:w="0" w:type="auto"/>
            <w:vAlign w:val="center"/>
          </w:tcPr>
          <w:p w:rsidR="009C7772" w:rsidRPr="00DF3703" w:rsidRDefault="009C7772" w:rsidP="00DA2632">
            <w:pPr>
              <w:pStyle w:val="TabletextLeft"/>
              <w:rPr>
                <w:rFonts w:ascii="Arial" w:hAnsi="Arial" w:cs="Arial"/>
              </w:rPr>
            </w:pPr>
            <w:r w:rsidRPr="00DF3703">
              <w:rPr>
                <w:rFonts w:ascii="Arial" w:hAnsi="Arial" w:cs="Arial"/>
                <w:color w:val="000000"/>
              </w:rPr>
              <w:t>Queensland</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4,332,737</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38</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1,831,961</w:t>
            </w:r>
          </w:p>
        </w:tc>
        <w:tc>
          <w:tcPr>
            <w:tcW w:w="0" w:type="auto"/>
            <w:vAlign w:val="center"/>
          </w:tcPr>
          <w:p w:rsidR="009C7772" w:rsidRPr="00DF3703" w:rsidRDefault="009C7772" w:rsidP="009C7772">
            <w:pPr>
              <w:pStyle w:val="TabletextLeft"/>
              <w:jc w:val="right"/>
              <w:rPr>
                <w:rFonts w:ascii="Arial" w:hAnsi="Arial" w:cs="Arial"/>
                <w:b/>
                <w:color w:val="002776"/>
              </w:rPr>
            </w:pPr>
            <w:r w:rsidRPr="00DF3703">
              <w:rPr>
                <w:rFonts w:ascii="Arial" w:hAnsi="Arial" w:cs="Arial"/>
                <w:color w:val="000000"/>
              </w:rPr>
              <w:t>$41,338</w:t>
            </w:r>
          </w:p>
        </w:tc>
      </w:tr>
    </w:tbl>
    <w:p w:rsidR="00DA2632" w:rsidRPr="00DF3703" w:rsidRDefault="006B7D88" w:rsidP="00DA2632">
      <w:pPr>
        <w:pStyle w:val="Source"/>
        <w:rPr>
          <w:rFonts w:ascii="Arial" w:hAnsi="Arial"/>
        </w:rPr>
      </w:pPr>
      <w:r w:rsidRPr="00DF3703">
        <w:rPr>
          <w:rFonts w:ascii="Arial" w:hAnsi="Arial"/>
        </w:rPr>
        <w:t>Source: 2011 Census of Population and Housing</w:t>
      </w:r>
    </w:p>
    <w:bookmarkEnd w:id="47"/>
    <w:bookmarkEnd w:id="48"/>
    <w:p w:rsidR="00DA2632" w:rsidRPr="00DF3703" w:rsidRDefault="006B7D88" w:rsidP="00DA2632">
      <w:pPr>
        <w:pStyle w:val="HeadingB"/>
        <w:rPr>
          <w:rFonts w:ascii="Arial" w:hAnsi="Arial" w:cs="Arial"/>
          <w:sz w:val="24"/>
          <w:szCs w:val="24"/>
        </w:rPr>
      </w:pPr>
      <w:r w:rsidRPr="00DF3703">
        <w:rPr>
          <w:rFonts w:ascii="Arial" w:hAnsi="Arial" w:cs="Arial"/>
          <w:sz w:val="24"/>
          <w:szCs w:val="24"/>
        </w:rPr>
        <w:t>Industry structure</w:t>
      </w:r>
    </w:p>
    <w:p w:rsidR="00DA2632" w:rsidRPr="00DF3703" w:rsidRDefault="006B7D88" w:rsidP="00DA2632">
      <w:pPr>
        <w:pStyle w:val="BodyText"/>
        <w:rPr>
          <w:rFonts w:ascii="Arial" w:hAnsi="Arial" w:cs="Arial"/>
        </w:rPr>
      </w:pPr>
      <w:r w:rsidRPr="00DF3703">
        <w:rPr>
          <w:rFonts w:ascii="Arial" w:hAnsi="Arial" w:cs="Arial"/>
        </w:rPr>
        <w:t xml:space="preserve">The industry structure of the </w:t>
      </w:r>
      <w:r w:rsidR="00EA3689" w:rsidRPr="00DF3703">
        <w:rPr>
          <w:rFonts w:ascii="Arial" w:hAnsi="Arial" w:cs="Arial"/>
        </w:rPr>
        <w:t>catchment</w:t>
      </w:r>
      <w:r w:rsidRPr="00DF3703">
        <w:rPr>
          <w:rFonts w:ascii="Arial" w:hAnsi="Arial" w:cs="Arial"/>
        </w:rPr>
        <w:t xml:space="preserve"> in 2011, as indicated by employment by industry</w:t>
      </w:r>
      <w:r w:rsidR="00FE76E3" w:rsidRPr="00DF3703">
        <w:rPr>
          <w:rFonts w:ascii="Arial" w:hAnsi="Arial" w:cs="Arial"/>
        </w:rPr>
        <w:t>, was dominated by</w:t>
      </w:r>
      <w:r w:rsidRPr="00DF3703">
        <w:rPr>
          <w:rFonts w:ascii="Arial" w:hAnsi="Arial" w:cs="Arial"/>
        </w:rPr>
        <w:t xml:space="preserve"> health care and social assistanc</w:t>
      </w:r>
      <w:r w:rsidR="00FE76E3" w:rsidRPr="00DF3703">
        <w:rPr>
          <w:rFonts w:ascii="Arial" w:hAnsi="Arial" w:cs="Arial"/>
        </w:rPr>
        <w:t>e, retail trade and</w:t>
      </w:r>
      <w:r w:rsidRPr="00DF3703">
        <w:rPr>
          <w:rFonts w:ascii="Arial" w:hAnsi="Arial" w:cs="Arial"/>
        </w:rPr>
        <w:t xml:space="preserve"> construction (see</w:t>
      </w:r>
      <w:r w:rsidR="005E13B5">
        <w:rPr>
          <w:rFonts w:ascii="Arial" w:hAnsi="Arial" w:cs="Arial"/>
        </w:rPr>
        <w:t xml:space="preserve"> </w:t>
      </w:r>
      <w:r w:rsidR="00EB023D">
        <w:rPr>
          <w:rFonts w:ascii="Arial" w:hAnsi="Arial" w:cs="Arial"/>
        </w:rPr>
        <w:fldChar w:fldCharType="begin"/>
      </w:r>
      <w:r w:rsidR="005E13B5">
        <w:rPr>
          <w:rFonts w:ascii="Arial" w:hAnsi="Arial" w:cs="Arial"/>
        </w:rPr>
        <w:instrText xml:space="preserve"> REF _Ref340058466 \r \h </w:instrText>
      </w:r>
      <w:r w:rsidR="00EB023D">
        <w:rPr>
          <w:rFonts w:ascii="Arial" w:hAnsi="Arial" w:cs="Arial"/>
        </w:rPr>
      </w:r>
      <w:r w:rsidR="00EB023D">
        <w:rPr>
          <w:rFonts w:ascii="Arial" w:hAnsi="Arial" w:cs="Arial"/>
        </w:rPr>
        <w:fldChar w:fldCharType="separate"/>
      </w:r>
      <w:r w:rsidR="00536D7E">
        <w:rPr>
          <w:rFonts w:ascii="Arial" w:hAnsi="Arial" w:cs="Arial"/>
        </w:rPr>
        <w:t>Chart 2.1</w:t>
      </w:r>
      <w:r w:rsidR="00EB023D">
        <w:rPr>
          <w:rFonts w:ascii="Arial" w:hAnsi="Arial" w:cs="Arial"/>
        </w:rPr>
        <w:fldChar w:fldCharType="end"/>
      </w:r>
      <w:r w:rsidR="005E13B5">
        <w:rPr>
          <w:rFonts w:ascii="Arial" w:hAnsi="Arial" w:cs="Arial"/>
        </w:rPr>
        <w:t xml:space="preserve">).  </w:t>
      </w:r>
      <w:r w:rsidRPr="00DF3703">
        <w:rPr>
          <w:rFonts w:ascii="Arial" w:hAnsi="Arial" w:cs="Arial"/>
        </w:rPr>
        <w:t>The accommodation and food service industry was als</w:t>
      </w:r>
      <w:r w:rsidR="00FE76E3" w:rsidRPr="00DF3703">
        <w:rPr>
          <w:rFonts w:ascii="Arial" w:hAnsi="Arial" w:cs="Arial"/>
        </w:rPr>
        <w:t>o dominant in the Wet Tropics region</w:t>
      </w:r>
      <w:r w:rsidRPr="00DF3703">
        <w:rPr>
          <w:rFonts w:ascii="Arial" w:hAnsi="Arial" w:cs="Arial"/>
        </w:rPr>
        <w:t>, which is unsurprising given these regions’ tourism profile.</w:t>
      </w:r>
    </w:p>
    <w:p w:rsidR="00DA2632" w:rsidRPr="00DF3703" w:rsidRDefault="006B7D88" w:rsidP="00DA2632">
      <w:pPr>
        <w:pStyle w:val="BodyText"/>
        <w:rPr>
          <w:rFonts w:ascii="Arial" w:hAnsi="Arial" w:cs="Arial"/>
        </w:rPr>
      </w:pPr>
      <w:r w:rsidRPr="00DF3703">
        <w:rPr>
          <w:rFonts w:ascii="Arial" w:hAnsi="Arial" w:cs="Arial"/>
        </w:rPr>
        <w:t xml:space="preserve">Since 2006, the industry structure of the </w:t>
      </w:r>
      <w:r w:rsidR="003C4DCF" w:rsidRPr="00DF3703">
        <w:rPr>
          <w:rFonts w:ascii="Arial" w:hAnsi="Arial" w:cs="Arial"/>
        </w:rPr>
        <w:t>catchment</w:t>
      </w:r>
      <w:r w:rsidRPr="00DF3703">
        <w:rPr>
          <w:rFonts w:ascii="Arial" w:hAnsi="Arial" w:cs="Arial"/>
        </w:rPr>
        <w:t xml:space="preserve"> has undergone a number of adjustments, including:</w:t>
      </w:r>
    </w:p>
    <w:p w:rsidR="00DA2632" w:rsidRPr="00DF3703" w:rsidRDefault="006B7D88" w:rsidP="00DA2632">
      <w:pPr>
        <w:pStyle w:val="Bullet1"/>
        <w:ind w:left="567" w:hanging="567"/>
        <w:rPr>
          <w:rFonts w:ascii="Arial" w:hAnsi="Arial"/>
        </w:rPr>
      </w:pPr>
      <w:r w:rsidRPr="00DF3703">
        <w:rPr>
          <w:rFonts w:ascii="Arial" w:hAnsi="Arial"/>
        </w:rPr>
        <w:t>A reduction in the share of people employed in agriculture, forestry and fishing, consistent with changes in primary industry at the state and national level;</w:t>
      </w:r>
    </w:p>
    <w:p w:rsidR="00DA2632" w:rsidRPr="00DF3703" w:rsidRDefault="006B7D88" w:rsidP="00DA2632">
      <w:pPr>
        <w:pStyle w:val="Bullet1"/>
        <w:ind w:left="567" w:hanging="567"/>
        <w:rPr>
          <w:rFonts w:ascii="Arial" w:hAnsi="Arial"/>
        </w:rPr>
      </w:pPr>
      <w:r w:rsidRPr="00DF3703">
        <w:rPr>
          <w:rFonts w:ascii="Arial" w:hAnsi="Arial"/>
        </w:rPr>
        <w:t>A sizeable increase in mining’s share of employment, particularly in the Burdekin and Fitzroy regions which include Gladstone and Isaac local government areas;</w:t>
      </w:r>
      <w:r w:rsidR="00080286" w:rsidRPr="00DF3703">
        <w:rPr>
          <w:rFonts w:ascii="Arial" w:hAnsi="Arial"/>
        </w:rPr>
        <w:t xml:space="preserve"> and,</w:t>
      </w:r>
    </w:p>
    <w:p w:rsidR="00DA2632" w:rsidRPr="00DF3703" w:rsidRDefault="006B7D88" w:rsidP="00DA2632">
      <w:pPr>
        <w:pStyle w:val="Bullet1"/>
        <w:ind w:left="567" w:hanging="567"/>
        <w:rPr>
          <w:rFonts w:ascii="Arial" w:hAnsi="Arial"/>
        </w:rPr>
      </w:pPr>
      <w:r w:rsidRPr="00DF3703">
        <w:rPr>
          <w:rFonts w:ascii="Arial" w:hAnsi="Arial"/>
        </w:rPr>
        <w:t>A similar decrease in manufacturing empl</w:t>
      </w:r>
      <w:r w:rsidR="00080286" w:rsidRPr="00DF3703">
        <w:rPr>
          <w:rFonts w:ascii="Arial" w:hAnsi="Arial"/>
        </w:rPr>
        <w:t>oyment as the state average.</w:t>
      </w:r>
    </w:p>
    <w:p w:rsidR="00DA2632" w:rsidRPr="00611C17" w:rsidRDefault="006B7D88" w:rsidP="00611C17">
      <w:pPr>
        <w:pStyle w:val="CaptionChart"/>
        <w:numPr>
          <w:ilvl w:val="7"/>
          <w:numId w:val="42"/>
        </w:numPr>
        <w:rPr>
          <w:rFonts w:ascii="Arial" w:hAnsi="Arial" w:cs="Arial"/>
        </w:rPr>
      </w:pPr>
      <w:bookmarkStart w:id="51" w:name="_Ref340058466"/>
      <w:bookmarkStart w:id="52" w:name="_Toc355701037"/>
      <w:r w:rsidRPr="00611C17">
        <w:rPr>
          <w:rFonts w:ascii="Arial" w:hAnsi="Arial" w:cs="Arial"/>
        </w:rPr>
        <w:lastRenderedPageBreak/>
        <w:t>: Industry structure, 2011</w:t>
      </w:r>
      <w:bookmarkEnd w:id="51"/>
      <w:bookmarkEnd w:id="52"/>
    </w:p>
    <w:p w:rsidR="00DA2632" w:rsidRPr="00DF3703" w:rsidRDefault="009C7772" w:rsidP="00DA2632">
      <w:pPr>
        <w:pStyle w:val="BodyText"/>
        <w:rPr>
          <w:rFonts w:ascii="Arial" w:hAnsi="Arial" w:cs="Arial"/>
        </w:rPr>
      </w:pPr>
      <w:r w:rsidRPr="00DF3703">
        <w:rPr>
          <w:noProof/>
          <w:lang w:eastAsia="en-AU"/>
        </w:rPr>
        <w:drawing>
          <wp:inline distT="0" distB="0" distL="0" distR="0">
            <wp:extent cx="5219700" cy="7586055"/>
            <wp:effectExtent l="0" t="0" r="0" b="0"/>
            <wp:docPr id="7" name="Picture 7" descr="This chart shows the employment levels in all of the different types of industry in each of the NRM areas in the catchment. The industry categories are: Agriculture, Forestry and fishing (less than 10% across all NRM regions); Mining (about 3% in the Wet Tropics, about 10% in the Mackay-Whitsundays and Fitzroy areas, and about 15% in Cape York); Manufacturing (about 10% across all NRM regions); Electricity, gas, water and waste (less than 5% across all NRM regions); Construction (about  10% across all NRM regions); wholesale trade (about 5% across all NRM regions); Retail trade (about 10% across all NRM regions); Accommodation and food services  (less than 10% across all NRM regions); Transport, postal and warehousing  (less than 10% across all NRM regions); Information, media and telecommunications (about 3% across all NRM regions); financial and insurance services  (about 3% across all NRM regions); Retail, hiring and Real estate services  (about 3% across all NRM regions); Professional, scientific and technical services  (about 3% across all NRM regions); Administrative and support services  (about 5% across all NRM regions); Public administration and safety (varies across NRM regions from about 5% in Mackay -Whitsundays to 12% in the Burdekin, 18% in Cape York and 25% in Torres Strait); Education &amp; training  (5-10% across all NRM regions, except for Torres Strait which has about 15%); Health care and social assistance  (between 10-20 across all NRM regions); Arts and Recreation services  (about 3% across all NRM regions) Other services  (between 5-10% across all NR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7586055"/>
                    </a:xfrm>
                    <a:prstGeom prst="rect">
                      <a:avLst/>
                    </a:prstGeom>
                    <a:noFill/>
                    <a:ln>
                      <a:noFill/>
                    </a:ln>
                  </pic:spPr>
                </pic:pic>
              </a:graphicData>
            </a:graphic>
          </wp:inline>
        </w:drawing>
      </w:r>
    </w:p>
    <w:p w:rsidR="00DA2632" w:rsidRPr="00DF3703" w:rsidRDefault="006B7D88" w:rsidP="00DA2632">
      <w:pPr>
        <w:pStyle w:val="Source"/>
        <w:rPr>
          <w:rFonts w:ascii="Arial" w:hAnsi="Arial"/>
        </w:rPr>
      </w:pPr>
      <w:r w:rsidRPr="00DF3703">
        <w:rPr>
          <w:rFonts w:ascii="Arial" w:hAnsi="Arial"/>
        </w:rPr>
        <w:t>Source: ABS Census of Population and Housing 2011</w:t>
      </w:r>
    </w:p>
    <w:p w:rsidR="00DA2632" w:rsidRPr="00DF3703" w:rsidRDefault="006B7D88" w:rsidP="00DA2632">
      <w:pPr>
        <w:pStyle w:val="HeadingB"/>
        <w:rPr>
          <w:rFonts w:ascii="Arial" w:hAnsi="Arial" w:cs="Arial"/>
          <w:sz w:val="24"/>
          <w:szCs w:val="24"/>
        </w:rPr>
      </w:pPr>
      <w:r w:rsidRPr="00DF3703">
        <w:rPr>
          <w:rFonts w:ascii="Arial" w:hAnsi="Arial" w:cs="Arial"/>
          <w:sz w:val="24"/>
          <w:szCs w:val="24"/>
        </w:rPr>
        <w:lastRenderedPageBreak/>
        <w:t>Occupation</w:t>
      </w:r>
    </w:p>
    <w:p w:rsidR="00080286" w:rsidRPr="00DF3703" w:rsidRDefault="006B7D88" w:rsidP="00DA2632">
      <w:pPr>
        <w:pStyle w:val="BodyText"/>
        <w:rPr>
          <w:rFonts w:ascii="Arial" w:hAnsi="Arial" w:cs="Arial"/>
        </w:rPr>
      </w:pPr>
      <w:r w:rsidRPr="00DF3703">
        <w:rPr>
          <w:rFonts w:ascii="Arial" w:hAnsi="Arial" w:cs="Arial"/>
        </w:rPr>
        <w:t xml:space="preserve">In 2011, 13% of Queensland’s population had a Bachelor degree or higher; in comparison, the Wet Tropics and Burdekin NRM regions had the highest tertiary qualification rate of the </w:t>
      </w:r>
      <w:r w:rsidR="00EA3689" w:rsidRPr="00DF3703">
        <w:rPr>
          <w:rFonts w:ascii="Arial" w:hAnsi="Arial" w:cs="Arial"/>
        </w:rPr>
        <w:t>catchment</w:t>
      </w:r>
      <w:r w:rsidRPr="00DF3703">
        <w:rPr>
          <w:rFonts w:ascii="Arial" w:hAnsi="Arial" w:cs="Arial"/>
        </w:rPr>
        <w:t xml:space="preserve"> with 10%, while the Burnett Mary had the lowest with just 6% of the population holding a bachelor degree or ab</w:t>
      </w:r>
      <w:r w:rsidR="00080286" w:rsidRPr="00DF3703">
        <w:rPr>
          <w:rFonts w:ascii="Arial" w:hAnsi="Arial" w:cs="Arial"/>
        </w:rPr>
        <w:t>ove.</w:t>
      </w:r>
    </w:p>
    <w:p w:rsidR="00DA2632" w:rsidRPr="00DF3703" w:rsidRDefault="006B7D88" w:rsidP="00DA2632">
      <w:pPr>
        <w:pStyle w:val="BodyText"/>
        <w:rPr>
          <w:rFonts w:ascii="Arial" w:hAnsi="Arial" w:cs="Arial"/>
        </w:rPr>
      </w:pPr>
      <w:r w:rsidRPr="00DF3703">
        <w:rPr>
          <w:rFonts w:ascii="Arial" w:hAnsi="Arial" w:cs="Arial"/>
        </w:rPr>
        <w:t xml:space="preserve">Consistent with this education profile, technicians and trade workers were the principal occupations in the </w:t>
      </w:r>
      <w:r w:rsidR="00EA3689" w:rsidRPr="00DF3703">
        <w:rPr>
          <w:rFonts w:ascii="Arial" w:hAnsi="Arial" w:cs="Arial"/>
        </w:rPr>
        <w:t>catchment</w:t>
      </w:r>
      <w:r w:rsidRPr="00DF3703">
        <w:rPr>
          <w:rFonts w:ascii="Arial" w:hAnsi="Arial" w:cs="Arial"/>
        </w:rPr>
        <w:t xml:space="preserve"> in 2011</w:t>
      </w:r>
      <w:r w:rsidR="00080286" w:rsidRPr="00DF3703">
        <w:rPr>
          <w:rFonts w:ascii="Arial" w:hAnsi="Arial" w:cs="Arial"/>
        </w:rPr>
        <w:t xml:space="preserve"> (see</w:t>
      </w:r>
      <w:r w:rsidR="005E13B5">
        <w:rPr>
          <w:rFonts w:ascii="Arial" w:hAnsi="Arial" w:cs="Arial"/>
        </w:rPr>
        <w:t xml:space="preserve"> </w:t>
      </w:r>
      <w:r w:rsidR="00EB023D">
        <w:rPr>
          <w:rFonts w:ascii="Arial" w:hAnsi="Arial" w:cs="Arial"/>
        </w:rPr>
        <w:fldChar w:fldCharType="begin"/>
      </w:r>
      <w:r w:rsidR="005E13B5">
        <w:rPr>
          <w:rFonts w:ascii="Arial" w:hAnsi="Arial" w:cs="Arial"/>
        </w:rPr>
        <w:instrText xml:space="preserve"> REF _Ref347989331 \r \h </w:instrText>
      </w:r>
      <w:r w:rsidR="00EB023D">
        <w:rPr>
          <w:rFonts w:ascii="Arial" w:hAnsi="Arial" w:cs="Arial"/>
        </w:rPr>
      </w:r>
      <w:r w:rsidR="00EB023D">
        <w:rPr>
          <w:rFonts w:ascii="Arial" w:hAnsi="Arial" w:cs="Arial"/>
        </w:rPr>
        <w:fldChar w:fldCharType="separate"/>
      </w:r>
      <w:r w:rsidR="00536D7E">
        <w:rPr>
          <w:rFonts w:ascii="Arial" w:hAnsi="Arial" w:cs="Arial"/>
        </w:rPr>
        <w:t>Chart 2.2</w:t>
      </w:r>
      <w:r w:rsidR="00EB023D">
        <w:rPr>
          <w:rFonts w:ascii="Arial" w:hAnsi="Arial" w:cs="Arial"/>
        </w:rPr>
        <w:fldChar w:fldCharType="end"/>
      </w:r>
      <w:r w:rsidR="00080286" w:rsidRPr="00DF3703">
        <w:rPr>
          <w:rFonts w:ascii="Arial" w:hAnsi="Arial" w:cs="Arial"/>
        </w:rPr>
        <w:t>)</w:t>
      </w:r>
      <w:r w:rsidRPr="00DF3703">
        <w:rPr>
          <w:rFonts w:ascii="Arial" w:hAnsi="Arial" w:cs="Arial"/>
        </w:rPr>
        <w:t>.</w:t>
      </w:r>
      <w:r w:rsidR="00D24B51" w:rsidRPr="00DF3703">
        <w:rPr>
          <w:rFonts w:ascii="Arial" w:hAnsi="Arial" w:cs="Arial"/>
        </w:rPr>
        <w:t xml:space="preserve">  Labourers make up a higher proportion of the labour force in </w:t>
      </w:r>
      <w:r w:rsidR="00FA0D74" w:rsidRPr="00DF3703">
        <w:rPr>
          <w:rFonts w:ascii="Arial" w:hAnsi="Arial" w:cs="Arial"/>
        </w:rPr>
        <w:t xml:space="preserve">the </w:t>
      </w:r>
      <w:r w:rsidR="00D24B51" w:rsidRPr="00DF3703">
        <w:rPr>
          <w:rFonts w:ascii="Arial" w:hAnsi="Arial" w:cs="Arial"/>
        </w:rPr>
        <w:t>catchme</w:t>
      </w:r>
      <w:r w:rsidR="00FA0D74" w:rsidRPr="00DF3703">
        <w:rPr>
          <w:rFonts w:ascii="Arial" w:hAnsi="Arial" w:cs="Arial"/>
        </w:rPr>
        <w:t>nt than the whole of Queensland. T</w:t>
      </w:r>
      <w:r w:rsidR="00D24B51" w:rsidRPr="00DF3703">
        <w:rPr>
          <w:rFonts w:ascii="Arial" w:hAnsi="Arial" w:cs="Arial"/>
        </w:rPr>
        <w:t>his is consistent with the contribution made by the construction section in the region</w:t>
      </w:r>
      <w:r w:rsidR="00455BD7" w:rsidRPr="00DF3703">
        <w:rPr>
          <w:rFonts w:ascii="Arial" w:hAnsi="Arial" w:cs="Arial"/>
        </w:rPr>
        <w:t>.</w:t>
      </w:r>
      <w:r w:rsidR="00B1115C" w:rsidRPr="00DF3703">
        <w:rPr>
          <w:rFonts w:ascii="Arial" w:hAnsi="Arial" w:cs="Arial"/>
        </w:rPr>
        <w:t xml:space="preserve">  </w:t>
      </w:r>
      <w:r w:rsidRPr="00DF3703">
        <w:rPr>
          <w:rFonts w:ascii="Arial" w:hAnsi="Arial" w:cs="Arial"/>
        </w:rPr>
        <w:t>In contrast, across Queensland, professionals represented the largest share of employees.</w:t>
      </w:r>
    </w:p>
    <w:p w:rsidR="00DA2632" w:rsidRPr="00DF3703" w:rsidRDefault="006B7D88" w:rsidP="00DA2632">
      <w:pPr>
        <w:pStyle w:val="CaptionChart"/>
        <w:rPr>
          <w:rFonts w:ascii="Arial" w:hAnsi="Arial" w:cs="Arial"/>
        </w:rPr>
      </w:pPr>
      <w:bookmarkStart w:id="53" w:name="_Ref347989331"/>
      <w:bookmarkStart w:id="54" w:name="_Toc355701038"/>
      <w:r w:rsidRPr="00DF3703">
        <w:rPr>
          <w:rFonts w:ascii="Arial" w:hAnsi="Arial" w:cs="Arial"/>
        </w:rPr>
        <w:t>: Occupation, 2011</w:t>
      </w:r>
      <w:bookmarkEnd w:id="53"/>
      <w:bookmarkEnd w:id="54"/>
    </w:p>
    <w:p w:rsidR="00DA2632" w:rsidRPr="00DF3703" w:rsidRDefault="009C7772" w:rsidP="00DA2632">
      <w:pPr>
        <w:pStyle w:val="Source"/>
        <w:rPr>
          <w:rFonts w:ascii="Arial" w:hAnsi="Arial"/>
        </w:rPr>
      </w:pPr>
      <w:r w:rsidRPr="00DF3703">
        <w:rPr>
          <w:noProof/>
          <w:lang w:eastAsia="en-AU"/>
        </w:rPr>
        <w:drawing>
          <wp:inline distT="0" distB="0" distL="0" distR="0">
            <wp:extent cx="5219700" cy="5151110"/>
            <wp:effectExtent l="0" t="0" r="0" b="0"/>
            <wp:docPr id="9" name="Picture 9" descr="This chart shows the different types of occupations that occurred in the different NRM Regions in 2011. Managers ( (about 10% across all NRM regions); professionals  (about 15-20% across all NRM regions); Technicians and trades workers (about 15-20% across all NRM regions); community and personal service workers (about 8-15% across all NRM regions); clerical and administrative workers (about 10-15% across all NRM regions); sales workers (about 5-10% across all NRM regions); machinery operators and drivers  (about 9-15% across all NRM regions); labourers (about 10-15% across all NRM regions except for Torres Strait where the level is about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5151110"/>
                    </a:xfrm>
                    <a:prstGeom prst="rect">
                      <a:avLst/>
                    </a:prstGeom>
                    <a:noFill/>
                    <a:ln>
                      <a:noFill/>
                    </a:ln>
                  </pic:spPr>
                </pic:pic>
              </a:graphicData>
            </a:graphic>
          </wp:inline>
        </w:drawing>
      </w:r>
      <w:r w:rsidR="006B7D88" w:rsidRPr="00DF3703">
        <w:rPr>
          <w:rFonts w:ascii="Arial" w:hAnsi="Arial"/>
        </w:rPr>
        <w:t>Source: ABS Census of Population and Housing 2011</w:t>
      </w:r>
    </w:p>
    <w:p w:rsidR="00A60293" w:rsidRPr="00DF3703" w:rsidRDefault="006B7D88" w:rsidP="00A60293">
      <w:pPr>
        <w:pStyle w:val="Heading1"/>
        <w:rPr>
          <w:rFonts w:ascii="Segoe UI" w:hAnsi="Segoe UI" w:cs="Segoe UI"/>
        </w:rPr>
      </w:pPr>
      <w:bookmarkStart w:id="55" w:name="_Toc355700981"/>
      <w:r w:rsidRPr="00DF3703">
        <w:rPr>
          <w:rFonts w:ascii="Segoe UI" w:hAnsi="Segoe UI" w:cs="Segoe UI"/>
        </w:rPr>
        <w:lastRenderedPageBreak/>
        <w:t>Tourism</w:t>
      </w:r>
      <w:bookmarkEnd w:id="55"/>
    </w:p>
    <w:p w:rsidR="001D2846" w:rsidRPr="00DF3703" w:rsidRDefault="006B7D88" w:rsidP="001D2846">
      <w:pPr>
        <w:pStyle w:val="BodyText"/>
        <w:rPr>
          <w:rFonts w:ascii="Arial" w:hAnsi="Arial" w:cs="Arial"/>
        </w:rPr>
      </w:pPr>
      <w:r w:rsidRPr="00DF3703">
        <w:rPr>
          <w:rFonts w:ascii="Arial" w:hAnsi="Arial" w:cs="Arial"/>
        </w:rPr>
        <w:t xml:space="preserve">Tourism is one of the dominant economic activities in the </w:t>
      </w:r>
      <w:r w:rsidR="003C4DCF" w:rsidRPr="00DF3703">
        <w:rPr>
          <w:rFonts w:ascii="Arial" w:hAnsi="Arial" w:cs="Arial"/>
        </w:rPr>
        <w:t>catchment</w:t>
      </w:r>
      <w:r w:rsidRPr="00DF3703">
        <w:rPr>
          <w:rFonts w:ascii="Arial" w:hAnsi="Arial" w:cs="Arial"/>
        </w:rPr>
        <w:t xml:space="preserve">, with the </w:t>
      </w:r>
      <w:r w:rsidR="00C719C2" w:rsidRPr="00DF3703">
        <w:rPr>
          <w:rFonts w:ascii="Arial" w:hAnsi="Arial" w:cs="Arial"/>
        </w:rPr>
        <w:t>R</w:t>
      </w:r>
      <w:r w:rsidRPr="00DF3703">
        <w:rPr>
          <w:rFonts w:ascii="Arial" w:hAnsi="Arial" w:cs="Arial"/>
        </w:rPr>
        <w:t xml:space="preserve">eef itself a major domestic and international tourist attraction.  Tourism activity (and the associated expenditure) in the </w:t>
      </w:r>
      <w:r w:rsidR="003C4DCF" w:rsidRPr="00DF3703">
        <w:rPr>
          <w:rFonts w:ascii="Arial" w:hAnsi="Arial" w:cs="Arial"/>
        </w:rPr>
        <w:t>catchment</w:t>
      </w:r>
      <w:r w:rsidRPr="00DF3703">
        <w:rPr>
          <w:rFonts w:ascii="Arial" w:hAnsi="Arial" w:cs="Arial"/>
        </w:rPr>
        <w:t xml:space="preserve"> is analysed at three levels: </w:t>
      </w:r>
    </w:p>
    <w:p w:rsidR="004D186E" w:rsidRPr="00DF3703" w:rsidRDefault="006B7D88" w:rsidP="00DA021F">
      <w:pPr>
        <w:pStyle w:val="NumberedList"/>
        <w:rPr>
          <w:rFonts w:ascii="Arial" w:hAnsi="Arial"/>
        </w:rPr>
      </w:pPr>
      <w:r w:rsidRPr="00DF3703">
        <w:rPr>
          <w:rFonts w:ascii="Arial" w:hAnsi="Arial"/>
        </w:rPr>
        <w:t>The activity and expenditure in the</w:t>
      </w:r>
      <w:r w:rsidRPr="00DF3703">
        <w:rPr>
          <w:rFonts w:ascii="Arial" w:hAnsi="Arial"/>
          <w:b/>
          <w:color w:val="002776"/>
        </w:rPr>
        <w:t xml:space="preserve"> entire </w:t>
      </w:r>
      <w:r w:rsidR="00036279" w:rsidRPr="00DF3703">
        <w:rPr>
          <w:rFonts w:ascii="Arial" w:hAnsi="Arial"/>
          <w:b/>
          <w:color w:val="002776"/>
        </w:rPr>
        <w:t>Reef</w:t>
      </w:r>
      <w:r w:rsidRPr="00DF3703">
        <w:rPr>
          <w:rFonts w:ascii="Arial" w:hAnsi="Arial"/>
          <w:b/>
          <w:color w:val="002776"/>
        </w:rPr>
        <w:t xml:space="preserve"> </w:t>
      </w:r>
      <w:r w:rsidR="003C4DCF" w:rsidRPr="00DF3703">
        <w:rPr>
          <w:rFonts w:ascii="Arial" w:hAnsi="Arial"/>
          <w:b/>
          <w:color w:val="002776"/>
        </w:rPr>
        <w:t>catchment</w:t>
      </w:r>
      <w:r w:rsidRPr="00DF3703">
        <w:rPr>
          <w:rFonts w:ascii="Arial" w:hAnsi="Arial"/>
        </w:rPr>
        <w:t>;</w:t>
      </w:r>
    </w:p>
    <w:p w:rsidR="00275068" w:rsidRPr="00DF3703" w:rsidRDefault="006B7D88" w:rsidP="00DA021F">
      <w:pPr>
        <w:pStyle w:val="NumberedList"/>
        <w:rPr>
          <w:rFonts w:ascii="Arial" w:hAnsi="Arial"/>
        </w:rPr>
      </w:pPr>
      <w:r w:rsidRPr="00DF3703">
        <w:rPr>
          <w:rFonts w:ascii="Arial" w:hAnsi="Arial"/>
        </w:rPr>
        <w:t xml:space="preserve">The activity and expenditure </w:t>
      </w:r>
      <w:r w:rsidRPr="00DF3703">
        <w:rPr>
          <w:rFonts w:ascii="Arial" w:hAnsi="Arial"/>
          <w:b/>
          <w:color w:val="002776"/>
        </w:rPr>
        <w:t xml:space="preserve">across each of the </w:t>
      </w:r>
      <w:r w:rsidR="00EA3689" w:rsidRPr="00DF3703">
        <w:rPr>
          <w:rFonts w:ascii="Arial" w:hAnsi="Arial"/>
          <w:b/>
          <w:color w:val="002776"/>
        </w:rPr>
        <w:t>NRM</w:t>
      </w:r>
      <w:r w:rsidRPr="00DF3703">
        <w:rPr>
          <w:rFonts w:ascii="Arial" w:hAnsi="Arial"/>
          <w:b/>
          <w:color w:val="002776"/>
        </w:rPr>
        <w:t xml:space="preserve"> regions</w:t>
      </w:r>
      <w:r w:rsidR="00C719C2" w:rsidRPr="00DF3703">
        <w:rPr>
          <w:rFonts w:ascii="Arial" w:hAnsi="Arial"/>
          <w:b/>
          <w:color w:val="002776"/>
        </w:rPr>
        <w:t>;</w:t>
      </w:r>
      <w:r w:rsidR="003601D1" w:rsidRPr="00DF3703">
        <w:rPr>
          <w:rFonts w:ascii="Arial" w:hAnsi="Arial"/>
          <w:b/>
          <w:color w:val="002776"/>
        </w:rPr>
        <w:t xml:space="preserve"> </w:t>
      </w:r>
      <w:r w:rsidRPr="00DF3703">
        <w:rPr>
          <w:rFonts w:ascii="Arial" w:hAnsi="Arial"/>
        </w:rPr>
        <w:t xml:space="preserve">and </w:t>
      </w:r>
    </w:p>
    <w:p w:rsidR="00522F8A" w:rsidRPr="00DF3703" w:rsidRDefault="006B7D88" w:rsidP="00522F8A">
      <w:pPr>
        <w:pStyle w:val="NumberedList"/>
        <w:rPr>
          <w:rFonts w:ascii="Arial" w:hAnsi="Arial"/>
        </w:rPr>
      </w:pPr>
      <w:r w:rsidRPr="00DF3703">
        <w:rPr>
          <w:rFonts w:ascii="Arial" w:hAnsi="Arial"/>
        </w:rPr>
        <w:t xml:space="preserve">The activity and expenditure that is </w:t>
      </w:r>
      <w:r w:rsidR="00EA3689" w:rsidRPr="00DF3703">
        <w:rPr>
          <w:rFonts w:ascii="Arial" w:hAnsi="Arial"/>
        </w:rPr>
        <w:t>directly</w:t>
      </w:r>
      <w:r w:rsidR="003601D1" w:rsidRPr="00DF3703">
        <w:rPr>
          <w:rFonts w:ascii="Arial" w:hAnsi="Arial"/>
        </w:rPr>
        <w:t xml:space="preserve"> </w:t>
      </w:r>
      <w:r w:rsidRPr="00DF3703">
        <w:rPr>
          <w:rFonts w:ascii="Arial" w:hAnsi="Arial"/>
          <w:b/>
          <w:color w:val="002776"/>
        </w:rPr>
        <w:t xml:space="preserve">attributable to </w:t>
      </w:r>
      <w:r w:rsidR="00F943D7" w:rsidRPr="00DF3703">
        <w:rPr>
          <w:rFonts w:ascii="Arial" w:hAnsi="Arial"/>
          <w:b/>
          <w:color w:val="002776"/>
        </w:rPr>
        <w:t>R</w:t>
      </w:r>
      <w:r w:rsidRPr="00DF3703">
        <w:rPr>
          <w:rFonts w:ascii="Arial" w:hAnsi="Arial"/>
          <w:b/>
          <w:color w:val="002776"/>
        </w:rPr>
        <w:t>eef visitors</w:t>
      </w:r>
      <w:r w:rsidRPr="00DF3703">
        <w:rPr>
          <w:rFonts w:ascii="Arial" w:hAnsi="Arial"/>
        </w:rPr>
        <w:t xml:space="preserve">, which is a subset of the wider catchment </w:t>
      </w:r>
      <w:r w:rsidR="00EA3689" w:rsidRPr="00DF3703">
        <w:rPr>
          <w:rFonts w:ascii="Arial" w:hAnsi="Arial"/>
        </w:rPr>
        <w:t xml:space="preserve">tourism </w:t>
      </w:r>
      <w:r w:rsidRPr="00DF3703">
        <w:rPr>
          <w:rFonts w:ascii="Arial" w:hAnsi="Arial"/>
        </w:rPr>
        <w:t>activity.</w:t>
      </w:r>
    </w:p>
    <w:p w:rsidR="00423B5C" w:rsidRPr="00DF3703" w:rsidRDefault="006B7D88" w:rsidP="00423B5C">
      <w:pPr>
        <w:pStyle w:val="BodyText"/>
        <w:rPr>
          <w:rFonts w:ascii="Arial" w:hAnsi="Arial" w:cs="Arial"/>
        </w:rPr>
      </w:pPr>
      <w:r w:rsidRPr="00DF3703">
        <w:rPr>
          <w:rFonts w:ascii="Arial" w:hAnsi="Arial" w:cs="Arial"/>
        </w:rPr>
        <w:t>The tourism activity is based on information in the National Visitors Survey (NVS) and International Visitors Survey (IVS) – both of which are TRA publications – with the addition of cruise-ship related tourism.</w:t>
      </w:r>
      <w:r w:rsidR="00423B5C" w:rsidRPr="00DF3703">
        <w:rPr>
          <w:rStyle w:val="FootnoteReference"/>
          <w:rFonts w:cs="Arial"/>
        </w:rPr>
        <w:footnoteReference w:id="1"/>
      </w:r>
      <w:r w:rsidRPr="00DF3703">
        <w:rPr>
          <w:rFonts w:ascii="Arial" w:hAnsi="Arial" w:cs="Arial"/>
        </w:rPr>
        <w:t xml:space="preserve"> </w:t>
      </w:r>
    </w:p>
    <w:p w:rsidR="00631ADE" w:rsidRPr="00DF3703" w:rsidRDefault="006B7D88" w:rsidP="00D24B51">
      <w:pPr>
        <w:pStyle w:val="Heading2"/>
        <w:ind w:hanging="709"/>
        <w:rPr>
          <w:rFonts w:ascii="Arial" w:hAnsi="Arial" w:cs="Arial"/>
          <w:sz w:val="32"/>
          <w:szCs w:val="32"/>
        </w:rPr>
      </w:pPr>
      <w:bookmarkStart w:id="56" w:name="_Toc355700982"/>
      <w:r w:rsidRPr="00DF3703">
        <w:rPr>
          <w:rFonts w:ascii="Arial" w:hAnsi="Arial" w:cs="Arial"/>
          <w:sz w:val="32"/>
          <w:szCs w:val="32"/>
        </w:rPr>
        <w:t>Tourism activity</w:t>
      </w:r>
      <w:bookmarkEnd w:id="56"/>
    </w:p>
    <w:p w:rsidR="009C17B9" w:rsidRPr="00DF3703" w:rsidRDefault="006B7D88" w:rsidP="00AD37CA">
      <w:pPr>
        <w:pStyle w:val="BodyText"/>
        <w:rPr>
          <w:rFonts w:ascii="Arial" w:hAnsi="Arial" w:cs="Arial"/>
        </w:rPr>
      </w:pPr>
      <w:r w:rsidRPr="00DF3703">
        <w:rPr>
          <w:rFonts w:ascii="Arial" w:hAnsi="Arial" w:cs="Arial"/>
        </w:rPr>
        <w:t xml:space="preserve">Overall, the number of tourist days/nights spent in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w:t>
      </w:r>
      <w:r w:rsidR="00EA3689" w:rsidRPr="00DF3703">
        <w:rPr>
          <w:rFonts w:ascii="Arial" w:hAnsi="Arial" w:cs="Arial"/>
        </w:rPr>
        <w:t xml:space="preserve">and islands within the marine park </w:t>
      </w:r>
      <w:r w:rsidRPr="00DF3703">
        <w:rPr>
          <w:rFonts w:ascii="Arial" w:hAnsi="Arial" w:cs="Arial"/>
        </w:rPr>
        <w:t>has been broadly unchanged since 2007, with total visitor days/nights growing by only 4% to 42.8 million over the five years to end-June 2012 (</w:t>
      </w:r>
      <w:r w:rsidR="00EB023D">
        <w:rPr>
          <w:rFonts w:ascii="Arial" w:hAnsi="Arial" w:cs="Arial"/>
        </w:rPr>
        <w:fldChar w:fldCharType="begin"/>
      </w:r>
      <w:r w:rsidR="005E13B5">
        <w:rPr>
          <w:rFonts w:ascii="Arial" w:hAnsi="Arial" w:cs="Arial"/>
        </w:rPr>
        <w:instrText xml:space="preserve"> REF _Ref340570383 \r \h </w:instrText>
      </w:r>
      <w:r w:rsidR="00EB023D">
        <w:rPr>
          <w:rFonts w:ascii="Arial" w:hAnsi="Arial" w:cs="Arial"/>
        </w:rPr>
      </w:r>
      <w:r w:rsidR="00EB023D">
        <w:rPr>
          <w:rFonts w:ascii="Arial" w:hAnsi="Arial" w:cs="Arial"/>
        </w:rPr>
        <w:fldChar w:fldCharType="separate"/>
      </w:r>
      <w:r w:rsidR="00536D7E">
        <w:rPr>
          <w:rFonts w:ascii="Arial" w:hAnsi="Arial" w:cs="Arial"/>
        </w:rPr>
        <w:t>Chart 3.1</w:t>
      </w:r>
      <w:r w:rsidR="00EB023D">
        <w:rPr>
          <w:rFonts w:ascii="Arial" w:hAnsi="Arial" w:cs="Arial"/>
        </w:rPr>
        <w:fldChar w:fldCharType="end"/>
      </w:r>
      <w:r w:rsidRPr="00DF3703">
        <w:rPr>
          <w:rFonts w:ascii="Arial" w:hAnsi="Arial" w:cs="Arial"/>
        </w:rPr>
        <w:t>).</w:t>
      </w:r>
      <w:r w:rsidR="009E4C64" w:rsidRPr="00DF3703">
        <w:rPr>
          <w:rStyle w:val="FootnoteReference"/>
          <w:rFonts w:cs="Arial"/>
        </w:rPr>
        <w:footnoteReference w:id="2"/>
      </w:r>
    </w:p>
    <w:p w:rsidR="00AD37CA" w:rsidRPr="00DF3703" w:rsidRDefault="006B7D88" w:rsidP="00AD37CA">
      <w:pPr>
        <w:pStyle w:val="BodyText"/>
        <w:rPr>
          <w:rFonts w:ascii="Arial" w:hAnsi="Arial" w:cs="Arial"/>
        </w:rPr>
      </w:pPr>
      <w:r w:rsidRPr="00DF3703">
        <w:rPr>
          <w:rFonts w:ascii="Arial" w:hAnsi="Arial" w:cs="Arial"/>
        </w:rPr>
        <w:t xml:space="preserve">The weak growth is largely due to the combination of a high exchange rate, the impact of the global financial crisis on incomes domestically and abroad, and the impact of natural disasters in Queensland and in key source countries such as New Zealand during the period. </w:t>
      </w:r>
    </w:p>
    <w:p w:rsidR="009C17B9" w:rsidRPr="00DF3703" w:rsidRDefault="006B7D88" w:rsidP="00AD37CA">
      <w:pPr>
        <w:pStyle w:val="BodyText"/>
        <w:rPr>
          <w:rFonts w:ascii="Arial" w:hAnsi="Arial" w:cs="Arial"/>
        </w:rPr>
      </w:pPr>
      <w:r w:rsidRPr="00DF3703">
        <w:rPr>
          <w:rFonts w:ascii="Arial" w:hAnsi="Arial" w:cs="Arial"/>
        </w:rPr>
        <w:t>International visitor nights declined by around 10% over the period, likely reflecting this market’s acute sensitivity to the weak global economic conditions and the strong Australian dollar.</w:t>
      </w:r>
    </w:p>
    <w:p w:rsidR="00AD37CA" w:rsidRPr="00DF3703" w:rsidRDefault="006B7D88" w:rsidP="00AD37CA">
      <w:pPr>
        <w:pStyle w:val="BodyText"/>
        <w:rPr>
          <w:rFonts w:ascii="Arial" w:hAnsi="Arial" w:cs="Arial"/>
        </w:rPr>
      </w:pPr>
      <w:r w:rsidRPr="00DF3703">
        <w:rPr>
          <w:rFonts w:ascii="Arial" w:hAnsi="Arial" w:cs="Arial"/>
        </w:rPr>
        <w:t xml:space="preserve">Countries that have traditionally been key source markets to the tropical north Queensland region – such as the United Kingdom and Japan – have dropped off significantly over the past decade. This weakness was offset by relative strength in domestic visitors – which, despite falling in 2009 and 2011, recovered to grow by 9% over the five year period.  Domestic overnight visitors remain the key source of tourism for the catchment, accounting for over 57% of all visitor days/nights spent in the region. </w:t>
      </w:r>
    </w:p>
    <w:p w:rsidR="00CD3D2A" w:rsidRPr="00DF3703" w:rsidRDefault="006B7D88" w:rsidP="00CD3D2A">
      <w:pPr>
        <w:pStyle w:val="CaptionChart"/>
        <w:rPr>
          <w:rFonts w:ascii="Arial" w:hAnsi="Arial" w:cs="Arial"/>
        </w:rPr>
      </w:pPr>
      <w:bookmarkStart w:id="57" w:name="_Ref340570383"/>
      <w:bookmarkStart w:id="58" w:name="_Toc355701039"/>
      <w:r w:rsidRPr="00DF3703">
        <w:rPr>
          <w:rFonts w:ascii="Arial" w:hAnsi="Arial" w:cs="Arial"/>
        </w:rPr>
        <w:lastRenderedPageBreak/>
        <w:t xml:space="preserve">: Visitor </w:t>
      </w:r>
      <w:r w:rsidR="00EA3689" w:rsidRPr="00DF3703">
        <w:rPr>
          <w:rFonts w:ascii="Arial" w:hAnsi="Arial" w:cs="Arial"/>
        </w:rPr>
        <w:t>nights/</w:t>
      </w:r>
      <w:r w:rsidRPr="00DF3703">
        <w:rPr>
          <w:rFonts w:ascii="Arial" w:hAnsi="Arial" w:cs="Arial"/>
        </w:rPr>
        <w:t xml:space="preserve">days to the </w:t>
      </w:r>
      <w:r w:rsidR="00EA3689" w:rsidRPr="00DF3703">
        <w:rPr>
          <w:rFonts w:ascii="Arial" w:hAnsi="Arial" w:cs="Arial"/>
        </w:rPr>
        <w:t>C</w:t>
      </w:r>
      <w:r w:rsidR="003C4DCF" w:rsidRPr="00DF3703">
        <w:rPr>
          <w:rFonts w:ascii="Arial" w:hAnsi="Arial" w:cs="Arial"/>
        </w:rPr>
        <w:t>atchment</w:t>
      </w:r>
      <w:r w:rsidRPr="00DF3703">
        <w:rPr>
          <w:rFonts w:ascii="Arial" w:hAnsi="Arial" w:cs="Arial"/>
        </w:rPr>
        <w:t>, 2007-2012</w:t>
      </w:r>
      <w:bookmarkEnd w:id="57"/>
      <w:bookmarkEnd w:id="58"/>
    </w:p>
    <w:p w:rsidR="00DF53A3" w:rsidRPr="00DF3703" w:rsidRDefault="003747D4" w:rsidP="00CD3D2A">
      <w:pPr>
        <w:pStyle w:val="BodyText"/>
        <w:jc w:val="center"/>
        <w:rPr>
          <w:rFonts w:ascii="Arial" w:hAnsi="Arial" w:cs="Arial"/>
        </w:rPr>
      </w:pPr>
      <w:r w:rsidRPr="00DF3703">
        <w:rPr>
          <w:rFonts w:ascii="Arial" w:hAnsi="Arial" w:cs="Arial"/>
          <w:noProof/>
          <w:lang w:eastAsia="en-AU"/>
        </w:rPr>
        <w:drawing>
          <wp:inline distT="0" distB="0" distL="0" distR="0">
            <wp:extent cx="4881600" cy="2880000"/>
            <wp:effectExtent l="0" t="0" r="0" b="0"/>
            <wp:docPr id="24" name="Picture 24" descr="visitor days to the GBR catchment from 2007-2012, broken down by domestic overnight, international, and domestic day tourists. In 2012, visitation recovered to almost 2007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1600" cy="2880000"/>
                    </a:xfrm>
                    <a:prstGeom prst="rect">
                      <a:avLst/>
                    </a:prstGeom>
                    <a:noFill/>
                    <a:ln>
                      <a:noFill/>
                    </a:ln>
                  </pic:spPr>
                </pic:pic>
              </a:graphicData>
            </a:graphic>
          </wp:inline>
        </w:drawing>
      </w:r>
    </w:p>
    <w:p w:rsidR="003534B2" w:rsidRPr="00DF3703" w:rsidRDefault="006B7D88" w:rsidP="003534B2">
      <w:pPr>
        <w:pStyle w:val="Source"/>
        <w:ind w:firstLine="567"/>
        <w:rPr>
          <w:rFonts w:ascii="Arial" w:hAnsi="Arial"/>
        </w:rPr>
      </w:pPr>
      <w:r w:rsidRPr="00DF3703">
        <w:rPr>
          <w:rFonts w:ascii="Arial" w:hAnsi="Arial"/>
        </w:rPr>
        <w:t>Source: TRA 2012, Deloitte Access Economics</w:t>
      </w:r>
    </w:p>
    <w:p w:rsidR="008F7C1F" w:rsidRPr="00DF3703" w:rsidRDefault="00141B52" w:rsidP="008A7880">
      <w:pPr>
        <w:pStyle w:val="BodyText"/>
        <w:rPr>
          <w:rFonts w:ascii="Arial" w:hAnsi="Arial" w:cs="Arial"/>
        </w:rPr>
      </w:pPr>
      <w:r w:rsidRPr="00DF3703">
        <w:rPr>
          <w:rFonts w:ascii="Arial" w:hAnsi="Arial" w:cs="Arial"/>
        </w:rPr>
        <w:t>H</w:t>
      </w:r>
      <w:r w:rsidR="006B7D88" w:rsidRPr="00DF3703">
        <w:rPr>
          <w:rFonts w:ascii="Arial" w:hAnsi="Arial" w:cs="Arial"/>
        </w:rPr>
        <w:t>oliday/leisure travellers were the major source of weakness over the period, with visitation declining by 1.8 million days/nights (or -8%) over the five years to 2012</w:t>
      </w:r>
      <w:r w:rsidR="003C37BC" w:rsidRPr="00DF3703">
        <w:rPr>
          <w:rFonts w:ascii="Arial" w:hAnsi="Arial" w:cs="Arial"/>
        </w:rPr>
        <w:t xml:space="preserve"> (</w:t>
      </w:r>
      <w:r w:rsidR="00EB023D">
        <w:rPr>
          <w:rFonts w:ascii="Arial" w:hAnsi="Arial" w:cs="Arial"/>
        </w:rPr>
        <w:fldChar w:fldCharType="begin"/>
      </w:r>
      <w:r w:rsidR="005E13B5">
        <w:rPr>
          <w:rFonts w:ascii="Arial" w:hAnsi="Arial" w:cs="Arial"/>
        </w:rPr>
        <w:instrText xml:space="preserve"> REF _Ref336943576 \r \h </w:instrText>
      </w:r>
      <w:r w:rsidR="00EB023D">
        <w:rPr>
          <w:rFonts w:ascii="Arial" w:hAnsi="Arial" w:cs="Arial"/>
        </w:rPr>
      </w:r>
      <w:r w:rsidR="00EB023D">
        <w:rPr>
          <w:rFonts w:ascii="Arial" w:hAnsi="Arial" w:cs="Arial"/>
        </w:rPr>
        <w:fldChar w:fldCharType="separate"/>
      </w:r>
      <w:r w:rsidR="00536D7E">
        <w:rPr>
          <w:rFonts w:ascii="Arial" w:hAnsi="Arial" w:cs="Arial"/>
        </w:rPr>
        <w:t>Chart 3.2</w:t>
      </w:r>
      <w:r w:rsidR="00EB023D">
        <w:rPr>
          <w:rFonts w:ascii="Arial" w:hAnsi="Arial" w:cs="Arial"/>
        </w:rPr>
        <w:fldChar w:fldCharType="end"/>
      </w:r>
      <w:r w:rsidR="003C37BC" w:rsidRPr="00DF3703">
        <w:rPr>
          <w:rFonts w:ascii="Arial" w:hAnsi="Arial" w:cs="Arial"/>
        </w:rPr>
        <w:t>)</w:t>
      </w:r>
      <w:r w:rsidR="006B7D88" w:rsidRPr="00DF3703">
        <w:rPr>
          <w:rFonts w:ascii="Arial" w:hAnsi="Arial" w:cs="Arial"/>
        </w:rPr>
        <w:t xml:space="preserve">. Conversely, visiting friends and relatives grew slightly over the period, thanks to a strong rebound in 2012. Visitation for business and other reasons also grew, by 1.1 million </w:t>
      </w:r>
      <w:r w:rsidR="00EA3689" w:rsidRPr="00DF3703">
        <w:rPr>
          <w:rFonts w:ascii="Arial" w:hAnsi="Arial" w:cs="Arial"/>
        </w:rPr>
        <w:t xml:space="preserve">days </w:t>
      </w:r>
      <w:r w:rsidR="006B7D88" w:rsidRPr="00DF3703">
        <w:rPr>
          <w:rFonts w:ascii="Arial" w:hAnsi="Arial" w:cs="Arial"/>
        </w:rPr>
        <w:t xml:space="preserve">and 1.4 million nights respectively.  </w:t>
      </w:r>
    </w:p>
    <w:p w:rsidR="008A7880" w:rsidRPr="00DF3703" w:rsidRDefault="006B7D88" w:rsidP="008A7880">
      <w:pPr>
        <w:pStyle w:val="CaptionChart"/>
        <w:rPr>
          <w:rFonts w:ascii="Arial" w:hAnsi="Arial" w:cs="Arial"/>
        </w:rPr>
      </w:pPr>
      <w:bookmarkStart w:id="59" w:name="_Ref336943576"/>
      <w:bookmarkStart w:id="60" w:name="_Toc355701040"/>
      <w:r w:rsidRPr="00DF3703">
        <w:rPr>
          <w:rFonts w:ascii="Arial" w:hAnsi="Arial" w:cs="Arial"/>
        </w:rPr>
        <w:t xml:space="preserve">: Visitor nights/day in the </w:t>
      </w:r>
      <w:r w:rsidR="003C4DCF" w:rsidRPr="00DF3703">
        <w:rPr>
          <w:rFonts w:ascii="Arial" w:hAnsi="Arial" w:cs="Arial"/>
        </w:rPr>
        <w:t>catchment</w:t>
      </w:r>
      <w:r w:rsidRPr="00DF3703">
        <w:rPr>
          <w:rFonts w:ascii="Arial" w:hAnsi="Arial" w:cs="Arial"/>
        </w:rPr>
        <w:t xml:space="preserve"> by main purpose of travel</w:t>
      </w:r>
      <w:bookmarkEnd w:id="59"/>
      <w:bookmarkEnd w:id="60"/>
      <w:r w:rsidRPr="00DF3703">
        <w:rPr>
          <w:rFonts w:ascii="Arial" w:hAnsi="Arial" w:cs="Arial"/>
        </w:rPr>
        <w:t xml:space="preserve"> </w:t>
      </w:r>
    </w:p>
    <w:p w:rsidR="008A7880" w:rsidRPr="00DF3703" w:rsidRDefault="003747D4" w:rsidP="008A7880">
      <w:pPr>
        <w:pStyle w:val="Source"/>
        <w:ind w:firstLine="720"/>
        <w:rPr>
          <w:rFonts w:ascii="Arial" w:hAnsi="Arial"/>
        </w:rPr>
      </w:pPr>
      <w:r w:rsidRPr="00DF3703">
        <w:rPr>
          <w:rFonts w:ascii="Arial" w:hAnsi="Arial"/>
          <w:noProof/>
          <w:lang w:eastAsia="en-AU"/>
        </w:rPr>
        <w:drawing>
          <wp:inline distT="0" distB="0" distL="0" distR="0">
            <wp:extent cx="4572635" cy="2743200"/>
            <wp:effectExtent l="0" t="0" r="0" b="0"/>
            <wp:docPr id="18" name="Picture 18" descr="Chart showing visitor days in the catchment by main purpose of travel. Holiday and leisure travel was the most common, with visiting friends and relatives, business, and other making up the rema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3534B2" w:rsidRPr="00DF3703" w:rsidRDefault="006B7D88" w:rsidP="003534B2">
      <w:pPr>
        <w:pStyle w:val="Source"/>
        <w:ind w:firstLine="567"/>
        <w:rPr>
          <w:rFonts w:ascii="Arial" w:hAnsi="Arial"/>
        </w:rPr>
      </w:pPr>
      <w:r w:rsidRPr="00DF3703">
        <w:rPr>
          <w:rFonts w:ascii="Arial" w:hAnsi="Arial"/>
        </w:rPr>
        <w:t>Source: TRA 2012, Deloitte Access Economics</w:t>
      </w:r>
    </w:p>
    <w:p w:rsidR="001D0358" w:rsidRPr="00DF3703" w:rsidRDefault="006B7D88" w:rsidP="001D0358">
      <w:pPr>
        <w:pStyle w:val="Source"/>
        <w:spacing w:after="0"/>
        <w:ind w:left="567"/>
        <w:rPr>
          <w:rFonts w:ascii="Arial" w:hAnsi="Arial"/>
        </w:rPr>
      </w:pPr>
      <w:r w:rsidRPr="00DF3703">
        <w:rPr>
          <w:rFonts w:ascii="Arial" w:hAnsi="Arial"/>
        </w:rPr>
        <w:t>Note: domestic overnight and international are measured in terms of number of nights, while domestic day is measured in terms of number of days.</w:t>
      </w:r>
    </w:p>
    <w:p w:rsidR="001D0358" w:rsidRPr="00DF3703" w:rsidRDefault="006B7D88" w:rsidP="001D0358">
      <w:pPr>
        <w:pStyle w:val="BodyText"/>
        <w:rPr>
          <w:rFonts w:ascii="Arial" w:hAnsi="Arial" w:cs="Arial"/>
        </w:rPr>
      </w:pPr>
      <w:r w:rsidRPr="00DF3703">
        <w:rPr>
          <w:rFonts w:ascii="Arial" w:hAnsi="Arial" w:cs="Arial"/>
        </w:rPr>
        <w:lastRenderedPageBreak/>
        <w:t xml:space="preserve">As a result of the relative weakness in leisure travel, its share of tourism to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region fell by 6 percentage points over the period to 48%, while the share of business travellers h</w:t>
      </w:r>
      <w:r w:rsidR="00141B52" w:rsidRPr="00DF3703">
        <w:rPr>
          <w:rFonts w:ascii="Arial" w:hAnsi="Arial" w:cs="Arial"/>
        </w:rPr>
        <w:t>as increased slightly.</w:t>
      </w:r>
    </w:p>
    <w:p w:rsidR="00F92CE8" w:rsidRPr="00DF3703" w:rsidRDefault="006B7D88" w:rsidP="001D0358">
      <w:pPr>
        <w:pStyle w:val="BodyText"/>
        <w:rPr>
          <w:rFonts w:ascii="Arial" w:hAnsi="Arial" w:cs="Arial"/>
        </w:rPr>
      </w:pPr>
      <w:r w:rsidRPr="00DF3703">
        <w:rPr>
          <w:rFonts w:ascii="Arial" w:hAnsi="Arial" w:cs="Arial"/>
        </w:rPr>
        <w:t>These findings are consistent with the trend of Australians choosing to holiday overseas over the last decade.  Outbound leisure travel has grown at double-digit rates over much of this period, largely at the expense of domestic leisure travel.  However, this trend has been slowing and Deloitte Access Economics’ tourism forecasts show it slo</w:t>
      </w:r>
      <w:r w:rsidR="00141B52" w:rsidRPr="00DF3703">
        <w:rPr>
          <w:rFonts w:ascii="Arial" w:hAnsi="Arial" w:cs="Arial"/>
        </w:rPr>
        <w:t>wing further over coming years.</w:t>
      </w:r>
    </w:p>
    <w:p w:rsidR="005A173D" w:rsidRPr="00DF3703" w:rsidRDefault="006B7D88" w:rsidP="001D0358">
      <w:pPr>
        <w:pStyle w:val="BodyText"/>
        <w:rPr>
          <w:rFonts w:ascii="Arial" w:hAnsi="Arial" w:cs="Arial"/>
        </w:rPr>
      </w:pPr>
      <w:r w:rsidRPr="00DF3703">
        <w:rPr>
          <w:rFonts w:ascii="Arial" w:hAnsi="Arial" w:cs="Arial"/>
        </w:rPr>
        <w:t xml:space="preserve">While for Australia international leisure travel has not declined overall, the profile of international leisure travellers has changed at the expense of holiday destinations such as the </w:t>
      </w:r>
      <w:r w:rsidR="005D60BC" w:rsidRPr="00DF3703">
        <w:rPr>
          <w:rFonts w:ascii="Arial" w:hAnsi="Arial" w:cs="Arial"/>
        </w:rPr>
        <w:t>Great Barrier Reef Marine Park</w:t>
      </w:r>
      <w:r w:rsidRPr="00DF3703">
        <w:rPr>
          <w:rFonts w:ascii="Arial" w:hAnsi="Arial" w:cs="Arial"/>
        </w:rPr>
        <w:t>, with more international tourists visiting the capital cities.</w:t>
      </w:r>
    </w:p>
    <w:p w:rsidR="00A24BB9" w:rsidRPr="00DF3703" w:rsidRDefault="006B7D88" w:rsidP="007C691B">
      <w:pPr>
        <w:pStyle w:val="DBluedk"/>
        <w:rPr>
          <w:rFonts w:cs="Arial"/>
        </w:rPr>
      </w:pPr>
      <w:bookmarkStart w:id="61" w:name="_Toc355700983"/>
      <w:r w:rsidRPr="00DF3703">
        <w:rPr>
          <w:rFonts w:cs="Arial"/>
        </w:rPr>
        <w:t>The NRM regions</w:t>
      </w:r>
      <w:bookmarkEnd w:id="61"/>
    </w:p>
    <w:p w:rsidR="00702DDE" w:rsidRPr="00DF3703" w:rsidRDefault="006B7D88" w:rsidP="00A24BB9">
      <w:pPr>
        <w:pStyle w:val="BodyText"/>
        <w:rPr>
          <w:rFonts w:ascii="Arial" w:hAnsi="Arial" w:cs="Arial"/>
        </w:rPr>
      </w:pPr>
      <w:r w:rsidRPr="00DF3703">
        <w:rPr>
          <w:rFonts w:ascii="Arial" w:hAnsi="Arial" w:cs="Arial"/>
        </w:rPr>
        <w:t>Tourism activity over the last five years has varied significantly across natural resource management regions.</w:t>
      </w:r>
      <w:r w:rsidR="00702DDE" w:rsidRPr="00DF3703">
        <w:rPr>
          <w:rFonts w:ascii="Arial" w:hAnsi="Arial" w:cs="Arial"/>
        </w:rPr>
        <w:t xml:space="preserve">  International visitor nights has steadily declined by about 10% in the last five years</w:t>
      </w:r>
      <w:r w:rsidR="008F6F95" w:rsidRPr="00DF3703">
        <w:rPr>
          <w:rFonts w:ascii="Arial" w:hAnsi="Arial" w:cs="Arial"/>
        </w:rPr>
        <w:t>.</w:t>
      </w:r>
    </w:p>
    <w:p w:rsidR="00A24BB9" w:rsidRPr="00DF3703" w:rsidRDefault="00DC1EAB" w:rsidP="00A24BB9">
      <w:pPr>
        <w:pStyle w:val="BodyText"/>
        <w:rPr>
          <w:rFonts w:ascii="Arial" w:hAnsi="Arial" w:cs="Arial"/>
        </w:rPr>
      </w:pPr>
      <w:r w:rsidRPr="00DF3703">
        <w:rPr>
          <w:rFonts w:ascii="Arial" w:hAnsi="Arial" w:cs="Arial"/>
        </w:rPr>
        <w:t>In the last five years t</w:t>
      </w:r>
      <w:r w:rsidR="006B7D88" w:rsidRPr="00DF3703">
        <w:rPr>
          <w:rFonts w:ascii="Arial" w:hAnsi="Arial" w:cs="Arial"/>
        </w:rPr>
        <w:t>he Wet Tropics</w:t>
      </w:r>
      <w:r w:rsidRPr="00DF3703">
        <w:rPr>
          <w:rFonts w:ascii="Arial" w:hAnsi="Arial" w:cs="Arial"/>
        </w:rPr>
        <w:t xml:space="preserve"> NRM has experienced a decline of about 6.9 million international visitor nights in 2007 to about 5.3 million in 2012 </w:t>
      </w:r>
      <w:r w:rsidR="006B7D88" w:rsidRPr="00DF3703">
        <w:rPr>
          <w:rFonts w:ascii="Arial" w:hAnsi="Arial" w:cs="Arial"/>
        </w:rPr>
        <w:t>(</w:t>
      </w:r>
      <w:r w:rsidR="00EB023D">
        <w:rPr>
          <w:rFonts w:ascii="Arial" w:hAnsi="Arial" w:cs="Arial"/>
        </w:rPr>
        <w:fldChar w:fldCharType="begin"/>
      </w:r>
      <w:r w:rsidR="005E13B5">
        <w:rPr>
          <w:rFonts w:ascii="Arial" w:hAnsi="Arial" w:cs="Arial"/>
        </w:rPr>
        <w:instrText xml:space="preserve"> REF _Ref338778935 \r \h </w:instrText>
      </w:r>
      <w:r w:rsidR="00EB023D">
        <w:rPr>
          <w:rFonts w:ascii="Arial" w:hAnsi="Arial" w:cs="Arial"/>
        </w:rPr>
      </w:r>
      <w:r w:rsidR="00EB023D">
        <w:rPr>
          <w:rFonts w:ascii="Arial" w:hAnsi="Arial" w:cs="Arial"/>
        </w:rPr>
        <w:fldChar w:fldCharType="separate"/>
      </w:r>
      <w:r w:rsidR="00536D7E">
        <w:rPr>
          <w:rFonts w:ascii="Arial" w:hAnsi="Arial" w:cs="Arial"/>
        </w:rPr>
        <w:t>Chart 3.3</w:t>
      </w:r>
      <w:r w:rsidR="00EB023D">
        <w:rPr>
          <w:rFonts w:ascii="Arial" w:hAnsi="Arial" w:cs="Arial"/>
        </w:rPr>
        <w:fldChar w:fldCharType="end"/>
      </w:r>
      <w:r w:rsidR="006B7D88" w:rsidRPr="00DF3703">
        <w:rPr>
          <w:rFonts w:ascii="Arial" w:hAnsi="Arial" w:cs="Arial"/>
        </w:rPr>
        <w:t>)</w:t>
      </w:r>
      <w:r w:rsidRPr="00DF3703">
        <w:rPr>
          <w:rFonts w:ascii="Arial" w:hAnsi="Arial" w:cs="Arial"/>
        </w:rPr>
        <w:t xml:space="preserve">.  </w:t>
      </w:r>
      <w:r w:rsidR="006B7D88" w:rsidRPr="00DF3703">
        <w:rPr>
          <w:rFonts w:ascii="Arial" w:hAnsi="Arial" w:cs="Arial"/>
        </w:rPr>
        <w:t>Conversely, international visitor nights have increased in the Fitzroy NRM region</w:t>
      </w:r>
      <w:r w:rsidRPr="00DF3703">
        <w:rPr>
          <w:rFonts w:ascii="Arial" w:hAnsi="Arial" w:cs="Arial"/>
        </w:rPr>
        <w:t xml:space="preserve"> from about 600,000 to about 1.2 million</w:t>
      </w:r>
      <w:r w:rsidR="006B7D88" w:rsidRPr="00DF3703">
        <w:rPr>
          <w:rFonts w:ascii="Arial" w:hAnsi="Arial" w:cs="Arial"/>
        </w:rPr>
        <w:t xml:space="preserve">.  </w:t>
      </w:r>
      <w:r w:rsidRPr="00DF3703">
        <w:rPr>
          <w:rFonts w:ascii="Arial" w:hAnsi="Arial" w:cs="Arial"/>
        </w:rPr>
        <w:t>The Mackay-Whitsundays region with about 1.6 million international visitor nights did experience some fluctuation over the modelling period.</w:t>
      </w:r>
    </w:p>
    <w:p w:rsidR="00A24BB9" w:rsidRPr="00DF3703" w:rsidRDefault="006B7D88" w:rsidP="00A24BB9">
      <w:pPr>
        <w:pStyle w:val="CaptionChart"/>
        <w:rPr>
          <w:rFonts w:ascii="Arial" w:hAnsi="Arial" w:cs="Arial"/>
        </w:rPr>
      </w:pPr>
      <w:bookmarkStart w:id="62" w:name="_Ref338778935"/>
      <w:bookmarkStart w:id="63" w:name="_Toc355701041"/>
      <w:r w:rsidRPr="00DF3703">
        <w:rPr>
          <w:rFonts w:ascii="Arial" w:hAnsi="Arial" w:cs="Arial"/>
        </w:rPr>
        <w:t>: International visitor nights by NRM region</w:t>
      </w:r>
      <w:bookmarkEnd w:id="62"/>
      <w:bookmarkEnd w:id="63"/>
    </w:p>
    <w:p w:rsidR="00A24BB9" w:rsidRPr="00DF3703" w:rsidRDefault="003747D4" w:rsidP="00A24BB9">
      <w:pPr>
        <w:ind w:firstLine="567"/>
        <w:rPr>
          <w:rFonts w:ascii="Arial" w:hAnsi="Arial" w:cs="Arial"/>
        </w:rPr>
      </w:pPr>
      <w:r w:rsidRPr="00DF3703">
        <w:rPr>
          <w:rFonts w:ascii="Arial" w:hAnsi="Arial" w:cs="Arial"/>
          <w:noProof/>
          <w:lang w:eastAsia="en-AU"/>
        </w:rPr>
        <w:drawing>
          <wp:inline distT="0" distB="0" distL="0" distR="0">
            <wp:extent cx="4572000" cy="2735580"/>
            <wp:effectExtent l="0" t="0" r="0" b="7620"/>
            <wp:docPr id="10" name="Picture 10" descr="chart showing international visitor nights between 2007 - 2012 for each of the natural resources management regions, with the wet tropics contributing the majority of visitor 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35580"/>
                    </a:xfrm>
                    <a:prstGeom prst="rect">
                      <a:avLst/>
                    </a:prstGeom>
                    <a:noFill/>
                    <a:ln>
                      <a:noFill/>
                    </a:ln>
                  </pic:spPr>
                </pic:pic>
              </a:graphicData>
            </a:graphic>
          </wp:inline>
        </w:drawing>
      </w:r>
    </w:p>
    <w:p w:rsidR="00A24BB9" w:rsidRPr="00DF3703" w:rsidRDefault="006B7D88" w:rsidP="00A24BB9">
      <w:pPr>
        <w:pStyle w:val="Source"/>
        <w:ind w:firstLine="567"/>
        <w:rPr>
          <w:rFonts w:ascii="Arial" w:hAnsi="Arial"/>
        </w:rPr>
      </w:pPr>
      <w:r w:rsidRPr="00DF3703">
        <w:rPr>
          <w:rFonts w:ascii="Arial" w:hAnsi="Arial"/>
        </w:rPr>
        <w:t>Source: TRA 2012, Deloitte Access Economics</w:t>
      </w:r>
    </w:p>
    <w:p w:rsidR="003A31FD" w:rsidRPr="00DF3703" w:rsidRDefault="006B7D88" w:rsidP="00A24BB9">
      <w:pPr>
        <w:pStyle w:val="Bullet1"/>
        <w:numPr>
          <w:ilvl w:val="0"/>
          <w:numId w:val="0"/>
        </w:numPr>
        <w:rPr>
          <w:rFonts w:ascii="Arial" w:hAnsi="Arial"/>
        </w:rPr>
      </w:pPr>
      <w:r w:rsidRPr="00DF3703">
        <w:rPr>
          <w:rFonts w:ascii="Arial" w:hAnsi="Arial"/>
        </w:rPr>
        <w:t>While the number of domestic nights</w:t>
      </w:r>
      <w:r w:rsidR="00DC1EAB" w:rsidRPr="00DF3703">
        <w:rPr>
          <w:rFonts w:ascii="Arial" w:hAnsi="Arial"/>
        </w:rPr>
        <w:t>/ days</w:t>
      </w:r>
      <w:r w:rsidRPr="00DF3703">
        <w:rPr>
          <w:rFonts w:ascii="Arial" w:hAnsi="Arial"/>
        </w:rPr>
        <w:t xml:space="preserve"> has fluctuated considerably over the period</w:t>
      </w:r>
      <w:r w:rsidR="003A31FD" w:rsidRPr="00DF3703">
        <w:rPr>
          <w:rFonts w:ascii="Arial" w:hAnsi="Arial"/>
        </w:rPr>
        <w:t>,</w:t>
      </w:r>
      <w:r w:rsidRPr="00DF3703">
        <w:rPr>
          <w:rFonts w:ascii="Arial" w:hAnsi="Arial"/>
        </w:rPr>
        <w:t xml:space="preserve"> </w:t>
      </w:r>
      <w:r w:rsidR="003C37BC" w:rsidRPr="00DF3703">
        <w:rPr>
          <w:rFonts w:ascii="Arial" w:hAnsi="Arial"/>
        </w:rPr>
        <w:t>they</w:t>
      </w:r>
      <w:r w:rsidR="003A31FD" w:rsidRPr="00DF3703">
        <w:rPr>
          <w:rFonts w:ascii="Arial" w:hAnsi="Arial"/>
        </w:rPr>
        <w:t xml:space="preserve"> </w:t>
      </w:r>
      <w:r w:rsidR="00977007" w:rsidRPr="00DF3703">
        <w:rPr>
          <w:rFonts w:ascii="Arial" w:hAnsi="Arial"/>
        </w:rPr>
        <w:t xml:space="preserve">have </w:t>
      </w:r>
      <w:r w:rsidR="003A31FD" w:rsidRPr="00DF3703">
        <w:rPr>
          <w:rFonts w:ascii="Arial" w:hAnsi="Arial"/>
        </w:rPr>
        <w:t>increase</w:t>
      </w:r>
      <w:r w:rsidR="00977007" w:rsidRPr="00DF3703">
        <w:rPr>
          <w:rFonts w:ascii="Arial" w:hAnsi="Arial"/>
        </w:rPr>
        <w:t>d</w:t>
      </w:r>
      <w:r w:rsidR="003A31FD" w:rsidRPr="00DF3703">
        <w:rPr>
          <w:rFonts w:ascii="Arial" w:hAnsi="Arial"/>
        </w:rPr>
        <w:t xml:space="preserve"> by about 9% from 2007 levels</w:t>
      </w:r>
      <w:r w:rsidR="003C37BC" w:rsidRPr="00DF3703">
        <w:rPr>
          <w:rFonts w:ascii="Arial" w:hAnsi="Arial"/>
        </w:rPr>
        <w:t xml:space="preserve"> (see</w:t>
      </w:r>
      <w:r w:rsidR="005E13B5">
        <w:rPr>
          <w:rFonts w:ascii="Arial" w:hAnsi="Arial"/>
        </w:rPr>
        <w:t xml:space="preserve"> </w:t>
      </w:r>
      <w:r w:rsidR="00EB023D">
        <w:rPr>
          <w:rFonts w:ascii="Arial" w:hAnsi="Arial"/>
        </w:rPr>
        <w:fldChar w:fldCharType="begin"/>
      </w:r>
      <w:r w:rsidR="005E13B5">
        <w:rPr>
          <w:rFonts w:ascii="Arial" w:hAnsi="Arial"/>
        </w:rPr>
        <w:instrText xml:space="preserve"> REF _Ref348026780 \r \h </w:instrText>
      </w:r>
      <w:r w:rsidR="00EB023D">
        <w:rPr>
          <w:rFonts w:ascii="Arial" w:hAnsi="Arial"/>
        </w:rPr>
      </w:r>
      <w:r w:rsidR="00EB023D">
        <w:rPr>
          <w:rFonts w:ascii="Arial" w:hAnsi="Arial"/>
        </w:rPr>
        <w:fldChar w:fldCharType="separate"/>
      </w:r>
      <w:r w:rsidR="00536D7E">
        <w:rPr>
          <w:rFonts w:ascii="Arial" w:hAnsi="Arial"/>
        </w:rPr>
        <w:t>Chart 3.4</w:t>
      </w:r>
      <w:r w:rsidR="00EB023D">
        <w:rPr>
          <w:rFonts w:ascii="Arial" w:hAnsi="Arial"/>
        </w:rPr>
        <w:fldChar w:fldCharType="end"/>
      </w:r>
      <w:r w:rsidR="003C37BC" w:rsidRPr="00DF3703">
        <w:rPr>
          <w:rFonts w:ascii="Arial" w:hAnsi="Arial"/>
        </w:rPr>
        <w:t>)</w:t>
      </w:r>
      <w:r w:rsidR="00DC1EAB" w:rsidRPr="00DF3703">
        <w:rPr>
          <w:rFonts w:ascii="Arial" w:hAnsi="Arial"/>
        </w:rPr>
        <w:t xml:space="preserve">. </w:t>
      </w:r>
      <w:r w:rsidR="003A31FD" w:rsidRPr="00DF3703">
        <w:rPr>
          <w:rFonts w:ascii="Arial" w:hAnsi="Arial"/>
        </w:rPr>
        <w:t xml:space="preserve"> Many of the regions have reported similar increases over the modelling period, including a 10% increase in the number of nights/ days in the Wet Tropics.  The largest </w:t>
      </w:r>
      <w:r w:rsidR="003A31FD" w:rsidRPr="00DF3703">
        <w:rPr>
          <w:rFonts w:ascii="Arial" w:hAnsi="Arial"/>
        </w:rPr>
        <w:lastRenderedPageBreak/>
        <w:t>increase was reported in the Burnett Mary region with 19% growth</w:t>
      </w:r>
      <w:r w:rsidR="00962CEB" w:rsidRPr="00DF3703">
        <w:rPr>
          <w:rFonts w:ascii="Arial" w:hAnsi="Arial"/>
        </w:rPr>
        <w:t>, conversely the Mackay-Whitsundays reported a decline in domestic visitor nights/ days of 6% over the modelling period.</w:t>
      </w:r>
    </w:p>
    <w:p w:rsidR="00A24BB9" w:rsidRPr="00DF3703" w:rsidRDefault="006B7D88" w:rsidP="00A24BB9">
      <w:pPr>
        <w:pStyle w:val="CaptionChart"/>
        <w:rPr>
          <w:rFonts w:ascii="Arial" w:hAnsi="Arial" w:cs="Arial"/>
        </w:rPr>
      </w:pPr>
      <w:bookmarkStart w:id="64" w:name="_Ref348026780"/>
      <w:bookmarkStart w:id="65" w:name="_Toc355701042"/>
      <w:r w:rsidRPr="00DF3703">
        <w:rPr>
          <w:rFonts w:ascii="Arial" w:hAnsi="Arial" w:cs="Arial"/>
        </w:rPr>
        <w:t xml:space="preserve">: Domestic visitor nights by </w:t>
      </w:r>
      <w:r w:rsidR="001C33DB" w:rsidRPr="00DF3703">
        <w:rPr>
          <w:rFonts w:ascii="Arial" w:hAnsi="Arial" w:cs="Arial"/>
        </w:rPr>
        <w:t>NRM</w:t>
      </w:r>
      <w:r w:rsidRPr="00DF3703">
        <w:rPr>
          <w:rFonts w:ascii="Arial" w:hAnsi="Arial" w:cs="Arial"/>
        </w:rPr>
        <w:t xml:space="preserve"> region</w:t>
      </w:r>
      <w:bookmarkEnd w:id="64"/>
      <w:bookmarkEnd w:id="65"/>
    </w:p>
    <w:p w:rsidR="00A24BB9" w:rsidRPr="00DF3703" w:rsidRDefault="00DC1EAB" w:rsidP="00A24BB9">
      <w:pPr>
        <w:ind w:firstLine="567"/>
        <w:rPr>
          <w:rFonts w:ascii="Arial" w:hAnsi="Arial" w:cs="Arial"/>
        </w:rPr>
      </w:pPr>
      <w:r w:rsidRPr="00DF3703">
        <w:rPr>
          <w:noProof/>
          <w:lang w:eastAsia="en-AU"/>
        </w:rPr>
        <w:drawing>
          <wp:inline distT="0" distB="0" distL="0" distR="0">
            <wp:extent cx="4572000" cy="2734310"/>
            <wp:effectExtent l="0" t="0" r="0" b="8890"/>
            <wp:docPr id="4" name="Picture 4" descr="The chart shows that domestic visitor nights declined in all regions in 2009 and again in 2011, but are increasing again in all levels in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34310"/>
                    </a:xfrm>
                    <a:prstGeom prst="rect">
                      <a:avLst/>
                    </a:prstGeom>
                    <a:noFill/>
                    <a:ln>
                      <a:noFill/>
                    </a:ln>
                  </pic:spPr>
                </pic:pic>
              </a:graphicData>
            </a:graphic>
          </wp:inline>
        </w:drawing>
      </w:r>
    </w:p>
    <w:p w:rsidR="00A24BB9" w:rsidRPr="00DF3703" w:rsidRDefault="006B7D88" w:rsidP="00A24BB9">
      <w:pPr>
        <w:pStyle w:val="Source"/>
        <w:ind w:firstLine="567"/>
        <w:rPr>
          <w:rFonts w:ascii="Arial" w:hAnsi="Arial"/>
        </w:rPr>
      </w:pPr>
      <w:r w:rsidRPr="00DF3703">
        <w:rPr>
          <w:rFonts w:ascii="Arial" w:hAnsi="Arial"/>
        </w:rPr>
        <w:t>Source: TRA 2012, Deloitte Access Economics</w:t>
      </w:r>
    </w:p>
    <w:p w:rsidR="00A24BB9" w:rsidRPr="00DF3703" w:rsidRDefault="006B7D88" w:rsidP="00A24BB9">
      <w:pPr>
        <w:pStyle w:val="BodyText"/>
        <w:rPr>
          <w:rFonts w:ascii="Arial" w:hAnsi="Arial" w:cs="Arial"/>
        </w:rPr>
      </w:pPr>
      <w:r w:rsidRPr="00DF3703">
        <w:rPr>
          <w:rFonts w:ascii="Arial" w:hAnsi="Arial" w:cs="Arial"/>
        </w:rPr>
        <w:t xml:space="preserve">There are also considerable differences in purpose of travel across NRM regions. As shown in </w:t>
      </w:r>
      <w:r w:rsidR="00EB023D">
        <w:rPr>
          <w:rFonts w:ascii="Arial" w:hAnsi="Arial" w:cs="Arial"/>
        </w:rPr>
        <w:fldChar w:fldCharType="begin"/>
      </w:r>
      <w:r w:rsidR="005E13B5">
        <w:rPr>
          <w:rFonts w:ascii="Arial" w:hAnsi="Arial" w:cs="Arial"/>
        </w:rPr>
        <w:instrText xml:space="preserve"> REF _Ref350159734 \r \h </w:instrText>
      </w:r>
      <w:r w:rsidR="00EB023D">
        <w:rPr>
          <w:rFonts w:ascii="Arial" w:hAnsi="Arial" w:cs="Arial"/>
        </w:rPr>
      </w:r>
      <w:r w:rsidR="00EB023D">
        <w:rPr>
          <w:rFonts w:ascii="Arial" w:hAnsi="Arial" w:cs="Arial"/>
        </w:rPr>
        <w:fldChar w:fldCharType="separate"/>
      </w:r>
      <w:r w:rsidR="00536D7E">
        <w:rPr>
          <w:rFonts w:ascii="Arial" w:hAnsi="Arial" w:cs="Arial"/>
        </w:rPr>
        <w:t>Table 3.1</w:t>
      </w:r>
      <w:r w:rsidR="00EB023D">
        <w:rPr>
          <w:rFonts w:ascii="Arial" w:hAnsi="Arial" w:cs="Arial"/>
        </w:rPr>
        <w:fldChar w:fldCharType="end"/>
      </w:r>
      <w:r w:rsidR="00981AA2">
        <w:rPr>
          <w:rFonts w:ascii="Arial" w:hAnsi="Arial" w:cs="Arial"/>
        </w:rPr>
        <w:t xml:space="preserve"> </w:t>
      </w:r>
      <w:r w:rsidRPr="00DF3703">
        <w:rPr>
          <w:rFonts w:ascii="Arial" w:hAnsi="Arial" w:cs="Arial"/>
        </w:rPr>
        <w:t xml:space="preserve">the Cape York, Wet Tropics, Mackay-Whitsunday and Burnett Mary NRMs are more dependent on holiday/leisure travellers than the </w:t>
      </w:r>
      <w:r w:rsidR="00BA52D9" w:rsidRPr="00DF3703">
        <w:rPr>
          <w:rFonts w:ascii="Arial" w:hAnsi="Arial" w:cs="Arial"/>
        </w:rPr>
        <w:t>catchment</w:t>
      </w:r>
      <w:r w:rsidRPr="00DF3703">
        <w:rPr>
          <w:rFonts w:ascii="Arial" w:hAnsi="Arial" w:cs="Arial"/>
        </w:rPr>
        <w:t xml:space="preserve"> average but are less dependent on business travellers.  In the Wet Tropics NRM region, 61.3% of total visitor nights (or days for domestic day visitors) were for holiday/leisure purposes compared to 48.7% for the whole of the </w:t>
      </w:r>
      <w:r w:rsidR="00BA52D9" w:rsidRPr="00DF3703">
        <w:rPr>
          <w:rFonts w:ascii="Arial" w:hAnsi="Arial" w:cs="Arial"/>
        </w:rPr>
        <w:t>catchment</w:t>
      </w:r>
      <w:r w:rsidRPr="00DF3703">
        <w:rPr>
          <w:rFonts w:ascii="Arial" w:hAnsi="Arial" w:cs="Arial"/>
        </w:rPr>
        <w:t xml:space="preserve">.  </w:t>
      </w:r>
    </w:p>
    <w:p w:rsidR="00A24BB9" w:rsidRPr="00DF3703" w:rsidRDefault="006B7D88" w:rsidP="00921021">
      <w:pPr>
        <w:pStyle w:val="CaptionTable"/>
        <w:ind w:left="0"/>
        <w:rPr>
          <w:rFonts w:ascii="Arial" w:hAnsi="Arial" w:cs="Arial"/>
        </w:rPr>
      </w:pPr>
      <w:bookmarkStart w:id="66" w:name="_Ref338623431"/>
      <w:bookmarkStart w:id="67" w:name="_Toc343001905"/>
      <w:bookmarkStart w:id="68" w:name="_Ref350159734"/>
      <w:bookmarkStart w:id="69" w:name="_Toc355701049"/>
      <w:r w:rsidRPr="00DF3703">
        <w:rPr>
          <w:rFonts w:ascii="Arial" w:hAnsi="Arial" w:cs="Arial"/>
        </w:rPr>
        <w:t xml:space="preserve">: Reason for travel by NRM region, </w:t>
      </w:r>
      <w:bookmarkEnd w:id="66"/>
      <w:r w:rsidRPr="00DF3703">
        <w:rPr>
          <w:rFonts w:ascii="Arial" w:hAnsi="Arial" w:cs="Arial"/>
        </w:rPr>
        <w:t>2012 (total visitor nights/days)</w:t>
      </w:r>
      <w:bookmarkEnd w:id="67"/>
      <w:bookmarkEnd w:id="68"/>
      <w:bookmarkEnd w:id="69"/>
    </w:p>
    <w:tbl>
      <w:tblPr>
        <w:tblStyle w:val="TableAEGrey"/>
        <w:tblW w:w="5000" w:type="pct"/>
        <w:tblLayout w:type="fixed"/>
        <w:tblLook w:val="04A0"/>
      </w:tblPr>
      <w:tblGrid>
        <w:gridCol w:w="2660"/>
        <w:gridCol w:w="1156"/>
        <w:gridCol w:w="1156"/>
        <w:gridCol w:w="1156"/>
        <w:gridCol w:w="1156"/>
        <w:gridCol w:w="1152"/>
      </w:tblGrid>
      <w:tr w:rsidR="00A24BB9" w:rsidRPr="00DF3703" w:rsidTr="00A24BB9">
        <w:trPr>
          <w:cnfStyle w:val="100000000000"/>
        </w:trPr>
        <w:tc>
          <w:tcPr>
            <w:tcW w:w="1577" w:type="pct"/>
          </w:tcPr>
          <w:p w:rsidR="00A24BB9" w:rsidRPr="00DF3703" w:rsidRDefault="006B7D88" w:rsidP="00A24BB9">
            <w:pPr>
              <w:pStyle w:val="TableHeadingCentre"/>
              <w:jc w:val="left"/>
              <w:rPr>
                <w:rFonts w:ascii="Arial" w:hAnsi="Arial" w:cs="Arial"/>
              </w:rPr>
            </w:pPr>
            <w:r w:rsidRPr="00DF3703">
              <w:rPr>
                <w:rFonts w:ascii="Arial" w:hAnsi="Arial" w:cs="Arial"/>
              </w:rPr>
              <w:t xml:space="preserve">Reason for travel </w:t>
            </w:r>
          </w:p>
        </w:tc>
        <w:tc>
          <w:tcPr>
            <w:tcW w:w="685" w:type="pct"/>
          </w:tcPr>
          <w:p w:rsidR="00A24BB9" w:rsidRPr="00DF3703" w:rsidRDefault="006B7D88" w:rsidP="00A24BB9">
            <w:pPr>
              <w:pStyle w:val="TableHeadingCentre"/>
              <w:jc w:val="right"/>
              <w:rPr>
                <w:rFonts w:ascii="Arial" w:hAnsi="Arial" w:cs="Arial"/>
              </w:rPr>
            </w:pPr>
            <w:r w:rsidRPr="00DF3703">
              <w:rPr>
                <w:rFonts w:ascii="Arial" w:hAnsi="Arial" w:cs="Arial"/>
                <w:sz w:val="21"/>
                <w:szCs w:val="21"/>
              </w:rPr>
              <w:t>Holiday/ leisure</w:t>
            </w:r>
          </w:p>
        </w:tc>
        <w:tc>
          <w:tcPr>
            <w:tcW w:w="685" w:type="pct"/>
          </w:tcPr>
          <w:p w:rsidR="00A24BB9" w:rsidRPr="00DF3703" w:rsidRDefault="006B7D88" w:rsidP="00A24BB9">
            <w:pPr>
              <w:pStyle w:val="TableHeadingCentre"/>
              <w:jc w:val="right"/>
              <w:rPr>
                <w:rFonts w:ascii="Arial" w:hAnsi="Arial" w:cs="Arial"/>
                <w:sz w:val="21"/>
                <w:szCs w:val="21"/>
              </w:rPr>
            </w:pPr>
            <w:r w:rsidRPr="00DF3703">
              <w:rPr>
                <w:rFonts w:ascii="Arial" w:hAnsi="Arial" w:cs="Arial"/>
                <w:sz w:val="21"/>
                <w:szCs w:val="21"/>
              </w:rPr>
              <w:t>VFR</w:t>
            </w:r>
          </w:p>
        </w:tc>
        <w:tc>
          <w:tcPr>
            <w:tcW w:w="685" w:type="pct"/>
          </w:tcPr>
          <w:p w:rsidR="00A24BB9" w:rsidRPr="00DF3703" w:rsidRDefault="006B7D88" w:rsidP="00A24BB9">
            <w:pPr>
              <w:pStyle w:val="TableHeadingCentre"/>
              <w:rPr>
                <w:rFonts w:ascii="Arial" w:hAnsi="Arial" w:cs="Arial"/>
                <w:sz w:val="21"/>
                <w:szCs w:val="21"/>
              </w:rPr>
            </w:pPr>
            <w:r w:rsidRPr="00DF3703">
              <w:rPr>
                <w:rFonts w:ascii="Arial" w:hAnsi="Arial" w:cs="Arial"/>
                <w:sz w:val="21"/>
                <w:szCs w:val="21"/>
              </w:rPr>
              <w:t>Business</w:t>
            </w:r>
          </w:p>
        </w:tc>
        <w:tc>
          <w:tcPr>
            <w:tcW w:w="685" w:type="pct"/>
          </w:tcPr>
          <w:p w:rsidR="00A24BB9" w:rsidRPr="00DF3703" w:rsidRDefault="006B7D88" w:rsidP="00A24BB9">
            <w:pPr>
              <w:pStyle w:val="TableHeadingCentre"/>
              <w:rPr>
                <w:rFonts w:ascii="Arial" w:hAnsi="Arial" w:cs="Arial"/>
                <w:sz w:val="21"/>
                <w:szCs w:val="21"/>
              </w:rPr>
            </w:pPr>
            <w:r w:rsidRPr="00DF3703">
              <w:rPr>
                <w:rFonts w:ascii="Arial" w:hAnsi="Arial" w:cs="Arial"/>
                <w:sz w:val="21"/>
                <w:szCs w:val="21"/>
              </w:rPr>
              <w:t>Other</w:t>
            </w:r>
          </w:p>
        </w:tc>
        <w:tc>
          <w:tcPr>
            <w:tcW w:w="683" w:type="pct"/>
          </w:tcPr>
          <w:p w:rsidR="00A24BB9" w:rsidRPr="00DF3703" w:rsidRDefault="006B7D88" w:rsidP="00A24BB9">
            <w:pPr>
              <w:pStyle w:val="TableHeadingCentre"/>
              <w:rPr>
                <w:rFonts w:ascii="Arial" w:hAnsi="Arial" w:cs="Arial"/>
                <w:sz w:val="21"/>
                <w:szCs w:val="21"/>
              </w:rPr>
            </w:pPr>
            <w:r w:rsidRPr="00DF3703">
              <w:rPr>
                <w:rFonts w:ascii="Arial" w:hAnsi="Arial" w:cs="Arial"/>
                <w:sz w:val="21"/>
                <w:szCs w:val="21"/>
              </w:rPr>
              <w:t>Purpose not asked</w:t>
            </w:r>
          </w:p>
        </w:tc>
      </w:tr>
      <w:tr w:rsidR="00BB383B" w:rsidRPr="00DF3703" w:rsidTr="0091582A">
        <w:tc>
          <w:tcPr>
            <w:tcW w:w="1577" w:type="pct"/>
            <w:vAlign w:val="bottom"/>
          </w:tcPr>
          <w:p w:rsidR="00BB383B" w:rsidRPr="00DF3703" w:rsidRDefault="00BB383B" w:rsidP="00A24BB9">
            <w:pPr>
              <w:pStyle w:val="TabletextLeft"/>
              <w:rPr>
                <w:rFonts w:ascii="Arial" w:hAnsi="Arial" w:cs="Arial"/>
                <w:sz w:val="21"/>
                <w:szCs w:val="21"/>
              </w:rPr>
            </w:pPr>
            <w:r w:rsidRPr="00DF3703">
              <w:rPr>
                <w:rFonts w:ascii="Arial" w:hAnsi="Arial" w:cs="Arial"/>
                <w:sz w:val="21"/>
                <w:szCs w:val="21"/>
              </w:rPr>
              <w:t>Torres Strait</w:t>
            </w:r>
          </w:p>
        </w:tc>
        <w:tc>
          <w:tcPr>
            <w:tcW w:w="685" w:type="pct"/>
            <w:vAlign w:val="bottom"/>
          </w:tcPr>
          <w:p w:rsidR="00BB383B" w:rsidRPr="00DF3703" w:rsidRDefault="00BB383B" w:rsidP="0091582A">
            <w:pPr>
              <w:jc w:val="right"/>
              <w:rPr>
                <w:rFonts w:ascii="Arial" w:hAnsi="Arial" w:cs="Arial"/>
                <w:sz w:val="21"/>
                <w:szCs w:val="21"/>
              </w:rPr>
            </w:pPr>
            <w:r w:rsidRPr="00DF3703">
              <w:rPr>
                <w:rFonts w:ascii="Arial" w:hAnsi="Arial" w:cs="Arial"/>
                <w:sz w:val="21"/>
                <w:szCs w:val="21"/>
              </w:rPr>
              <w:t>0.0%</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49.9%</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50.1%</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0.0%</w:t>
            </w:r>
          </w:p>
        </w:tc>
        <w:tc>
          <w:tcPr>
            <w:tcW w:w="683"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0.0%</w:t>
            </w:r>
          </w:p>
        </w:tc>
      </w:tr>
      <w:tr w:rsidR="00BB383B" w:rsidRPr="00DF3703" w:rsidTr="0091582A">
        <w:tc>
          <w:tcPr>
            <w:tcW w:w="1577" w:type="pct"/>
            <w:vAlign w:val="bottom"/>
          </w:tcPr>
          <w:p w:rsidR="00BB383B" w:rsidRPr="00DF3703" w:rsidRDefault="00BB383B" w:rsidP="00A24BB9">
            <w:pPr>
              <w:rPr>
                <w:rFonts w:ascii="Arial" w:hAnsi="Arial" w:cs="Arial"/>
                <w:sz w:val="21"/>
                <w:szCs w:val="21"/>
                <w:lang w:eastAsia="en-AU"/>
              </w:rPr>
            </w:pPr>
            <w:r w:rsidRPr="00DF3703">
              <w:rPr>
                <w:rFonts w:ascii="Arial" w:hAnsi="Arial" w:cs="Arial"/>
                <w:sz w:val="21"/>
                <w:szCs w:val="21"/>
              </w:rPr>
              <w:t>Cape York</w:t>
            </w:r>
          </w:p>
        </w:tc>
        <w:tc>
          <w:tcPr>
            <w:tcW w:w="685" w:type="pct"/>
            <w:vAlign w:val="bottom"/>
          </w:tcPr>
          <w:p w:rsidR="00BB383B" w:rsidRPr="00DF3703" w:rsidRDefault="00BB383B" w:rsidP="0091582A">
            <w:pPr>
              <w:jc w:val="right"/>
              <w:rPr>
                <w:rFonts w:ascii="Arial" w:hAnsi="Arial" w:cs="Arial"/>
                <w:sz w:val="21"/>
                <w:szCs w:val="21"/>
              </w:rPr>
            </w:pPr>
            <w:r w:rsidRPr="00DF3703">
              <w:rPr>
                <w:rFonts w:ascii="Arial" w:hAnsi="Arial" w:cs="Arial"/>
                <w:sz w:val="21"/>
                <w:szCs w:val="21"/>
              </w:rPr>
              <w:t>79.0%</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3.5%</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6.8%</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1.6%</w:t>
            </w:r>
          </w:p>
        </w:tc>
        <w:tc>
          <w:tcPr>
            <w:tcW w:w="683"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9.0%</w:t>
            </w:r>
          </w:p>
        </w:tc>
      </w:tr>
      <w:tr w:rsidR="00BB383B" w:rsidRPr="00DF3703" w:rsidTr="0091582A">
        <w:tc>
          <w:tcPr>
            <w:tcW w:w="1577" w:type="pct"/>
            <w:vAlign w:val="bottom"/>
          </w:tcPr>
          <w:p w:rsidR="00BB383B" w:rsidRPr="00DF3703" w:rsidRDefault="00BB383B" w:rsidP="00A24BB9">
            <w:pPr>
              <w:rPr>
                <w:rFonts w:ascii="Arial" w:hAnsi="Arial" w:cs="Arial"/>
                <w:sz w:val="21"/>
                <w:szCs w:val="21"/>
                <w:lang w:eastAsia="en-AU"/>
              </w:rPr>
            </w:pPr>
            <w:r w:rsidRPr="00DF3703">
              <w:rPr>
                <w:rFonts w:ascii="Arial" w:hAnsi="Arial" w:cs="Arial"/>
                <w:sz w:val="21"/>
                <w:szCs w:val="21"/>
              </w:rPr>
              <w:t>Wet Tropics</w:t>
            </w:r>
          </w:p>
        </w:tc>
        <w:tc>
          <w:tcPr>
            <w:tcW w:w="685" w:type="pct"/>
            <w:vAlign w:val="bottom"/>
          </w:tcPr>
          <w:p w:rsidR="00BB383B" w:rsidRPr="00DF3703" w:rsidRDefault="00BB383B" w:rsidP="0091582A">
            <w:pPr>
              <w:jc w:val="right"/>
              <w:rPr>
                <w:rFonts w:ascii="Arial" w:hAnsi="Arial" w:cs="Arial"/>
                <w:sz w:val="21"/>
                <w:szCs w:val="21"/>
              </w:rPr>
            </w:pPr>
            <w:r w:rsidRPr="00DF3703">
              <w:rPr>
                <w:rFonts w:ascii="Arial" w:hAnsi="Arial" w:cs="Arial"/>
                <w:sz w:val="21"/>
                <w:szCs w:val="21"/>
              </w:rPr>
              <w:t>61.3%</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17.0%</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7.1%</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13.3%</w:t>
            </w:r>
          </w:p>
        </w:tc>
        <w:tc>
          <w:tcPr>
            <w:tcW w:w="683"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1.4%</w:t>
            </w:r>
          </w:p>
        </w:tc>
      </w:tr>
      <w:tr w:rsidR="00BB383B" w:rsidRPr="00DF3703" w:rsidTr="0091582A">
        <w:tc>
          <w:tcPr>
            <w:tcW w:w="1577" w:type="pct"/>
            <w:vAlign w:val="bottom"/>
          </w:tcPr>
          <w:p w:rsidR="00BB383B" w:rsidRPr="00DF3703" w:rsidRDefault="00BB383B" w:rsidP="00A24BB9">
            <w:pPr>
              <w:rPr>
                <w:rFonts w:ascii="Arial" w:hAnsi="Arial" w:cs="Arial"/>
                <w:sz w:val="21"/>
                <w:szCs w:val="21"/>
                <w:lang w:eastAsia="en-AU"/>
              </w:rPr>
            </w:pPr>
            <w:r w:rsidRPr="00DF3703">
              <w:rPr>
                <w:rFonts w:ascii="Arial" w:hAnsi="Arial" w:cs="Arial"/>
                <w:sz w:val="21"/>
                <w:szCs w:val="21"/>
              </w:rPr>
              <w:t>Burdekin</w:t>
            </w:r>
          </w:p>
        </w:tc>
        <w:tc>
          <w:tcPr>
            <w:tcW w:w="685" w:type="pct"/>
            <w:vAlign w:val="bottom"/>
          </w:tcPr>
          <w:p w:rsidR="00BB383B" w:rsidRPr="00DF3703" w:rsidRDefault="00BB383B" w:rsidP="0091582A">
            <w:pPr>
              <w:jc w:val="right"/>
              <w:rPr>
                <w:rFonts w:ascii="Arial" w:hAnsi="Arial" w:cs="Arial"/>
                <w:sz w:val="21"/>
                <w:szCs w:val="21"/>
              </w:rPr>
            </w:pPr>
            <w:r w:rsidRPr="00DF3703">
              <w:rPr>
                <w:rFonts w:ascii="Arial" w:hAnsi="Arial" w:cs="Arial"/>
                <w:sz w:val="21"/>
                <w:szCs w:val="21"/>
              </w:rPr>
              <w:t>29.0%</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31.2%</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17.8%</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19.2%</w:t>
            </w:r>
          </w:p>
        </w:tc>
        <w:tc>
          <w:tcPr>
            <w:tcW w:w="683"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2.7%</w:t>
            </w:r>
          </w:p>
        </w:tc>
      </w:tr>
      <w:tr w:rsidR="00BB383B" w:rsidRPr="00DF3703" w:rsidTr="0091582A">
        <w:tc>
          <w:tcPr>
            <w:tcW w:w="1577" w:type="pct"/>
            <w:vAlign w:val="bottom"/>
          </w:tcPr>
          <w:p w:rsidR="00BB383B" w:rsidRPr="00DF3703" w:rsidRDefault="00BB383B" w:rsidP="00A24BB9">
            <w:pPr>
              <w:rPr>
                <w:rFonts w:ascii="Arial" w:hAnsi="Arial" w:cs="Arial"/>
                <w:sz w:val="21"/>
                <w:szCs w:val="21"/>
                <w:lang w:eastAsia="en-AU"/>
              </w:rPr>
            </w:pPr>
            <w:r w:rsidRPr="00DF3703">
              <w:rPr>
                <w:rFonts w:ascii="Arial" w:hAnsi="Arial" w:cs="Arial"/>
                <w:sz w:val="21"/>
                <w:szCs w:val="21"/>
              </w:rPr>
              <w:t>Mackay Whitsunday</w:t>
            </w:r>
          </w:p>
        </w:tc>
        <w:tc>
          <w:tcPr>
            <w:tcW w:w="685" w:type="pct"/>
            <w:vAlign w:val="bottom"/>
          </w:tcPr>
          <w:p w:rsidR="00BB383B" w:rsidRPr="00DF3703" w:rsidRDefault="00BB383B" w:rsidP="0091582A">
            <w:pPr>
              <w:jc w:val="right"/>
              <w:rPr>
                <w:rFonts w:ascii="Arial" w:hAnsi="Arial" w:cs="Arial"/>
                <w:sz w:val="21"/>
                <w:szCs w:val="21"/>
              </w:rPr>
            </w:pPr>
            <w:r w:rsidRPr="00DF3703">
              <w:rPr>
                <w:rFonts w:ascii="Arial" w:hAnsi="Arial" w:cs="Arial"/>
                <w:sz w:val="21"/>
                <w:szCs w:val="21"/>
              </w:rPr>
              <w:t>51.6%</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23.7%</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14.4%</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9.3%</w:t>
            </w:r>
          </w:p>
        </w:tc>
        <w:tc>
          <w:tcPr>
            <w:tcW w:w="683"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0.9%</w:t>
            </w:r>
          </w:p>
        </w:tc>
      </w:tr>
      <w:tr w:rsidR="00BB383B" w:rsidRPr="00DF3703" w:rsidTr="0091582A">
        <w:tc>
          <w:tcPr>
            <w:tcW w:w="1577" w:type="pct"/>
            <w:vAlign w:val="bottom"/>
          </w:tcPr>
          <w:p w:rsidR="00BB383B" w:rsidRPr="00DF3703" w:rsidRDefault="00BB383B" w:rsidP="00A24BB9">
            <w:pPr>
              <w:rPr>
                <w:rFonts w:ascii="Arial" w:hAnsi="Arial" w:cs="Arial"/>
                <w:sz w:val="21"/>
                <w:szCs w:val="21"/>
                <w:lang w:eastAsia="en-AU"/>
              </w:rPr>
            </w:pPr>
            <w:r w:rsidRPr="00DF3703">
              <w:rPr>
                <w:rFonts w:ascii="Arial" w:hAnsi="Arial" w:cs="Arial"/>
                <w:sz w:val="21"/>
                <w:szCs w:val="21"/>
              </w:rPr>
              <w:t>Fitzroy</w:t>
            </w:r>
          </w:p>
        </w:tc>
        <w:tc>
          <w:tcPr>
            <w:tcW w:w="685" w:type="pct"/>
            <w:vAlign w:val="bottom"/>
          </w:tcPr>
          <w:p w:rsidR="00BB383B" w:rsidRPr="00DF3703" w:rsidRDefault="00BB383B" w:rsidP="0091582A">
            <w:pPr>
              <w:jc w:val="right"/>
              <w:rPr>
                <w:rFonts w:ascii="Arial" w:hAnsi="Arial" w:cs="Arial"/>
                <w:sz w:val="21"/>
                <w:szCs w:val="21"/>
              </w:rPr>
            </w:pPr>
            <w:r w:rsidRPr="00DF3703">
              <w:rPr>
                <w:rFonts w:ascii="Arial" w:hAnsi="Arial" w:cs="Arial"/>
                <w:sz w:val="21"/>
                <w:szCs w:val="21"/>
              </w:rPr>
              <w:t>31.9%</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25.5%</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30.4%</w:t>
            </w:r>
          </w:p>
        </w:tc>
        <w:tc>
          <w:tcPr>
            <w:tcW w:w="685"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9.9%</w:t>
            </w:r>
          </w:p>
        </w:tc>
        <w:tc>
          <w:tcPr>
            <w:tcW w:w="683" w:type="pct"/>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2.2%</w:t>
            </w:r>
          </w:p>
        </w:tc>
      </w:tr>
      <w:tr w:rsidR="00BB383B" w:rsidRPr="00DF3703" w:rsidTr="0091582A">
        <w:tc>
          <w:tcPr>
            <w:tcW w:w="1577" w:type="pct"/>
            <w:tcBorders>
              <w:bottom w:val="single" w:sz="12" w:space="0" w:color="002776"/>
            </w:tcBorders>
            <w:vAlign w:val="bottom"/>
          </w:tcPr>
          <w:p w:rsidR="00BB383B" w:rsidRPr="00DF3703" w:rsidRDefault="00BB383B" w:rsidP="00A24BB9">
            <w:pPr>
              <w:rPr>
                <w:rFonts w:ascii="Arial" w:hAnsi="Arial" w:cs="Arial"/>
                <w:sz w:val="21"/>
                <w:szCs w:val="21"/>
                <w:lang w:eastAsia="en-AU"/>
              </w:rPr>
            </w:pPr>
            <w:r w:rsidRPr="00DF3703">
              <w:rPr>
                <w:rFonts w:ascii="Arial" w:hAnsi="Arial" w:cs="Arial"/>
                <w:sz w:val="21"/>
                <w:szCs w:val="21"/>
              </w:rPr>
              <w:t>Burnett Mary</w:t>
            </w:r>
          </w:p>
        </w:tc>
        <w:tc>
          <w:tcPr>
            <w:tcW w:w="685" w:type="pct"/>
            <w:tcBorders>
              <w:bottom w:val="single" w:sz="12" w:space="0" w:color="002776"/>
            </w:tcBorders>
            <w:vAlign w:val="bottom"/>
          </w:tcPr>
          <w:p w:rsidR="00BB383B" w:rsidRPr="00DF3703" w:rsidRDefault="00BB383B" w:rsidP="0091582A">
            <w:pPr>
              <w:jc w:val="right"/>
              <w:rPr>
                <w:rFonts w:ascii="Arial" w:hAnsi="Arial" w:cs="Arial"/>
                <w:sz w:val="21"/>
                <w:szCs w:val="21"/>
              </w:rPr>
            </w:pPr>
            <w:r w:rsidRPr="00DF3703">
              <w:rPr>
                <w:rFonts w:ascii="Arial" w:hAnsi="Arial" w:cs="Arial"/>
                <w:sz w:val="21"/>
                <w:szCs w:val="21"/>
              </w:rPr>
              <w:t>57.9%</w:t>
            </w:r>
          </w:p>
        </w:tc>
        <w:tc>
          <w:tcPr>
            <w:tcW w:w="685" w:type="pct"/>
            <w:tcBorders>
              <w:bottom w:val="single" w:sz="12" w:space="0" w:color="002776"/>
            </w:tcBorders>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23.6%</w:t>
            </w:r>
          </w:p>
        </w:tc>
        <w:tc>
          <w:tcPr>
            <w:tcW w:w="685" w:type="pct"/>
            <w:tcBorders>
              <w:bottom w:val="single" w:sz="12" w:space="0" w:color="002776"/>
            </w:tcBorders>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8.3%</w:t>
            </w:r>
          </w:p>
        </w:tc>
        <w:tc>
          <w:tcPr>
            <w:tcW w:w="685" w:type="pct"/>
            <w:tcBorders>
              <w:bottom w:val="single" w:sz="12" w:space="0" w:color="002776"/>
            </w:tcBorders>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9.4%</w:t>
            </w:r>
          </w:p>
        </w:tc>
        <w:tc>
          <w:tcPr>
            <w:tcW w:w="683" w:type="pct"/>
            <w:tcBorders>
              <w:bottom w:val="single" w:sz="12" w:space="0" w:color="002776"/>
            </w:tcBorders>
            <w:vAlign w:val="bottom"/>
          </w:tcPr>
          <w:p w:rsidR="00BB383B" w:rsidRPr="00DF3703" w:rsidRDefault="00BB383B" w:rsidP="0091582A">
            <w:pPr>
              <w:keepNext/>
              <w:jc w:val="right"/>
              <w:rPr>
                <w:rFonts w:ascii="Arial" w:hAnsi="Arial" w:cs="Arial"/>
                <w:sz w:val="21"/>
                <w:szCs w:val="21"/>
              </w:rPr>
            </w:pPr>
            <w:r w:rsidRPr="00DF3703">
              <w:rPr>
                <w:rFonts w:ascii="Arial" w:hAnsi="Arial" w:cs="Arial"/>
                <w:sz w:val="21"/>
                <w:szCs w:val="21"/>
              </w:rPr>
              <w:t>0.8%</w:t>
            </w:r>
          </w:p>
        </w:tc>
      </w:tr>
      <w:tr w:rsidR="00BB383B" w:rsidRPr="00DF3703" w:rsidTr="0091582A">
        <w:tc>
          <w:tcPr>
            <w:tcW w:w="1577" w:type="pct"/>
            <w:tcBorders>
              <w:top w:val="single" w:sz="12" w:space="0" w:color="002776"/>
              <w:bottom w:val="single" w:sz="12" w:space="0" w:color="002776"/>
            </w:tcBorders>
          </w:tcPr>
          <w:p w:rsidR="00BB383B" w:rsidRPr="00DF3703" w:rsidRDefault="00BB383B" w:rsidP="00A24BB9">
            <w:pPr>
              <w:rPr>
                <w:rFonts w:ascii="Arial" w:hAnsi="Arial" w:cs="Arial"/>
                <w:sz w:val="21"/>
                <w:szCs w:val="21"/>
                <w:lang w:eastAsia="en-AU"/>
              </w:rPr>
            </w:pPr>
            <w:r w:rsidRPr="00DF3703">
              <w:rPr>
                <w:rFonts w:ascii="Arial" w:hAnsi="Arial" w:cs="Arial"/>
                <w:sz w:val="21"/>
                <w:szCs w:val="21"/>
                <w:lang w:eastAsia="en-AU"/>
              </w:rPr>
              <w:t xml:space="preserve">Total </w:t>
            </w:r>
          </w:p>
        </w:tc>
        <w:tc>
          <w:tcPr>
            <w:tcW w:w="685" w:type="pct"/>
            <w:tcBorders>
              <w:top w:val="single" w:sz="12" w:space="0" w:color="002776"/>
              <w:bottom w:val="single" w:sz="12" w:space="0" w:color="002776"/>
            </w:tcBorders>
            <w:vAlign w:val="bottom"/>
          </w:tcPr>
          <w:p w:rsidR="00BB383B" w:rsidRPr="00DF3703" w:rsidRDefault="00BB383B" w:rsidP="00921021">
            <w:pPr>
              <w:jc w:val="right"/>
              <w:rPr>
                <w:rFonts w:ascii="Arial" w:hAnsi="Arial" w:cs="Arial"/>
                <w:sz w:val="21"/>
                <w:szCs w:val="21"/>
              </w:rPr>
            </w:pPr>
            <w:r w:rsidRPr="00DF3703">
              <w:rPr>
                <w:rFonts w:ascii="Arial" w:hAnsi="Arial" w:cs="Arial"/>
                <w:sz w:val="21"/>
                <w:szCs w:val="21"/>
              </w:rPr>
              <w:t>48.7%</w:t>
            </w:r>
          </w:p>
        </w:tc>
        <w:tc>
          <w:tcPr>
            <w:tcW w:w="685" w:type="pct"/>
            <w:tcBorders>
              <w:top w:val="single" w:sz="12" w:space="0" w:color="002776"/>
              <w:bottom w:val="single" w:sz="12" w:space="0" w:color="002776"/>
            </w:tcBorders>
            <w:vAlign w:val="bottom"/>
          </w:tcPr>
          <w:p w:rsidR="00BB383B" w:rsidRPr="00DF3703" w:rsidRDefault="00BB383B" w:rsidP="00921021">
            <w:pPr>
              <w:jc w:val="right"/>
              <w:rPr>
                <w:rFonts w:ascii="Arial" w:hAnsi="Arial" w:cs="Arial"/>
                <w:sz w:val="21"/>
                <w:szCs w:val="21"/>
              </w:rPr>
            </w:pPr>
            <w:r w:rsidRPr="00DF3703">
              <w:rPr>
                <w:rFonts w:ascii="Arial" w:hAnsi="Arial" w:cs="Arial"/>
                <w:sz w:val="21"/>
                <w:szCs w:val="21"/>
              </w:rPr>
              <w:t>22.5%</w:t>
            </w:r>
          </w:p>
        </w:tc>
        <w:tc>
          <w:tcPr>
            <w:tcW w:w="685" w:type="pct"/>
            <w:tcBorders>
              <w:top w:val="single" w:sz="12" w:space="0" w:color="002776"/>
              <w:bottom w:val="single" w:sz="12" w:space="0" w:color="002776"/>
            </w:tcBorders>
            <w:vAlign w:val="bottom"/>
          </w:tcPr>
          <w:p w:rsidR="00BB383B" w:rsidRPr="00DF3703" w:rsidRDefault="00BB383B" w:rsidP="00921021">
            <w:pPr>
              <w:jc w:val="right"/>
              <w:rPr>
                <w:rFonts w:ascii="Arial" w:hAnsi="Arial" w:cs="Arial"/>
                <w:sz w:val="21"/>
                <w:szCs w:val="21"/>
              </w:rPr>
            </w:pPr>
            <w:r w:rsidRPr="00DF3703">
              <w:rPr>
                <w:rFonts w:ascii="Arial" w:hAnsi="Arial" w:cs="Arial"/>
                <w:sz w:val="21"/>
                <w:szCs w:val="21"/>
              </w:rPr>
              <w:t>14.8%</w:t>
            </w:r>
          </w:p>
        </w:tc>
        <w:tc>
          <w:tcPr>
            <w:tcW w:w="685" w:type="pct"/>
            <w:tcBorders>
              <w:top w:val="single" w:sz="12" w:space="0" w:color="002776"/>
              <w:bottom w:val="single" w:sz="12" w:space="0" w:color="002776"/>
            </w:tcBorders>
            <w:vAlign w:val="bottom"/>
          </w:tcPr>
          <w:p w:rsidR="00BB383B" w:rsidRPr="00DF3703" w:rsidRDefault="00BB383B" w:rsidP="00921021">
            <w:pPr>
              <w:jc w:val="right"/>
              <w:rPr>
                <w:rFonts w:ascii="Arial" w:hAnsi="Arial" w:cs="Arial"/>
                <w:sz w:val="21"/>
                <w:szCs w:val="21"/>
              </w:rPr>
            </w:pPr>
            <w:r w:rsidRPr="00DF3703">
              <w:rPr>
                <w:rFonts w:ascii="Arial" w:hAnsi="Arial" w:cs="Arial"/>
                <w:sz w:val="21"/>
                <w:szCs w:val="21"/>
              </w:rPr>
              <w:t>12.2%</w:t>
            </w:r>
          </w:p>
        </w:tc>
        <w:tc>
          <w:tcPr>
            <w:tcW w:w="683" w:type="pct"/>
            <w:tcBorders>
              <w:top w:val="single" w:sz="12" w:space="0" w:color="002776"/>
              <w:bottom w:val="single" w:sz="12" w:space="0" w:color="002776"/>
            </w:tcBorders>
            <w:vAlign w:val="bottom"/>
          </w:tcPr>
          <w:p w:rsidR="00BB383B" w:rsidRPr="00DF3703" w:rsidRDefault="00BB383B" w:rsidP="00921021">
            <w:pPr>
              <w:jc w:val="right"/>
              <w:rPr>
                <w:rFonts w:ascii="Arial" w:hAnsi="Arial" w:cs="Arial"/>
                <w:sz w:val="21"/>
                <w:szCs w:val="21"/>
              </w:rPr>
            </w:pPr>
            <w:r w:rsidRPr="00DF3703">
              <w:rPr>
                <w:rFonts w:ascii="Arial" w:hAnsi="Arial" w:cs="Arial"/>
                <w:sz w:val="21"/>
                <w:szCs w:val="21"/>
              </w:rPr>
              <w:t>1.8%</w:t>
            </w:r>
          </w:p>
        </w:tc>
      </w:tr>
    </w:tbl>
    <w:p w:rsidR="00A24BB9" w:rsidRPr="00DF3703" w:rsidRDefault="006B7D88" w:rsidP="00A24BB9">
      <w:pPr>
        <w:pStyle w:val="Source"/>
        <w:rPr>
          <w:rFonts w:ascii="Arial" w:hAnsi="Arial"/>
        </w:rPr>
      </w:pPr>
      <w:r w:rsidRPr="00DF3703">
        <w:rPr>
          <w:rFonts w:ascii="Arial" w:hAnsi="Arial"/>
        </w:rPr>
        <w:t>Source: TRA 2012, Deloitte Access Economics</w:t>
      </w:r>
    </w:p>
    <w:p w:rsidR="00F92CE8" w:rsidRPr="00DF3703" w:rsidRDefault="006B7D88" w:rsidP="001D0358">
      <w:pPr>
        <w:pStyle w:val="BodyText"/>
        <w:rPr>
          <w:rFonts w:ascii="Arial" w:hAnsi="Arial" w:cs="Arial"/>
        </w:rPr>
      </w:pPr>
      <w:r w:rsidRPr="00DF3703">
        <w:rPr>
          <w:rFonts w:ascii="Arial" w:hAnsi="Arial" w:cs="Arial"/>
        </w:rPr>
        <w:t xml:space="preserve">The strength in business visits to the region is also consistent with the experience for Australia more broadly, with corporate travel being the primary driver of growth in the sector, particularly on the domestic front. </w:t>
      </w:r>
    </w:p>
    <w:p w:rsidR="005B7F7E" w:rsidRPr="00DF3703" w:rsidRDefault="006B7D88" w:rsidP="005B7F7E">
      <w:pPr>
        <w:pStyle w:val="BodyText"/>
        <w:jc w:val="left"/>
        <w:rPr>
          <w:rFonts w:ascii="Arial" w:hAnsi="Arial" w:cs="Arial"/>
        </w:rPr>
      </w:pPr>
      <w:r w:rsidRPr="00DF3703">
        <w:rPr>
          <w:rFonts w:ascii="Arial" w:hAnsi="Arial" w:cs="Arial"/>
        </w:rPr>
        <w:lastRenderedPageBreak/>
        <w:t>The level of visitor nights in each natural resource management region was estimated by mapping the number of visitor nights in each SA2</w:t>
      </w:r>
      <w:r w:rsidR="0091582A" w:rsidRPr="00DF3703">
        <w:rPr>
          <w:rStyle w:val="FootnoteReference"/>
          <w:rFonts w:cs="Arial"/>
        </w:rPr>
        <w:footnoteReference w:id="3"/>
      </w:r>
      <w:r w:rsidRPr="00DF3703">
        <w:rPr>
          <w:rFonts w:ascii="Arial" w:hAnsi="Arial" w:cs="Arial"/>
        </w:rPr>
        <w:t xml:space="preserve"> regions to NRM regions.</w:t>
      </w:r>
      <w:r w:rsidR="005E13B5">
        <w:rPr>
          <w:rFonts w:ascii="Arial" w:hAnsi="Arial" w:cs="Arial"/>
        </w:rPr>
        <w:t xml:space="preserve">  </w:t>
      </w:r>
      <w:r w:rsidR="00EB023D">
        <w:rPr>
          <w:rFonts w:ascii="Arial" w:hAnsi="Arial" w:cs="Arial"/>
        </w:rPr>
        <w:fldChar w:fldCharType="begin"/>
      </w:r>
      <w:r w:rsidR="005E13B5">
        <w:rPr>
          <w:rFonts w:ascii="Arial" w:hAnsi="Arial" w:cs="Arial"/>
        </w:rPr>
        <w:instrText xml:space="preserve"> REF _Ref343198295 \r \h </w:instrText>
      </w:r>
      <w:r w:rsidR="00EB023D">
        <w:rPr>
          <w:rFonts w:ascii="Arial" w:hAnsi="Arial" w:cs="Arial"/>
        </w:rPr>
      </w:r>
      <w:r w:rsidR="00EB023D">
        <w:rPr>
          <w:rFonts w:ascii="Arial" w:hAnsi="Arial" w:cs="Arial"/>
        </w:rPr>
        <w:fldChar w:fldCharType="separate"/>
      </w:r>
      <w:r w:rsidR="00536D7E">
        <w:rPr>
          <w:rFonts w:ascii="Arial" w:hAnsi="Arial" w:cs="Arial"/>
        </w:rPr>
        <w:t>Table 3.2</w:t>
      </w:r>
      <w:r w:rsidR="00EB023D">
        <w:rPr>
          <w:rFonts w:ascii="Arial" w:hAnsi="Arial" w:cs="Arial"/>
        </w:rPr>
        <w:fldChar w:fldCharType="end"/>
      </w:r>
      <w:r w:rsidRPr="00DF3703">
        <w:rPr>
          <w:rFonts w:ascii="Arial" w:hAnsi="Arial" w:cs="Arial"/>
        </w:rPr>
        <w:t xml:space="preserve"> shows the total number of tourist visitor nights in each NRM region.</w:t>
      </w:r>
    </w:p>
    <w:p w:rsidR="003534B2" w:rsidRPr="00DF3703" w:rsidRDefault="006B7D88" w:rsidP="005B7F7E">
      <w:pPr>
        <w:pStyle w:val="BodyText"/>
        <w:jc w:val="left"/>
        <w:rPr>
          <w:rFonts w:ascii="Arial" w:hAnsi="Arial" w:cs="Arial"/>
        </w:rPr>
      </w:pPr>
      <w:r w:rsidRPr="00DF3703">
        <w:rPr>
          <w:rFonts w:ascii="Arial" w:hAnsi="Arial" w:cs="Arial"/>
        </w:rPr>
        <w:t xml:space="preserve">The Wet Tropics NRM </w:t>
      </w:r>
      <w:r w:rsidR="00BA52D9" w:rsidRPr="00DF3703">
        <w:rPr>
          <w:rFonts w:ascii="Arial" w:hAnsi="Arial" w:cs="Arial"/>
        </w:rPr>
        <w:t xml:space="preserve">region </w:t>
      </w:r>
      <w:r w:rsidRPr="00DF3703">
        <w:rPr>
          <w:rFonts w:ascii="Arial" w:hAnsi="Arial" w:cs="Arial"/>
        </w:rPr>
        <w:t>accounts for the largest number of visitor nights, comprising 35% of total visitor nights.  The Burdekin, Mackay Whitsunday and Fitzroy NRM regions also account for a relatively high number of visitor nights.</w:t>
      </w:r>
    </w:p>
    <w:p w:rsidR="005B7F7E" w:rsidRPr="00DF3703" w:rsidRDefault="006B7D88" w:rsidP="00921021">
      <w:pPr>
        <w:pStyle w:val="CaptionTable"/>
        <w:ind w:left="0"/>
        <w:rPr>
          <w:rFonts w:ascii="Arial" w:hAnsi="Arial" w:cs="Arial"/>
        </w:rPr>
      </w:pPr>
      <w:bookmarkStart w:id="70" w:name="_Ref343198295"/>
      <w:bookmarkStart w:id="71" w:name="_Toc355701050"/>
      <w:r w:rsidRPr="00DF3703">
        <w:rPr>
          <w:rFonts w:ascii="Arial" w:hAnsi="Arial" w:cs="Arial"/>
        </w:rPr>
        <w:t>: Visitor nights by NRM, (‘000 2011-12)</w:t>
      </w:r>
      <w:bookmarkEnd w:id="70"/>
      <w:bookmarkEnd w:id="71"/>
    </w:p>
    <w:tbl>
      <w:tblPr>
        <w:tblStyle w:val="TableAE"/>
        <w:tblW w:w="0" w:type="auto"/>
        <w:tblLayout w:type="fixed"/>
        <w:tblLook w:val="04A0"/>
      </w:tblPr>
      <w:tblGrid>
        <w:gridCol w:w="1687"/>
        <w:gridCol w:w="1687"/>
        <w:gridCol w:w="1687"/>
        <w:gridCol w:w="1687"/>
        <w:gridCol w:w="1688"/>
      </w:tblGrid>
      <w:tr w:rsidR="005B7F7E" w:rsidRPr="00DF3703" w:rsidTr="005B7F7E">
        <w:trPr>
          <w:cnfStyle w:val="100000000000"/>
        </w:trPr>
        <w:tc>
          <w:tcPr>
            <w:tcW w:w="1687" w:type="dxa"/>
          </w:tcPr>
          <w:p w:rsidR="005B7F7E" w:rsidRPr="00DF3703" w:rsidRDefault="006B7D88" w:rsidP="005B7F7E">
            <w:pPr>
              <w:pStyle w:val="TableHeadingCentre"/>
              <w:rPr>
                <w:rFonts w:ascii="Arial" w:hAnsi="Arial" w:cs="Arial"/>
              </w:rPr>
            </w:pPr>
            <w:r w:rsidRPr="00DF3703">
              <w:rPr>
                <w:rFonts w:ascii="Arial" w:hAnsi="Arial" w:cs="Arial"/>
              </w:rPr>
              <w:t>NRM region</w:t>
            </w:r>
          </w:p>
        </w:tc>
        <w:tc>
          <w:tcPr>
            <w:tcW w:w="1687" w:type="dxa"/>
          </w:tcPr>
          <w:p w:rsidR="005B7F7E" w:rsidRPr="00DF3703" w:rsidRDefault="006B7D88" w:rsidP="005B7F7E">
            <w:pPr>
              <w:pStyle w:val="TableHeadingCentre"/>
              <w:rPr>
                <w:rFonts w:ascii="Arial" w:hAnsi="Arial" w:cs="Arial"/>
              </w:rPr>
            </w:pPr>
            <w:r w:rsidRPr="00DF3703">
              <w:rPr>
                <w:rFonts w:ascii="Arial" w:hAnsi="Arial" w:cs="Arial"/>
              </w:rPr>
              <w:t xml:space="preserve">International </w:t>
            </w:r>
          </w:p>
        </w:tc>
        <w:tc>
          <w:tcPr>
            <w:tcW w:w="1687" w:type="dxa"/>
          </w:tcPr>
          <w:p w:rsidR="005B7F7E" w:rsidRPr="00DF3703" w:rsidRDefault="006B7D88" w:rsidP="005B7F7E">
            <w:pPr>
              <w:pStyle w:val="TableHeadingCentre"/>
              <w:rPr>
                <w:rFonts w:ascii="Arial" w:hAnsi="Arial" w:cs="Arial"/>
              </w:rPr>
            </w:pPr>
            <w:r w:rsidRPr="00DF3703">
              <w:rPr>
                <w:rFonts w:ascii="Arial" w:hAnsi="Arial" w:cs="Arial"/>
              </w:rPr>
              <w:t>Domestic overnight</w:t>
            </w:r>
          </w:p>
        </w:tc>
        <w:tc>
          <w:tcPr>
            <w:tcW w:w="1687" w:type="dxa"/>
          </w:tcPr>
          <w:p w:rsidR="005B7F7E" w:rsidRPr="00DF3703" w:rsidRDefault="006B7D88" w:rsidP="005B7F7E">
            <w:pPr>
              <w:pStyle w:val="TableHeadingCentre"/>
              <w:rPr>
                <w:rFonts w:ascii="Arial" w:hAnsi="Arial" w:cs="Arial"/>
              </w:rPr>
            </w:pPr>
            <w:r w:rsidRPr="00DF3703">
              <w:rPr>
                <w:rFonts w:ascii="Arial" w:hAnsi="Arial" w:cs="Arial"/>
              </w:rPr>
              <w:t>Domestic day</w:t>
            </w:r>
          </w:p>
        </w:tc>
        <w:tc>
          <w:tcPr>
            <w:tcW w:w="1688" w:type="dxa"/>
          </w:tcPr>
          <w:p w:rsidR="005B7F7E" w:rsidRPr="00DF3703" w:rsidRDefault="006B7D88" w:rsidP="005B7F7E">
            <w:pPr>
              <w:pStyle w:val="TableHeadingCentre"/>
              <w:rPr>
                <w:rFonts w:ascii="Arial" w:hAnsi="Arial" w:cs="Arial"/>
              </w:rPr>
            </w:pPr>
            <w:r w:rsidRPr="00DF3703">
              <w:rPr>
                <w:rFonts w:ascii="Arial" w:hAnsi="Arial" w:cs="Arial"/>
              </w:rPr>
              <w:t>Total</w:t>
            </w:r>
          </w:p>
        </w:tc>
      </w:tr>
      <w:tr w:rsidR="00B16C68" w:rsidRPr="00DF3703" w:rsidTr="00921021">
        <w:tc>
          <w:tcPr>
            <w:tcW w:w="1687" w:type="dxa"/>
          </w:tcPr>
          <w:p w:rsidR="00B16C68" w:rsidRPr="00DF3703" w:rsidRDefault="00B16C68" w:rsidP="005B7F7E">
            <w:pPr>
              <w:pStyle w:val="TabletextLeft"/>
              <w:rPr>
                <w:rFonts w:ascii="Arial" w:hAnsi="Arial" w:cs="Arial"/>
                <w:sz w:val="21"/>
                <w:szCs w:val="21"/>
              </w:rPr>
            </w:pPr>
            <w:r w:rsidRPr="00DF3703">
              <w:rPr>
                <w:rFonts w:ascii="Arial" w:hAnsi="Arial" w:cs="Arial"/>
                <w:sz w:val="21"/>
                <w:szCs w:val="21"/>
                <w:lang w:eastAsia="en-AU"/>
              </w:rPr>
              <w:t>Torres Strait</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3.7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3.0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   </w:t>
            </w:r>
          </w:p>
        </w:tc>
        <w:tc>
          <w:tcPr>
            <w:tcW w:w="1688"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6.7 </w:t>
            </w:r>
          </w:p>
        </w:tc>
      </w:tr>
      <w:tr w:rsidR="00B16C68" w:rsidRPr="00DF3703" w:rsidTr="00921021">
        <w:tc>
          <w:tcPr>
            <w:tcW w:w="1687" w:type="dxa"/>
          </w:tcPr>
          <w:p w:rsidR="00B16C68" w:rsidRPr="00DF3703" w:rsidRDefault="00B16C68" w:rsidP="005B7F7E">
            <w:pPr>
              <w:rPr>
                <w:rFonts w:ascii="Arial" w:hAnsi="Arial" w:cs="Arial"/>
                <w:sz w:val="21"/>
                <w:szCs w:val="21"/>
                <w:lang w:eastAsia="en-AU"/>
              </w:rPr>
            </w:pPr>
            <w:r w:rsidRPr="00DF3703">
              <w:rPr>
                <w:rFonts w:ascii="Arial" w:hAnsi="Arial" w:cs="Arial"/>
                <w:sz w:val="21"/>
                <w:szCs w:val="21"/>
                <w:lang w:eastAsia="en-AU"/>
              </w:rPr>
              <w:t>Cape York</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114.8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761.0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8.0 </w:t>
            </w:r>
          </w:p>
        </w:tc>
        <w:tc>
          <w:tcPr>
            <w:tcW w:w="1688"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883.8 </w:t>
            </w:r>
          </w:p>
        </w:tc>
      </w:tr>
      <w:tr w:rsidR="00B16C68" w:rsidRPr="00DF3703" w:rsidTr="00921021">
        <w:tc>
          <w:tcPr>
            <w:tcW w:w="1687" w:type="dxa"/>
          </w:tcPr>
          <w:p w:rsidR="00B16C68" w:rsidRPr="00DF3703" w:rsidRDefault="00B16C68" w:rsidP="005B7F7E">
            <w:pPr>
              <w:rPr>
                <w:rFonts w:ascii="Arial" w:hAnsi="Arial" w:cs="Arial"/>
                <w:sz w:val="21"/>
                <w:szCs w:val="21"/>
                <w:lang w:eastAsia="en-AU"/>
              </w:rPr>
            </w:pPr>
            <w:r w:rsidRPr="00DF3703">
              <w:rPr>
                <w:rFonts w:ascii="Arial" w:hAnsi="Arial" w:cs="Arial"/>
                <w:sz w:val="21"/>
                <w:szCs w:val="21"/>
                <w:lang w:eastAsia="en-AU"/>
              </w:rPr>
              <w:t>Wet Tropics</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5,259.0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7,182.0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2,540.0 </w:t>
            </w:r>
          </w:p>
        </w:tc>
        <w:tc>
          <w:tcPr>
            <w:tcW w:w="1688"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14,981.0 </w:t>
            </w:r>
          </w:p>
        </w:tc>
      </w:tr>
      <w:tr w:rsidR="00B16C68" w:rsidRPr="00DF3703" w:rsidTr="00921021">
        <w:tc>
          <w:tcPr>
            <w:tcW w:w="1687" w:type="dxa"/>
          </w:tcPr>
          <w:p w:rsidR="00B16C68" w:rsidRPr="00DF3703" w:rsidRDefault="00B16C68" w:rsidP="005B7F7E">
            <w:pPr>
              <w:rPr>
                <w:rFonts w:ascii="Arial" w:hAnsi="Arial" w:cs="Arial"/>
                <w:sz w:val="21"/>
                <w:szCs w:val="21"/>
                <w:lang w:eastAsia="en-AU"/>
              </w:rPr>
            </w:pPr>
            <w:r w:rsidRPr="00DF3703">
              <w:rPr>
                <w:rFonts w:ascii="Arial" w:hAnsi="Arial" w:cs="Arial"/>
                <w:sz w:val="21"/>
                <w:szCs w:val="21"/>
                <w:lang w:eastAsia="en-AU"/>
              </w:rPr>
              <w:t>Burdekin</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1,054.1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4,507.0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1,226.0 </w:t>
            </w:r>
          </w:p>
        </w:tc>
        <w:tc>
          <w:tcPr>
            <w:tcW w:w="1688"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6,787.1 </w:t>
            </w:r>
          </w:p>
        </w:tc>
      </w:tr>
      <w:tr w:rsidR="00B16C68" w:rsidRPr="00DF3703" w:rsidTr="00921021">
        <w:tc>
          <w:tcPr>
            <w:tcW w:w="1687" w:type="dxa"/>
          </w:tcPr>
          <w:p w:rsidR="00B16C68" w:rsidRPr="00DF3703" w:rsidRDefault="00B16C68" w:rsidP="005B7F7E">
            <w:pPr>
              <w:rPr>
                <w:rFonts w:ascii="Arial" w:hAnsi="Arial" w:cs="Arial"/>
                <w:sz w:val="21"/>
                <w:szCs w:val="21"/>
                <w:lang w:eastAsia="en-AU"/>
              </w:rPr>
            </w:pPr>
            <w:r w:rsidRPr="00DF3703">
              <w:rPr>
                <w:rFonts w:ascii="Arial" w:hAnsi="Arial" w:cs="Arial"/>
                <w:sz w:val="21"/>
                <w:szCs w:val="21"/>
                <w:lang w:eastAsia="en-AU"/>
              </w:rPr>
              <w:t>Mackay Whitsunday</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1,600.1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4,643.0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915.0 </w:t>
            </w:r>
          </w:p>
        </w:tc>
        <w:tc>
          <w:tcPr>
            <w:tcW w:w="1688"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7,158.1 </w:t>
            </w:r>
          </w:p>
        </w:tc>
      </w:tr>
      <w:tr w:rsidR="00B16C68" w:rsidRPr="00DF3703" w:rsidTr="00921021">
        <w:tc>
          <w:tcPr>
            <w:tcW w:w="1687" w:type="dxa"/>
          </w:tcPr>
          <w:p w:rsidR="00B16C68" w:rsidRPr="00DF3703" w:rsidRDefault="00B16C68" w:rsidP="005B7F7E">
            <w:pPr>
              <w:rPr>
                <w:rFonts w:ascii="Arial" w:hAnsi="Arial" w:cs="Arial"/>
                <w:sz w:val="21"/>
                <w:szCs w:val="21"/>
                <w:lang w:eastAsia="en-AU"/>
              </w:rPr>
            </w:pPr>
            <w:r w:rsidRPr="00DF3703">
              <w:rPr>
                <w:rFonts w:ascii="Arial" w:hAnsi="Arial" w:cs="Arial"/>
                <w:sz w:val="21"/>
                <w:szCs w:val="21"/>
                <w:lang w:eastAsia="en-AU"/>
              </w:rPr>
              <w:t>Fitzroy</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1,174.3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5,467.0 </w:t>
            </w:r>
          </w:p>
        </w:tc>
        <w:tc>
          <w:tcPr>
            <w:tcW w:w="1687"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1,985.0 </w:t>
            </w:r>
          </w:p>
        </w:tc>
        <w:tc>
          <w:tcPr>
            <w:tcW w:w="1688" w:type="dxa"/>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8,626.3 </w:t>
            </w:r>
          </w:p>
        </w:tc>
      </w:tr>
      <w:tr w:rsidR="00B16C68" w:rsidRPr="00DF3703" w:rsidTr="00921021">
        <w:tc>
          <w:tcPr>
            <w:tcW w:w="1687" w:type="dxa"/>
            <w:tcBorders>
              <w:bottom w:val="single" w:sz="12" w:space="0" w:color="002776"/>
            </w:tcBorders>
          </w:tcPr>
          <w:p w:rsidR="00B16C68" w:rsidRPr="00DF3703" w:rsidRDefault="00B16C68" w:rsidP="005B7F7E">
            <w:pPr>
              <w:rPr>
                <w:rFonts w:ascii="Arial" w:hAnsi="Arial" w:cs="Arial"/>
                <w:sz w:val="21"/>
                <w:szCs w:val="21"/>
                <w:lang w:eastAsia="en-AU"/>
              </w:rPr>
            </w:pPr>
            <w:r w:rsidRPr="00DF3703">
              <w:rPr>
                <w:rFonts w:ascii="Arial" w:hAnsi="Arial" w:cs="Arial"/>
                <w:sz w:val="21"/>
                <w:szCs w:val="21"/>
                <w:lang w:eastAsia="en-AU"/>
              </w:rPr>
              <w:t>Burnett Mary</w:t>
            </w:r>
          </w:p>
        </w:tc>
        <w:tc>
          <w:tcPr>
            <w:tcW w:w="1687" w:type="dxa"/>
            <w:tcBorders>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984.3 </w:t>
            </w:r>
          </w:p>
        </w:tc>
        <w:tc>
          <w:tcPr>
            <w:tcW w:w="1687" w:type="dxa"/>
            <w:tcBorders>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2,227.0 </w:t>
            </w:r>
          </w:p>
        </w:tc>
        <w:tc>
          <w:tcPr>
            <w:tcW w:w="1687" w:type="dxa"/>
            <w:tcBorders>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1,185.0 </w:t>
            </w:r>
          </w:p>
        </w:tc>
        <w:tc>
          <w:tcPr>
            <w:tcW w:w="1688" w:type="dxa"/>
            <w:tcBorders>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4,396.3 </w:t>
            </w:r>
          </w:p>
        </w:tc>
      </w:tr>
      <w:tr w:rsidR="00B16C68" w:rsidRPr="00DF3703" w:rsidTr="00921021">
        <w:tc>
          <w:tcPr>
            <w:tcW w:w="1687" w:type="dxa"/>
            <w:tcBorders>
              <w:top w:val="single" w:sz="12" w:space="0" w:color="002776"/>
              <w:bottom w:val="single" w:sz="12" w:space="0" w:color="002776"/>
            </w:tcBorders>
          </w:tcPr>
          <w:p w:rsidR="00B16C68" w:rsidRPr="00DF3703" w:rsidRDefault="00B16C68" w:rsidP="005B7F7E">
            <w:pPr>
              <w:pStyle w:val="TabletextLeft"/>
              <w:rPr>
                <w:rFonts w:ascii="Arial" w:hAnsi="Arial" w:cs="Arial"/>
                <w:sz w:val="21"/>
                <w:szCs w:val="21"/>
              </w:rPr>
            </w:pPr>
            <w:r w:rsidRPr="00DF3703">
              <w:rPr>
                <w:rFonts w:ascii="Arial" w:hAnsi="Arial" w:cs="Arial"/>
                <w:sz w:val="21"/>
                <w:szCs w:val="21"/>
              </w:rPr>
              <w:t>Total</w:t>
            </w:r>
          </w:p>
        </w:tc>
        <w:tc>
          <w:tcPr>
            <w:tcW w:w="1687" w:type="dxa"/>
            <w:tcBorders>
              <w:top w:val="single" w:sz="12" w:space="0" w:color="002776"/>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10,190.2 </w:t>
            </w:r>
          </w:p>
        </w:tc>
        <w:tc>
          <w:tcPr>
            <w:tcW w:w="1687" w:type="dxa"/>
            <w:tcBorders>
              <w:top w:val="single" w:sz="12" w:space="0" w:color="002776"/>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24,790.0 </w:t>
            </w:r>
          </w:p>
        </w:tc>
        <w:tc>
          <w:tcPr>
            <w:tcW w:w="1687" w:type="dxa"/>
            <w:tcBorders>
              <w:top w:val="single" w:sz="12" w:space="0" w:color="002776"/>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7,859.0 </w:t>
            </w:r>
          </w:p>
        </w:tc>
        <w:tc>
          <w:tcPr>
            <w:tcW w:w="1688" w:type="dxa"/>
            <w:tcBorders>
              <w:top w:val="single" w:sz="12" w:space="0" w:color="002776"/>
              <w:bottom w:val="single" w:sz="12" w:space="0" w:color="002776"/>
            </w:tcBorders>
            <w:vAlign w:val="bottom"/>
          </w:tcPr>
          <w:p w:rsidR="00B16C68" w:rsidRPr="00DF3703" w:rsidRDefault="00B16C68" w:rsidP="00921021">
            <w:pPr>
              <w:jc w:val="right"/>
              <w:rPr>
                <w:rFonts w:ascii="Arial" w:hAnsi="Arial" w:cs="Arial"/>
                <w:b/>
                <w:color w:val="002776"/>
                <w:sz w:val="21"/>
                <w:szCs w:val="21"/>
              </w:rPr>
            </w:pPr>
            <w:r w:rsidRPr="00DF3703">
              <w:rPr>
                <w:rFonts w:ascii="Arial" w:hAnsi="Arial" w:cs="Arial"/>
                <w:sz w:val="21"/>
                <w:szCs w:val="21"/>
              </w:rPr>
              <w:t xml:space="preserve">42,839.2 </w:t>
            </w:r>
          </w:p>
        </w:tc>
      </w:tr>
    </w:tbl>
    <w:p w:rsidR="005B7F7E" w:rsidRPr="00DF3703" w:rsidRDefault="006B7D88" w:rsidP="005B7F7E">
      <w:pPr>
        <w:pStyle w:val="Source"/>
        <w:rPr>
          <w:rFonts w:ascii="Arial" w:hAnsi="Arial"/>
        </w:rPr>
      </w:pPr>
      <w:r w:rsidRPr="00DF3703">
        <w:rPr>
          <w:rFonts w:ascii="Arial" w:hAnsi="Arial"/>
        </w:rPr>
        <w:t>Source: TRA 2012, Deloitte Access Economics.</w:t>
      </w:r>
    </w:p>
    <w:p w:rsidR="003A58E7" w:rsidRPr="00DF3703" w:rsidRDefault="006B7D88" w:rsidP="00921021">
      <w:pPr>
        <w:pStyle w:val="Heading2"/>
        <w:ind w:hanging="709"/>
        <w:rPr>
          <w:rFonts w:ascii="Arial" w:hAnsi="Arial" w:cs="Arial"/>
          <w:sz w:val="32"/>
          <w:szCs w:val="32"/>
        </w:rPr>
      </w:pPr>
      <w:bookmarkStart w:id="72" w:name="_Toc355700984"/>
      <w:r w:rsidRPr="00DF3703">
        <w:rPr>
          <w:rFonts w:ascii="Arial" w:hAnsi="Arial" w:cs="Arial"/>
          <w:sz w:val="32"/>
          <w:szCs w:val="32"/>
        </w:rPr>
        <w:t>Expenditure</w:t>
      </w:r>
      <w:bookmarkEnd w:id="72"/>
    </w:p>
    <w:p w:rsidR="003A58E7" w:rsidRPr="00DF3703" w:rsidRDefault="006B7D88" w:rsidP="003A58E7">
      <w:pPr>
        <w:pStyle w:val="BodyText"/>
        <w:rPr>
          <w:rFonts w:ascii="Arial" w:hAnsi="Arial" w:cs="Arial"/>
        </w:rPr>
      </w:pPr>
      <w:r w:rsidRPr="00DF3703">
        <w:rPr>
          <w:rFonts w:ascii="Arial" w:hAnsi="Arial" w:cs="Arial"/>
        </w:rPr>
        <w:t>The decline in visitor days between 2007 and 2011 led to a decline in total tourism expenditure in the catchment.  Based on Tourism Research Australia’s regional tourism profiles for 2010-11, tourism expenditure in the region has been estimated at $5.1 billion, indicating a 23% drop in real expenditure over the four year period to end-June 2011.</w:t>
      </w:r>
      <w:r w:rsidR="003A58E7" w:rsidRPr="00DF3703">
        <w:rPr>
          <w:rStyle w:val="FootnoteReference"/>
          <w:rFonts w:cs="Arial"/>
        </w:rPr>
        <w:footnoteReference w:id="4"/>
      </w:r>
      <w:r w:rsidRPr="00DF3703">
        <w:rPr>
          <w:rFonts w:ascii="Arial" w:hAnsi="Arial" w:cs="Arial"/>
        </w:rPr>
        <w:t xml:space="preserve"> This decline in expe</w:t>
      </w:r>
      <w:r w:rsidR="00A27BBC" w:rsidRPr="00DF3703">
        <w:rPr>
          <w:rFonts w:ascii="Arial" w:hAnsi="Arial" w:cs="Arial"/>
        </w:rPr>
        <w:t>nditure is associated with a 9.5</w:t>
      </w:r>
      <w:r w:rsidRPr="00DF3703">
        <w:rPr>
          <w:rFonts w:ascii="Arial" w:hAnsi="Arial" w:cs="Arial"/>
        </w:rPr>
        <w:t>% decline in visitor nights</w:t>
      </w:r>
      <w:r w:rsidR="00A27BBC" w:rsidRPr="00DF3703">
        <w:rPr>
          <w:rFonts w:ascii="Arial" w:hAnsi="Arial" w:cs="Arial"/>
        </w:rPr>
        <w:t xml:space="preserve"> to 37.5 million</w:t>
      </w:r>
      <w:r w:rsidRPr="00DF3703">
        <w:rPr>
          <w:rFonts w:ascii="Arial" w:hAnsi="Arial" w:cs="Arial"/>
        </w:rPr>
        <w:t xml:space="preserve">, indicating that not only were visitor numbers down, but those who continued to travel to the Great Barrier Reef were spending less on average than in 2006-07. </w:t>
      </w:r>
    </w:p>
    <w:p w:rsidR="003A58E7" w:rsidRPr="00DF3703" w:rsidRDefault="006B7D88" w:rsidP="003A58E7">
      <w:pPr>
        <w:pStyle w:val="BodyText"/>
        <w:rPr>
          <w:rFonts w:ascii="Arial" w:hAnsi="Arial" w:cs="Arial"/>
        </w:rPr>
      </w:pPr>
      <w:r w:rsidRPr="00DF3703">
        <w:rPr>
          <w:rFonts w:ascii="Arial" w:hAnsi="Arial" w:cs="Arial"/>
        </w:rPr>
        <w:t xml:space="preserve">However, as noted above, year-on-year tourism numbers in the </w:t>
      </w:r>
      <w:r w:rsidR="003C4DCF" w:rsidRPr="00DF3703">
        <w:rPr>
          <w:rFonts w:ascii="Arial" w:hAnsi="Arial" w:cs="Arial"/>
        </w:rPr>
        <w:t>catchment</w:t>
      </w:r>
      <w:r w:rsidRPr="00DF3703">
        <w:rPr>
          <w:rFonts w:ascii="Arial" w:hAnsi="Arial" w:cs="Arial"/>
        </w:rPr>
        <w:t xml:space="preserve"> fluctuated considerably and 2010-11 numbers were particularly low, affected by a number of natural disasters.  Thus, analysing growth to end-June 2011 will likely overstate the trend decline in tourism expenditur</w:t>
      </w:r>
      <w:r w:rsidR="00A27BBC" w:rsidRPr="00DF3703">
        <w:rPr>
          <w:rFonts w:ascii="Arial" w:hAnsi="Arial" w:cs="Arial"/>
        </w:rPr>
        <w:t>e.  Tourist days rebounded by 14.4</w:t>
      </w:r>
      <w:r w:rsidRPr="00DF3703">
        <w:rPr>
          <w:rFonts w:ascii="Arial" w:hAnsi="Arial" w:cs="Arial"/>
        </w:rPr>
        <w:t>% in 2012, and expenditure likely follow</w:t>
      </w:r>
      <w:r w:rsidR="00BA52D9" w:rsidRPr="00DF3703">
        <w:rPr>
          <w:rFonts w:ascii="Arial" w:hAnsi="Arial" w:cs="Arial"/>
        </w:rPr>
        <w:t>ed</w:t>
      </w:r>
      <w:r w:rsidRPr="00DF3703">
        <w:rPr>
          <w:rFonts w:ascii="Arial" w:hAnsi="Arial" w:cs="Arial"/>
        </w:rPr>
        <w:t xml:space="preserve"> suit. </w:t>
      </w:r>
    </w:p>
    <w:p w:rsidR="003A58E7" w:rsidRPr="00DF3703" w:rsidRDefault="006B7D88" w:rsidP="003A58E7">
      <w:pPr>
        <w:pStyle w:val="BodyText"/>
        <w:rPr>
          <w:rFonts w:ascii="Arial" w:hAnsi="Arial" w:cs="Arial"/>
        </w:rPr>
      </w:pPr>
      <w:r w:rsidRPr="00DF3703">
        <w:rPr>
          <w:rFonts w:ascii="Arial" w:hAnsi="Arial" w:cs="Arial"/>
        </w:rPr>
        <w:t xml:space="preserve">To illustrate, an estimate of expenditure in the </w:t>
      </w:r>
      <w:r w:rsidR="003C4DCF" w:rsidRPr="00DF3703">
        <w:rPr>
          <w:rFonts w:ascii="Arial" w:hAnsi="Arial" w:cs="Arial"/>
        </w:rPr>
        <w:t>catchment</w:t>
      </w:r>
      <w:r w:rsidRPr="00DF3703">
        <w:rPr>
          <w:rFonts w:ascii="Arial" w:hAnsi="Arial" w:cs="Arial"/>
        </w:rPr>
        <w:t xml:space="preserve"> in 2011-12 can be constructed using information contained on some of the regions in the National and International Visitor Surveys, combined with available data on visitors to </w:t>
      </w:r>
      <w:r w:rsidRPr="00DF3703">
        <w:rPr>
          <w:rFonts w:ascii="Arial" w:hAnsi="Arial" w:cs="Arial"/>
        </w:rPr>
        <w:lastRenderedPageBreak/>
        <w:t>Que</w:t>
      </w:r>
      <w:r w:rsidR="00A27BBC" w:rsidRPr="00DF3703">
        <w:rPr>
          <w:rFonts w:ascii="Arial" w:hAnsi="Arial" w:cs="Arial"/>
        </w:rPr>
        <w:t>ensland more broadly.  T</w:t>
      </w:r>
      <w:r w:rsidRPr="00DF3703">
        <w:rPr>
          <w:rFonts w:ascii="Arial" w:hAnsi="Arial" w:cs="Arial"/>
        </w:rPr>
        <w:t>hey suggest a more modest decline in regional tourism expenditure between 2007 and 2012, in the order of -4% (</w:t>
      </w:r>
      <w:r w:rsidR="00EB023D">
        <w:rPr>
          <w:rFonts w:ascii="Arial" w:hAnsi="Arial" w:cs="Arial"/>
        </w:rPr>
        <w:fldChar w:fldCharType="begin"/>
      </w:r>
      <w:r w:rsidR="005E13B5">
        <w:rPr>
          <w:rFonts w:ascii="Arial" w:hAnsi="Arial" w:cs="Arial"/>
        </w:rPr>
        <w:instrText xml:space="preserve"> REF _Ref340591462 \r \h </w:instrText>
      </w:r>
      <w:r w:rsidR="00EB023D">
        <w:rPr>
          <w:rFonts w:ascii="Arial" w:hAnsi="Arial" w:cs="Arial"/>
        </w:rPr>
      </w:r>
      <w:r w:rsidR="00EB023D">
        <w:rPr>
          <w:rFonts w:ascii="Arial" w:hAnsi="Arial" w:cs="Arial"/>
        </w:rPr>
        <w:fldChar w:fldCharType="separate"/>
      </w:r>
      <w:r w:rsidR="00536D7E">
        <w:rPr>
          <w:rFonts w:ascii="Arial" w:hAnsi="Arial" w:cs="Arial"/>
        </w:rPr>
        <w:t>Table 3.3</w:t>
      </w:r>
      <w:r w:rsidR="00EB023D">
        <w:rPr>
          <w:rFonts w:ascii="Arial" w:hAnsi="Arial" w:cs="Arial"/>
        </w:rPr>
        <w:fldChar w:fldCharType="end"/>
      </w:r>
      <w:r w:rsidRPr="00DF3703">
        <w:rPr>
          <w:rFonts w:ascii="Arial" w:hAnsi="Arial" w:cs="Arial"/>
        </w:rPr>
        <w:t>).</w:t>
      </w:r>
    </w:p>
    <w:p w:rsidR="003A58E7" w:rsidRPr="00DF3703" w:rsidRDefault="006B7D88" w:rsidP="00A27BBC">
      <w:pPr>
        <w:pStyle w:val="CaptionTable"/>
        <w:ind w:left="0"/>
        <w:rPr>
          <w:rFonts w:ascii="Arial" w:hAnsi="Arial" w:cs="Arial"/>
        </w:rPr>
      </w:pPr>
      <w:bookmarkStart w:id="73" w:name="_Ref340591462"/>
      <w:bookmarkStart w:id="74" w:name="_Toc355701051"/>
      <w:bookmarkStart w:id="75" w:name="_Ref336271912"/>
      <w:r w:rsidRPr="00DF3703">
        <w:rPr>
          <w:rFonts w:ascii="Arial" w:hAnsi="Arial" w:cs="Arial"/>
        </w:rPr>
        <w:t>: Tourism expenditure by visitor type</w:t>
      </w:r>
      <w:bookmarkEnd w:id="73"/>
      <w:bookmarkEnd w:id="74"/>
    </w:p>
    <w:tbl>
      <w:tblPr>
        <w:tblStyle w:val="TableAEGrey"/>
        <w:tblW w:w="5000" w:type="pct"/>
        <w:tblLook w:val="04A0"/>
      </w:tblPr>
      <w:tblGrid>
        <w:gridCol w:w="2074"/>
        <w:gridCol w:w="1859"/>
        <w:gridCol w:w="2252"/>
        <w:gridCol w:w="2251"/>
      </w:tblGrid>
      <w:tr w:rsidR="003A58E7" w:rsidRPr="00DF3703" w:rsidTr="00060AB6">
        <w:trPr>
          <w:cnfStyle w:val="100000000000"/>
        </w:trPr>
        <w:tc>
          <w:tcPr>
            <w:tcW w:w="1229" w:type="pct"/>
          </w:tcPr>
          <w:p w:rsidR="003A58E7" w:rsidRPr="00DF3703" w:rsidRDefault="006B7D88" w:rsidP="00060AB6">
            <w:pPr>
              <w:pStyle w:val="TableHeadingCentre"/>
              <w:jc w:val="left"/>
              <w:rPr>
                <w:rFonts w:ascii="Arial" w:hAnsi="Arial" w:cs="Arial"/>
              </w:rPr>
            </w:pPr>
            <w:r w:rsidRPr="00DF3703">
              <w:rPr>
                <w:rFonts w:ascii="Arial" w:hAnsi="Arial" w:cs="Arial"/>
              </w:rPr>
              <w:t>Visitor type</w:t>
            </w:r>
          </w:p>
        </w:tc>
        <w:tc>
          <w:tcPr>
            <w:tcW w:w="1102" w:type="pct"/>
            <w:vAlign w:val="center"/>
          </w:tcPr>
          <w:p w:rsidR="003A58E7" w:rsidRPr="00DF3703" w:rsidRDefault="006B7D88" w:rsidP="00060AB6">
            <w:pPr>
              <w:pStyle w:val="TableHeadingCentre"/>
              <w:jc w:val="right"/>
              <w:rPr>
                <w:rFonts w:ascii="Arial" w:hAnsi="Arial" w:cs="Arial"/>
              </w:rPr>
            </w:pPr>
            <w:r w:rsidRPr="00DF3703">
              <w:rPr>
                <w:rFonts w:ascii="Arial" w:hAnsi="Arial" w:cs="Arial"/>
              </w:rPr>
              <w:t>2007</w:t>
            </w:r>
            <w:r w:rsidR="00BA52D9" w:rsidRPr="00DF3703">
              <w:rPr>
                <w:rFonts w:ascii="Arial" w:hAnsi="Arial" w:cs="Arial"/>
              </w:rPr>
              <w:t xml:space="preserve"> ($m)</w:t>
            </w:r>
          </w:p>
        </w:tc>
        <w:tc>
          <w:tcPr>
            <w:tcW w:w="1335" w:type="pct"/>
            <w:vAlign w:val="center"/>
          </w:tcPr>
          <w:p w:rsidR="003A58E7" w:rsidRPr="00DF3703" w:rsidRDefault="006B7D88" w:rsidP="00060AB6">
            <w:pPr>
              <w:pStyle w:val="TableHeadingCentre"/>
              <w:jc w:val="right"/>
              <w:rPr>
                <w:rFonts w:ascii="Arial" w:hAnsi="Arial" w:cs="Arial"/>
              </w:rPr>
            </w:pPr>
            <w:r w:rsidRPr="00DF3703">
              <w:rPr>
                <w:rFonts w:ascii="Arial" w:hAnsi="Arial" w:cs="Arial"/>
              </w:rPr>
              <w:t>2012</w:t>
            </w:r>
            <w:r w:rsidR="00BA52D9" w:rsidRPr="00DF3703">
              <w:rPr>
                <w:rFonts w:ascii="Arial" w:hAnsi="Arial" w:cs="Arial"/>
              </w:rPr>
              <w:t xml:space="preserve"> ($m)</w:t>
            </w:r>
          </w:p>
        </w:tc>
        <w:tc>
          <w:tcPr>
            <w:tcW w:w="1334" w:type="pct"/>
          </w:tcPr>
          <w:p w:rsidR="003A58E7" w:rsidRPr="00DF3703" w:rsidRDefault="006B7D88" w:rsidP="00060AB6">
            <w:pPr>
              <w:pStyle w:val="TableHeadingCentre"/>
              <w:jc w:val="right"/>
              <w:rPr>
                <w:rFonts w:ascii="Arial" w:hAnsi="Arial" w:cs="Arial"/>
              </w:rPr>
            </w:pPr>
            <w:r w:rsidRPr="00DF3703">
              <w:rPr>
                <w:rFonts w:ascii="Arial" w:hAnsi="Arial" w:cs="Arial"/>
              </w:rPr>
              <w:t>% change</w:t>
            </w:r>
          </w:p>
        </w:tc>
      </w:tr>
      <w:tr w:rsidR="003A58E7" w:rsidRPr="00DF3703" w:rsidTr="00060AB6">
        <w:tc>
          <w:tcPr>
            <w:tcW w:w="1229" w:type="pct"/>
            <w:vAlign w:val="center"/>
          </w:tcPr>
          <w:p w:rsidR="003A58E7" w:rsidRPr="00DF3703" w:rsidRDefault="006B7D88" w:rsidP="003534B2">
            <w:pPr>
              <w:keepNext/>
              <w:keepLines/>
              <w:rPr>
                <w:rFonts w:ascii="Arial" w:hAnsi="Arial" w:cs="Arial"/>
                <w:bCs/>
                <w:sz w:val="21"/>
                <w:szCs w:val="21"/>
                <w:lang w:eastAsia="en-AU"/>
              </w:rPr>
            </w:pPr>
            <w:r w:rsidRPr="00DF3703">
              <w:rPr>
                <w:rFonts w:ascii="Arial" w:hAnsi="Arial" w:cs="Arial"/>
                <w:bCs/>
                <w:sz w:val="21"/>
                <w:szCs w:val="21"/>
                <w:lang w:eastAsia="en-AU"/>
              </w:rPr>
              <w:t>International</w:t>
            </w:r>
          </w:p>
        </w:tc>
        <w:tc>
          <w:tcPr>
            <w:tcW w:w="1102" w:type="pct"/>
            <w:vAlign w:val="center"/>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1,561</w:t>
            </w:r>
          </w:p>
        </w:tc>
        <w:tc>
          <w:tcPr>
            <w:tcW w:w="1335" w:type="pct"/>
            <w:vAlign w:val="center"/>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 xml:space="preserve"> 1,101.8 </w:t>
            </w:r>
          </w:p>
        </w:tc>
        <w:tc>
          <w:tcPr>
            <w:tcW w:w="1334" w:type="pct"/>
            <w:vAlign w:val="bottom"/>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-29.4</w:t>
            </w:r>
          </w:p>
        </w:tc>
      </w:tr>
      <w:tr w:rsidR="003A58E7" w:rsidRPr="00DF3703" w:rsidTr="00060AB6">
        <w:tc>
          <w:tcPr>
            <w:tcW w:w="1229" w:type="pct"/>
            <w:vAlign w:val="center"/>
          </w:tcPr>
          <w:p w:rsidR="003A58E7" w:rsidRPr="00DF3703" w:rsidRDefault="006B7D88" w:rsidP="003534B2">
            <w:pPr>
              <w:keepNext/>
              <w:keepLines/>
              <w:rPr>
                <w:rFonts w:ascii="Arial" w:hAnsi="Arial" w:cs="Arial"/>
                <w:bCs/>
                <w:sz w:val="21"/>
                <w:szCs w:val="21"/>
                <w:lang w:eastAsia="en-AU"/>
              </w:rPr>
            </w:pPr>
            <w:r w:rsidRPr="00DF3703">
              <w:rPr>
                <w:rFonts w:ascii="Arial" w:hAnsi="Arial" w:cs="Arial"/>
                <w:bCs/>
                <w:sz w:val="21"/>
                <w:szCs w:val="21"/>
                <w:lang w:eastAsia="en-AU"/>
              </w:rPr>
              <w:t>Domestic overnight</w:t>
            </w:r>
          </w:p>
        </w:tc>
        <w:tc>
          <w:tcPr>
            <w:tcW w:w="1102" w:type="pct"/>
            <w:vAlign w:val="center"/>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4,180</w:t>
            </w:r>
          </w:p>
        </w:tc>
        <w:tc>
          <w:tcPr>
            <w:tcW w:w="1335" w:type="pct"/>
            <w:vAlign w:val="center"/>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 xml:space="preserve"> 4,342.2 </w:t>
            </w:r>
          </w:p>
        </w:tc>
        <w:tc>
          <w:tcPr>
            <w:tcW w:w="1334" w:type="pct"/>
            <w:vAlign w:val="bottom"/>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3.9</w:t>
            </w:r>
          </w:p>
        </w:tc>
      </w:tr>
      <w:tr w:rsidR="003A58E7" w:rsidRPr="00DF3703" w:rsidTr="00060AB6">
        <w:tc>
          <w:tcPr>
            <w:tcW w:w="1229" w:type="pct"/>
            <w:vAlign w:val="center"/>
          </w:tcPr>
          <w:p w:rsidR="003A58E7" w:rsidRPr="00DF3703" w:rsidRDefault="006B7D88" w:rsidP="003534B2">
            <w:pPr>
              <w:keepNext/>
              <w:keepLines/>
              <w:jc w:val="both"/>
              <w:rPr>
                <w:rFonts w:ascii="Arial" w:hAnsi="Arial" w:cs="Arial"/>
                <w:bCs/>
                <w:sz w:val="21"/>
                <w:szCs w:val="21"/>
                <w:lang w:eastAsia="en-AU"/>
              </w:rPr>
            </w:pPr>
            <w:r w:rsidRPr="00DF3703">
              <w:rPr>
                <w:rFonts w:ascii="Arial" w:hAnsi="Arial" w:cs="Arial"/>
                <w:bCs/>
                <w:sz w:val="21"/>
                <w:szCs w:val="21"/>
                <w:lang w:eastAsia="en-AU"/>
              </w:rPr>
              <w:t>Domestic day</w:t>
            </w:r>
          </w:p>
        </w:tc>
        <w:tc>
          <w:tcPr>
            <w:tcW w:w="1102" w:type="pct"/>
            <w:vAlign w:val="center"/>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908</w:t>
            </w:r>
          </w:p>
        </w:tc>
        <w:tc>
          <w:tcPr>
            <w:tcW w:w="1335" w:type="pct"/>
            <w:vAlign w:val="center"/>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 xml:space="preserve"> 931.5 </w:t>
            </w:r>
          </w:p>
        </w:tc>
        <w:tc>
          <w:tcPr>
            <w:tcW w:w="1334" w:type="pct"/>
            <w:vAlign w:val="bottom"/>
          </w:tcPr>
          <w:p w:rsidR="003A58E7" w:rsidRPr="00DF3703" w:rsidRDefault="006B7D88" w:rsidP="003534B2">
            <w:pPr>
              <w:pStyle w:val="TabletextRight"/>
              <w:keepNext/>
              <w:keepLines/>
              <w:spacing w:before="0"/>
              <w:rPr>
                <w:rFonts w:ascii="Arial" w:hAnsi="Arial" w:cs="Arial"/>
                <w:sz w:val="21"/>
                <w:szCs w:val="21"/>
              </w:rPr>
            </w:pPr>
            <w:r w:rsidRPr="00DF3703">
              <w:rPr>
                <w:rFonts w:ascii="Arial" w:hAnsi="Arial" w:cs="Arial"/>
                <w:sz w:val="21"/>
                <w:szCs w:val="21"/>
              </w:rPr>
              <w:t>2.6</w:t>
            </w:r>
          </w:p>
        </w:tc>
      </w:tr>
      <w:tr w:rsidR="003A58E7" w:rsidRPr="00DF3703" w:rsidTr="00060AB6">
        <w:tc>
          <w:tcPr>
            <w:tcW w:w="1229" w:type="pct"/>
          </w:tcPr>
          <w:p w:rsidR="003A58E7" w:rsidRPr="00DF3703" w:rsidRDefault="006B7D88" w:rsidP="00060AB6">
            <w:pPr>
              <w:pStyle w:val="TableHeadingLeft"/>
              <w:jc w:val="both"/>
              <w:rPr>
                <w:rFonts w:ascii="Arial" w:hAnsi="Arial" w:cs="Arial"/>
                <w:lang w:eastAsia="en-AU"/>
              </w:rPr>
            </w:pPr>
            <w:r w:rsidRPr="00DF3703">
              <w:rPr>
                <w:rFonts w:ascii="Arial" w:hAnsi="Arial" w:cs="Arial"/>
                <w:lang w:eastAsia="en-AU"/>
              </w:rPr>
              <w:t>Total</w:t>
            </w:r>
          </w:p>
        </w:tc>
        <w:tc>
          <w:tcPr>
            <w:tcW w:w="1102" w:type="pct"/>
            <w:vAlign w:val="center"/>
          </w:tcPr>
          <w:p w:rsidR="003A58E7" w:rsidRPr="00DF3703" w:rsidRDefault="006B7D88" w:rsidP="00060AB6">
            <w:pPr>
              <w:pStyle w:val="TableHeadingRight"/>
              <w:rPr>
                <w:rFonts w:ascii="Arial" w:hAnsi="Arial" w:cs="Arial"/>
              </w:rPr>
            </w:pPr>
            <w:r w:rsidRPr="00DF3703">
              <w:rPr>
                <w:rFonts w:ascii="Arial" w:hAnsi="Arial" w:cs="Arial"/>
              </w:rPr>
              <w:t>6,648.9</w:t>
            </w:r>
          </w:p>
        </w:tc>
        <w:tc>
          <w:tcPr>
            <w:tcW w:w="1335" w:type="pct"/>
            <w:vAlign w:val="center"/>
          </w:tcPr>
          <w:p w:rsidR="003A58E7" w:rsidRPr="00DF3703" w:rsidRDefault="006B7D88" w:rsidP="00060AB6">
            <w:pPr>
              <w:pStyle w:val="TableHeadingRight"/>
              <w:rPr>
                <w:rFonts w:ascii="Arial" w:hAnsi="Arial" w:cs="Arial"/>
              </w:rPr>
            </w:pPr>
            <w:r w:rsidRPr="00DF3703">
              <w:rPr>
                <w:rFonts w:ascii="Arial" w:hAnsi="Arial" w:cs="Arial"/>
              </w:rPr>
              <w:t xml:space="preserve"> 6,375.5 </w:t>
            </w:r>
          </w:p>
        </w:tc>
        <w:tc>
          <w:tcPr>
            <w:tcW w:w="1334" w:type="pct"/>
            <w:vAlign w:val="bottom"/>
          </w:tcPr>
          <w:p w:rsidR="003A58E7" w:rsidRPr="00DF3703" w:rsidRDefault="006B7D88" w:rsidP="00060AB6">
            <w:pPr>
              <w:pStyle w:val="TableHeadingRight"/>
              <w:rPr>
                <w:rFonts w:ascii="Arial" w:hAnsi="Arial" w:cs="Arial"/>
              </w:rPr>
            </w:pPr>
            <w:r w:rsidRPr="00DF3703">
              <w:rPr>
                <w:rFonts w:ascii="Arial" w:hAnsi="Arial" w:cs="Arial"/>
              </w:rPr>
              <w:t>-4.1</w:t>
            </w:r>
          </w:p>
        </w:tc>
      </w:tr>
    </w:tbl>
    <w:p w:rsidR="003A58E7" w:rsidRPr="00DF3703" w:rsidRDefault="006B7D88" w:rsidP="003A58E7">
      <w:pPr>
        <w:pStyle w:val="Source"/>
        <w:spacing w:after="0"/>
        <w:rPr>
          <w:rFonts w:ascii="Arial" w:hAnsi="Arial"/>
          <w:szCs w:val="18"/>
        </w:rPr>
      </w:pPr>
      <w:r w:rsidRPr="00DF3703">
        <w:rPr>
          <w:rFonts w:ascii="Arial" w:hAnsi="Arial"/>
          <w:szCs w:val="18"/>
        </w:rPr>
        <w:t xml:space="preserve">Source: TRA regional profiles 2010-11, TRA 2012, Deloitte Access Economics. </w:t>
      </w:r>
    </w:p>
    <w:p w:rsidR="003A58E7" w:rsidRPr="00DF3703" w:rsidRDefault="006B7D88" w:rsidP="003A58E7">
      <w:pPr>
        <w:pStyle w:val="Source"/>
        <w:spacing w:after="0"/>
        <w:rPr>
          <w:rFonts w:ascii="Arial" w:hAnsi="Arial"/>
          <w:szCs w:val="18"/>
        </w:rPr>
      </w:pPr>
      <w:r w:rsidRPr="00DF3703">
        <w:rPr>
          <w:rFonts w:ascii="Arial" w:hAnsi="Arial"/>
          <w:szCs w:val="18"/>
        </w:rPr>
        <w:t xml:space="preserve">Note: The 2006-07 figures from the previous report and 2010-11 figures were converted </w:t>
      </w:r>
      <w:r w:rsidR="00BA52D9" w:rsidRPr="00DF3703">
        <w:rPr>
          <w:rFonts w:ascii="Arial" w:hAnsi="Arial"/>
          <w:szCs w:val="18"/>
        </w:rPr>
        <w:t>to</w:t>
      </w:r>
      <w:r w:rsidRPr="00DF3703">
        <w:rPr>
          <w:rFonts w:ascii="Arial" w:hAnsi="Arial"/>
          <w:szCs w:val="18"/>
        </w:rPr>
        <w:t xml:space="preserve"> $2011-12 using the Consumer Price Index. </w:t>
      </w:r>
    </w:p>
    <w:p w:rsidR="003A58E7" w:rsidRPr="00DF3703" w:rsidRDefault="006B7D88" w:rsidP="003A58E7">
      <w:pPr>
        <w:pStyle w:val="BodyText"/>
        <w:rPr>
          <w:rFonts w:ascii="Arial" w:hAnsi="Arial" w:cs="Arial"/>
        </w:rPr>
      </w:pPr>
      <w:r w:rsidRPr="00DF3703">
        <w:rPr>
          <w:rFonts w:ascii="Arial" w:hAnsi="Arial" w:cs="Arial"/>
        </w:rPr>
        <w:t>The estimated daily expenditure by visitor type is shown in</w:t>
      </w:r>
      <w:r w:rsidR="005E13B5">
        <w:rPr>
          <w:rFonts w:ascii="Arial" w:hAnsi="Arial" w:cs="Arial"/>
        </w:rPr>
        <w:t xml:space="preserve"> </w:t>
      </w:r>
      <w:r w:rsidR="00EB023D">
        <w:rPr>
          <w:rFonts w:ascii="Arial" w:hAnsi="Arial" w:cs="Arial"/>
        </w:rPr>
        <w:fldChar w:fldCharType="begin"/>
      </w:r>
      <w:r w:rsidR="003D216E">
        <w:rPr>
          <w:rFonts w:ascii="Arial" w:hAnsi="Arial" w:cs="Arial"/>
        </w:rPr>
        <w:instrText xml:space="preserve"> REF _Ref350160005 \r \h </w:instrText>
      </w:r>
      <w:r w:rsidR="00EB023D">
        <w:rPr>
          <w:rFonts w:ascii="Arial" w:hAnsi="Arial" w:cs="Arial"/>
        </w:rPr>
      </w:r>
      <w:r w:rsidR="00EB023D">
        <w:rPr>
          <w:rFonts w:ascii="Arial" w:hAnsi="Arial" w:cs="Arial"/>
        </w:rPr>
        <w:fldChar w:fldCharType="separate"/>
      </w:r>
      <w:r w:rsidR="00536D7E">
        <w:rPr>
          <w:rFonts w:ascii="Arial" w:hAnsi="Arial" w:cs="Arial"/>
        </w:rPr>
        <w:t>Table 3.4</w:t>
      </w:r>
      <w:r w:rsidR="00EB023D">
        <w:rPr>
          <w:rFonts w:ascii="Arial" w:hAnsi="Arial" w:cs="Arial"/>
        </w:rPr>
        <w:fldChar w:fldCharType="end"/>
      </w:r>
      <w:r w:rsidRPr="00DF3703">
        <w:rPr>
          <w:rFonts w:ascii="Arial" w:hAnsi="Arial" w:cs="Arial"/>
        </w:rPr>
        <w:t xml:space="preserve">.  In addition to comprising the largest visitor group in terms of total visitor nights, domestic overnight visitors also have the highest estimated average nightly spend. </w:t>
      </w:r>
    </w:p>
    <w:p w:rsidR="003A58E7" w:rsidRPr="00DF3703" w:rsidRDefault="006B7D88" w:rsidP="00A27BBC">
      <w:pPr>
        <w:pStyle w:val="CaptionTable"/>
        <w:ind w:left="0"/>
        <w:rPr>
          <w:rFonts w:ascii="Arial" w:hAnsi="Arial" w:cs="Arial"/>
        </w:rPr>
      </w:pPr>
      <w:bookmarkStart w:id="76" w:name="_Ref338778547"/>
      <w:bookmarkStart w:id="77" w:name="_Ref350160005"/>
      <w:bookmarkStart w:id="78" w:name="_Toc355701052"/>
      <w:r w:rsidRPr="00DF3703">
        <w:rPr>
          <w:rFonts w:ascii="Arial" w:hAnsi="Arial" w:cs="Arial"/>
        </w:rPr>
        <w:t xml:space="preserve">: Breakdown of estimated tourism expenditure in </w:t>
      </w:r>
      <w:bookmarkEnd w:id="76"/>
      <w:r w:rsidRPr="00DF3703">
        <w:rPr>
          <w:rFonts w:ascii="Arial" w:hAnsi="Arial" w:cs="Arial"/>
        </w:rPr>
        <w:t>2012 by visitor type</w:t>
      </w:r>
      <w:bookmarkEnd w:id="77"/>
      <w:bookmarkEnd w:id="78"/>
    </w:p>
    <w:tbl>
      <w:tblPr>
        <w:tblStyle w:val="TableAEGrey"/>
        <w:tblW w:w="8314" w:type="dxa"/>
        <w:tblLayout w:type="fixed"/>
        <w:tblLook w:val="04A0"/>
      </w:tblPr>
      <w:tblGrid>
        <w:gridCol w:w="2274"/>
        <w:gridCol w:w="1588"/>
        <w:gridCol w:w="2364"/>
        <w:gridCol w:w="2088"/>
      </w:tblGrid>
      <w:tr w:rsidR="003A58E7" w:rsidRPr="00DF3703" w:rsidTr="00321684">
        <w:trPr>
          <w:cnfStyle w:val="100000000000"/>
        </w:trPr>
        <w:tc>
          <w:tcPr>
            <w:tcW w:w="2274" w:type="dxa"/>
          </w:tcPr>
          <w:p w:rsidR="003A58E7" w:rsidRPr="00DF3703" w:rsidRDefault="006B7D88" w:rsidP="00060AB6">
            <w:pPr>
              <w:pStyle w:val="TableHeadingCentre"/>
              <w:jc w:val="left"/>
              <w:rPr>
                <w:rFonts w:ascii="Arial" w:hAnsi="Arial" w:cs="Arial"/>
              </w:rPr>
            </w:pPr>
            <w:r w:rsidRPr="00DF3703">
              <w:rPr>
                <w:rFonts w:ascii="Arial" w:hAnsi="Arial" w:cs="Arial"/>
              </w:rPr>
              <w:t>Visitor type</w:t>
            </w:r>
          </w:p>
        </w:tc>
        <w:tc>
          <w:tcPr>
            <w:tcW w:w="1588" w:type="dxa"/>
            <w:vAlign w:val="center"/>
          </w:tcPr>
          <w:p w:rsidR="003A58E7" w:rsidRPr="00DF3703" w:rsidRDefault="006B7D88" w:rsidP="00060AB6">
            <w:pPr>
              <w:pStyle w:val="TableHeadingCentre"/>
              <w:jc w:val="right"/>
              <w:rPr>
                <w:rFonts w:ascii="Arial" w:hAnsi="Arial" w:cs="Arial"/>
              </w:rPr>
            </w:pPr>
            <w:r w:rsidRPr="00DF3703">
              <w:rPr>
                <w:rFonts w:ascii="Arial" w:hAnsi="Arial" w:cs="Arial"/>
              </w:rPr>
              <w:t>Visitor nights/days (million)</w:t>
            </w:r>
          </w:p>
          <w:p w:rsidR="003A58E7" w:rsidRPr="00DF3703" w:rsidRDefault="003A58E7" w:rsidP="00060AB6">
            <w:pPr>
              <w:pStyle w:val="TableHeadingCentre"/>
              <w:jc w:val="right"/>
              <w:rPr>
                <w:rFonts w:ascii="Arial" w:hAnsi="Arial" w:cs="Arial"/>
              </w:rPr>
            </w:pPr>
          </w:p>
        </w:tc>
        <w:tc>
          <w:tcPr>
            <w:tcW w:w="2364" w:type="dxa"/>
            <w:vAlign w:val="center"/>
          </w:tcPr>
          <w:p w:rsidR="003A58E7" w:rsidRPr="00DF3703" w:rsidRDefault="006B7D88" w:rsidP="00060AB6">
            <w:pPr>
              <w:pStyle w:val="TableHeadingCentre"/>
              <w:jc w:val="right"/>
              <w:rPr>
                <w:rFonts w:ascii="Arial" w:hAnsi="Arial" w:cs="Arial"/>
              </w:rPr>
            </w:pPr>
            <w:r w:rsidRPr="00DF3703">
              <w:rPr>
                <w:rFonts w:ascii="Arial" w:hAnsi="Arial" w:cs="Arial"/>
              </w:rPr>
              <w:t>Estimated average expenditure per night/day ($)</w:t>
            </w:r>
          </w:p>
        </w:tc>
        <w:tc>
          <w:tcPr>
            <w:tcW w:w="2088" w:type="dxa"/>
            <w:vAlign w:val="center"/>
          </w:tcPr>
          <w:p w:rsidR="003A58E7" w:rsidRPr="00DF3703" w:rsidRDefault="006B7D88" w:rsidP="00060AB6">
            <w:pPr>
              <w:pStyle w:val="TableHeadingCentre"/>
              <w:jc w:val="right"/>
              <w:rPr>
                <w:rFonts w:ascii="Arial" w:hAnsi="Arial" w:cs="Arial"/>
              </w:rPr>
            </w:pPr>
            <w:r w:rsidRPr="00DF3703">
              <w:rPr>
                <w:rFonts w:ascii="Arial" w:hAnsi="Arial" w:cs="Arial"/>
              </w:rPr>
              <w:t>Total expenditure (million)</w:t>
            </w:r>
          </w:p>
        </w:tc>
      </w:tr>
      <w:tr w:rsidR="003A58E7" w:rsidRPr="00DF3703" w:rsidTr="00321684">
        <w:tc>
          <w:tcPr>
            <w:tcW w:w="2274" w:type="dxa"/>
            <w:vAlign w:val="bottom"/>
          </w:tcPr>
          <w:p w:rsidR="003A58E7" w:rsidRPr="00DF3703" w:rsidRDefault="006B7D88" w:rsidP="00321684">
            <w:pPr>
              <w:rPr>
                <w:rFonts w:ascii="Arial" w:hAnsi="Arial" w:cs="Arial"/>
                <w:bCs/>
                <w:sz w:val="21"/>
                <w:szCs w:val="21"/>
                <w:lang w:eastAsia="en-AU"/>
              </w:rPr>
            </w:pPr>
            <w:r w:rsidRPr="00DF3703">
              <w:rPr>
                <w:rFonts w:ascii="Arial" w:hAnsi="Arial" w:cs="Arial"/>
                <w:bCs/>
                <w:sz w:val="21"/>
                <w:szCs w:val="21"/>
                <w:lang w:eastAsia="en-AU"/>
              </w:rPr>
              <w:t>International</w:t>
            </w:r>
          </w:p>
        </w:tc>
        <w:tc>
          <w:tcPr>
            <w:tcW w:w="1588" w:type="dxa"/>
            <w:vAlign w:val="bottom"/>
          </w:tcPr>
          <w:p w:rsidR="003A58E7" w:rsidRPr="00DF3703" w:rsidRDefault="006B7D88" w:rsidP="00321684">
            <w:pPr>
              <w:keepNext/>
              <w:jc w:val="right"/>
              <w:rPr>
                <w:rFonts w:ascii="Arial" w:hAnsi="Arial" w:cs="Arial"/>
                <w:sz w:val="21"/>
                <w:szCs w:val="21"/>
              </w:rPr>
            </w:pPr>
            <w:r w:rsidRPr="00DF3703">
              <w:rPr>
                <w:rFonts w:ascii="Arial" w:hAnsi="Arial" w:cs="Arial"/>
                <w:sz w:val="21"/>
                <w:szCs w:val="21"/>
              </w:rPr>
              <w:t>10.2</w:t>
            </w:r>
          </w:p>
        </w:tc>
        <w:tc>
          <w:tcPr>
            <w:tcW w:w="2364" w:type="dxa"/>
            <w:vAlign w:val="bottom"/>
          </w:tcPr>
          <w:p w:rsidR="003A58E7" w:rsidRPr="00DF3703" w:rsidRDefault="006B7D88" w:rsidP="00321684">
            <w:pPr>
              <w:jc w:val="right"/>
              <w:rPr>
                <w:rFonts w:ascii="Arial" w:hAnsi="Arial" w:cs="Arial"/>
                <w:sz w:val="21"/>
                <w:szCs w:val="21"/>
              </w:rPr>
            </w:pPr>
            <w:r w:rsidRPr="00DF3703">
              <w:rPr>
                <w:rFonts w:ascii="Arial" w:hAnsi="Arial" w:cs="Arial"/>
                <w:sz w:val="21"/>
                <w:szCs w:val="21"/>
              </w:rPr>
              <w:t>108.1</w:t>
            </w:r>
          </w:p>
        </w:tc>
        <w:tc>
          <w:tcPr>
            <w:tcW w:w="2088" w:type="dxa"/>
            <w:vAlign w:val="bottom"/>
          </w:tcPr>
          <w:p w:rsidR="003A58E7" w:rsidRPr="00DF3703" w:rsidRDefault="006B7D88" w:rsidP="00321684">
            <w:pPr>
              <w:jc w:val="right"/>
              <w:rPr>
                <w:rFonts w:ascii="Arial" w:hAnsi="Arial" w:cs="Arial"/>
                <w:sz w:val="21"/>
                <w:szCs w:val="21"/>
              </w:rPr>
            </w:pPr>
            <w:r w:rsidRPr="00DF3703">
              <w:rPr>
                <w:rFonts w:ascii="Arial" w:hAnsi="Arial" w:cs="Arial"/>
                <w:sz w:val="21"/>
                <w:szCs w:val="21"/>
              </w:rPr>
              <w:t>1,101.8</w:t>
            </w:r>
          </w:p>
        </w:tc>
      </w:tr>
      <w:tr w:rsidR="003A58E7" w:rsidRPr="00DF3703" w:rsidTr="00321684">
        <w:tc>
          <w:tcPr>
            <w:tcW w:w="2274" w:type="dxa"/>
            <w:vAlign w:val="bottom"/>
          </w:tcPr>
          <w:p w:rsidR="003A58E7" w:rsidRPr="00DF3703" w:rsidRDefault="006B7D88" w:rsidP="00321684">
            <w:pPr>
              <w:rPr>
                <w:rFonts w:ascii="Arial" w:hAnsi="Arial" w:cs="Arial"/>
                <w:bCs/>
                <w:sz w:val="21"/>
                <w:szCs w:val="21"/>
                <w:lang w:eastAsia="en-AU"/>
              </w:rPr>
            </w:pPr>
            <w:r w:rsidRPr="00DF3703">
              <w:rPr>
                <w:rFonts w:ascii="Arial" w:hAnsi="Arial" w:cs="Arial"/>
                <w:bCs/>
                <w:sz w:val="21"/>
                <w:szCs w:val="21"/>
                <w:lang w:eastAsia="en-AU"/>
              </w:rPr>
              <w:t>Domestic overnight</w:t>
            </w:r>
          </w:p>
        </w:tc>
        <w:tc>
          <w:tcPr>
            <w:tcW w:w="1588" w:type="dxa"/>
            <w:vAlign w:val="bottom"/>
          </w:tcPr>
          <w:p w:rsidR="003A58E7" w:rsidRPr="00DF3703" w:rsidRDefault="006B7D88" w:rsidP="00321684">
            <w:pPr>
              <w:keepNext/>
              <w:jc w:val="right"/>
              <w:rPr>
                <w:rFonts w:ascii="Arial" w:hAnsi="Arial" w:cs="Arial"/>
                <w:sz w:val="21"/>
                <w:szCs w:val="21"/>
              </w:rPr>
            </w:pPr>
            <w:r w:rsidRPr="00DF3703">
              <w:rPr>
                <w:rFonts w:ascii="Arial" w:hAnsi="Arial" w:cs="Arial"/>
                <w:sz w:val="21"/>
                <w:szCs w:val="21"/>
              </w:rPr>
              <w:t>24.8</w:t>
            </w:r>
          </w:p>
        </w:tc>
        <w:tc>
          <w:tcPr>
            <w:tcW w:w="2364" w:type="dxa"/>
            <w:vAlign w:val="bottom"/>
          </w:tcPr>
          <w:p w:rsidR="003A58E7" w:rsidRPr="00DF3703" w:rsidRDefault="006B7D88" w:rsidP="00321684">
            <w:pPr>
              <w:jc w:val="right"/>
              <w:rPr>
                <w:rFonts w:ascii="Arial" w:hAnsi="Arial" w:cs="Arial"/>
                <w:sz w:val="21"/>
                <w:szCs w:val="21"/>
              </w:rPr>
            </w:pPr>
            <w:r w:rsidRPr="00DF3703">
              <w:rPr>
                <w:rFonts w:ascii="Arial" w:hAnsi="Arial" w:cs="Arial"/>
                <w:sz w:val="21"/>
                <w:szCs w:val="21"/>
              </w:rPr>
              <w:t>175.2</w:t>
            </w:r>
          </w:p>
        </w:tc>
        <w:tc>
          <w:tcPr>
            <w:tcW w:w="2088" w:type="dxa"/>
            <w:vAlign w:val="bottom"/>
          </w:tcPr>
          <w:p w:rsidR="003A58E7" w:rsidRPr="00DF3703" w:rsidRDefault="006B7D88" w:rsidP="00321684">
            <w:pPr>
              <w:jc w:val="right"/>
              <w:rPr>
                <w:rFonts w:ascii="Arial" w:hAnsi="Arial" w:cs="Arial"/>
                <w:sz w:val="21"/>
                <w:szCs w:val="21"/>
              </w:rPr>
            </w:pPr>
            <w:r w:rsidRPr="00DF3703">
              <w:rPr>
                <w:rFonts w:ascii="Arial" w:hAnsi="Arial" w:cs="Arial"/>
                <w:sz w:val="21"/>
                <w:szCs w:val="21"/>
              </w:rPr>
              <w:t>4,342.2</w:t>
            </w:r>
          </w:p>
        </w:tc>
      </w:tr>
      <w:tr w:rsidR="003A58E7" w:rsidRPr="00DF3703" w:rsidTr="00321684">
        <w:tc>
          <w:tcPr>
            <w:tcW w:w="2274" w:type="dxa"/>
            <w:vAlign w:val="bottom"/>
          </w:tcPr>
          <w:p w:rsidR="003A58E7" w:rsidRPr="00DF3703" w:rsidRDefault="006B7D88" w:rsidP="00321684">
            <w:pPr>
              <w:rPr>
                <w:rFonts w:ascii="Arial" w:hAnsi="Arial" w:cs="Arial"/>
                <w:bCs/>
                <w:sz w:val="21"/>
                <w:szCs w:val="21"/>
                <w:lang w:eastAsia="en-AU"/>
              </w:rPr>
            </w:pPr>
            <w:r w:rsidRPr="00DF3703">
              <w:rPr>
                <w:rFonts w:ascii="Arial" w:hAnsi="Arial" w:cs="Arial"/>
                <w:bCs/>
                <w:sz w:val="21"/>
                <w:szCs w:val="21"/>
                <w:lang w:eastAsia="en-AU"/>
              </w:rPr>
              <w:t>Domestic day</w:t>
            </w:r>
          </w:p>
        </w:tc>
        <w:tc>
          <w:tcPr>
            <w:tcW w:w="1588" w:type="dxa"/>
            <w:vAlign w:val="bottom"/>
          </w:tcPr>
          <w:p w:rsidR="003A58E7" w:rsidRPr="00DF3703" w:rsidRDefault="006B7D88" w:rsidP="00321684">
            <w:pPr>
              <w:keepNext/>
              <w:jc w:val="right"/>
              <w:rPr>
                <w:rFonts w:ascii="Arial" w:hAnsi="Arial" w:cs="Arial"/>
                <w:sz w:val="21"/>
                <w:szCs w:val="21"/>
              </w:rPr>
            </w:pPr>
            <w:r w:rsidRPr="00DF3703">
              <w:rPr>
                <w:rFonts w:ascii="Arial" w:hAnsi="Arial" w:cs="Arial"/>
                <w:sz w:val="21"/>
                <w:szCs w:val="21"/>
              </w:rPr>
              <w:t>7.9</w:t>
            </w:r>
          </w:p>
        </w:tc>
        <w:tc>
          <w:tcPr>
            <w:tcW w:w="2364" w:type="dxa"/>
            <w:vAlign w:val="bottom"/>
          </w:tcPr>
          <w:p w:rsidR="003A58E7" w:rsidRPr="00DF3703" w:rsidRDefault="006B7D88" w:rsidP="00321684">
            <w:pPr>
              <w:jc w:val="right"/>
              <w:rPr>
                <w:rFonts w:ascii="Arial" w:hAnsi="Arial" w:cs="Arial"/>
                <w:sz w:val="21"/>
                <w:szCs w:val="21"/>
              </w:rPr>
            </w:pPr>
            <w:r w:rsidRPr="00DF3703">
              <w:rPr>
                <w:rFonts w:ascii="Arial" w:hAnsi="Arial" w:cs="Arial"/>
                <w:sz w:val="21"/>
                <w:szCs w:val="21"/>
              </w:rPr>
              <w:t>118.5</w:t>
            </w:r>
          </w:p>
        </w:tc>
        <w:tc>
          <w:tcPr>
            <w:tcW w:w="2088" w:type="dxa"/>
            <w:vAlign w:val="bottom"/>
          </w:tcPr>
          <w:p w:rsidR="003A58E7" w:rsidRPr="00DF3703" w:rsidRDefault="006B7D88" w:rsidP="00321684">
            <w:pPr>
              <w:jc w:val="right"/>
              <w:rPr>
                <w:rFonts w:ascii="Arial" w:hAnsi="Arial" w:cs="Arial"/>
                <w:sz w:val="21"/>
                <w:szCs w:val="21"/>
              </w:rPr>
            </w:pPr>
            <w:r w:rsidRPr="00DF3703">
              <w:rPr>
                <w:rFonts w:ascii="Arial" w:hAnsi="Arial" w:cs="Arial"/>
                <w:sz w:val="21"/>
                <w:szCs w:val="21"/>
              </w:rPr>
              <w:t>931.6</w:t>
            </w:r>
          </w:p>
        </w:tc>
      </w:tr>
      <w:tr w:rsidR="003A58E7" w:rsidRPr="00DF3703" w:rsidTr="00321684">
        <w:tc>
          <w:tcPr>
            <w:tcW w:w="2274" w:type="dxa"/>
            <w:vAlign w:val="bottom"/>
          </w:tcPr>
          <w:p w:rsidR="003A58E7" w:rsidRPr="00DF3703" w:rsidRDefault="006B7D88" w:rsidP="00321684">
            <w:pPr>
              <w:pStyle w:val="TableHeadingLeft"/>
              <w:rPr>
                <w:rFonts w:ascii="Arial" w:hAnsi="Arial" w:cs="Arial"/>
                <w:lang w:eastAsia="en-AU"/>
              </w:rPr>
            </w:pPr>
            <w:r w:rsidRPr="00DF3703">
              <w:rPr>
                <w:rFonts w:ascii="Arial" w:hAnsi="Arial" w:cs="Arial"/>
                <w:lang w:eastAsia="en-AU"/>
              </w:rPr>
              <w:t>Total</w:t>
            </w:r>
          </w:p>
        </w:tc>
        <w:tc>
          <w:tcPr>
            <w:tcW w:w="1588" w:type="dxa"/>
            <w:vAlign w:val="bottom"/>
          </w:tcPr>
          <w:p w:rsidR="003A58E7" w:rsidRPr="00DF3703" w:rsidRDefault="006B7D88" w:rsidP="00321684">
            <w:pPr>
              <w:pStyle w:val="TableHeadingRight"/>
              <w:rPr>
                <w:rFonts w:ascii="Arial" w:hAnsi="Arial" w:cs="Arial"/>
              </w:rPr>
            </w:pPr>
            <w:r w:rsidRPr="00DF3703">
              <w:rPr>
                <w:rFonts w:ascii="Arial" w:hAnsi="Arial" w:cs="Arial"/>
              </w:rPr>
              <w:t>42.8</w:t>
            </w:r>
          </w:p>
        </w:tc>
        <w:tc>
          <w:tcPr>
            <w:tcW w:w="2364" w:type="dxa"/>
            <w:vAlign w:val="bottom"/>
          </w:tcPr>
          <w:p w:rsidR="003A58E7" w:rsidRPr="00DF3703" w:rsidRDefault="006B7D88" w:rsidP="00321684">
            <w:pPr>
              <w:pStyle w:val="TableHeadingRight"/>
              <w:rPr>
                <w:rFonts w:ascii="Arial" w:hAnsi="Arial" w:cs="Arial"/>
                <w:b w:val="0"/>
              </w:rPr>
            </w:pPr>
            <w:r w:rsidRPr="00DF3703">
              <w:rPr>
                <w:rFonts w:ascii="Arial" w:hAnsi="Arial" w:cs="Arial"/>
              </w:rPr>
              <w:t>148.8</w:t>
            </w:r>
          </w:p>
        </w:tc>
        <w:tc>
          <w:tcPr>
            <w:tcW w:w="2088" w:type="dxa"/>
            <w:vAlign w:val="bottom"/>
          </w:tcPr>
          <w:p w:rsidR="003A58E7" w:rsidRPr="00DF3703" w:rsidRDefault="006B7D88" w:rsidP="00321684">
            <w:pPr>
              <w:pStyle w:val="TableHeadingRight"/>
              <w:rPr>
                <w:rFonts w:ascii="Arial" w:hAnsi="Arial" w:cs="Arial"/>
                <w:b w:val="0"/>
              </w:rPr>
            </w:pPr>
            <w:r w:rsidRPr="00DF3703">
              <w:rPr>
                <w:rFonts w:ascii="Arial" w:hAnsi="Arial" w:cs="Arial"/>
              </w:rPr>
              <w:t>6,375.5</w:t>
            </w:r>
          </w:p>
        </w:tc>
      </w:tr>
    </w:tbl>
    <w:p w:rsidR="003A58E7" w:rsidRPr="00DF3703" w:rsidRDefault="006B7D88" w:rsidP="003A58E7">
      <w:pPr>
        <w:pStyle w:val="Source"/>
        <w:spacing w:after="0"/>
        <w:rPr>
          <w:rFonts w:ascii="Arial" w:hAnsi="Arial"/>
          <w:szCs w:val="18"/>
        </w:rPr>
      </w:pPr>
      <w:r w:rsidRPr="00DF3703">
        <w:rPr>
          <w:rFonts w:ascii="Arial" w:hAnsi="Arial"/>
          <w:szCs w:val="18"/>
        </w:rPr>
        <w:t>Source: TRA NVS and IVS June 2012, Deloitte Access Economics.</w:t>
      </w:r>
    </w:p>
    <w:p w:rsidR="003A58E7" w:rsidRPr="00DF3703" w:rsidRDefault="006B7D88" w:rsidP="003A58E7">
      <w:pPr>
        <w:pStyle w:val="Source"/>
        <w:spacing w:after="0"/>
        <w:rPr>
          <w:rFonts w:ascii="Arial" w:hAnsi="Arial"/>
          <w:szCs w:val="18"/>
        </w:rPr>
      </w:pPr>
      <w:r w:rsidRPr="00DF3703">
        <w:rPr>
          <w:rFonts w:ascii="Arial" w:hAnsi="Arial"/>
          <w:szCs w:val="18"/>
        </w:rPr>
        <w:t xml:space="preserve">Note: Results are expressed in $2011-12. </w:t>
      </w:r>
    </w:p>
    <w:bookmarkEnd w:id="75"/>
    <w:p w:rsidR="000135AC" w:rsidRPr="00DF3703" w:rsidRDefault="00EB023D" w:rsidP="000135AC">
      <w:pPr>
        <w:pStyle w:val="BodyText"/>
        <w:rPr>
          <w:rFonts w:ascii="Arial" w:hAnsi="Arial" w:cs="Arial"/>
        </w:rPr>
      </w:pPr>
      <w:r w:rsidRPr="00DF3703">
        <w:fldChar w:fldCharType="begin"/>
      </w:r>
      <w:r w:rsidR="00DA23DC" w:rsidRPr="00DF3703">
        <w:instrText xml:space="preserve"> REF _Ref338621896 \r \h  \* MERGEFORMAT </w:instrText>
      </w:r>
      <w:r w:rsidRPr="00DF3703">
        <w:fldChar w:fldCharType="separate"/>
      </w:r>
      <w:r w:rsidR="00536D7E" w:rsidRPr="00536D7E">
        <w:rPr>
          <w:rFonts w:ascii="Arial" w:hAnsi="Arial" w:cs="Arial"/>
        </w:rPr>
        <w:t>Table 3.5</w:t>
      </w:r>
      <w:r w:rsidRPr="00DF3703">
        <w:fldChar w:fldCharType="end"/>
      </w:r>
      <w:r w:rsidR="00ED0C8C" w:rsidRPr="00DF3703">
        <w:rPr>
          <w:rFonts w:ascii="Arial" w:hAnsi="Arial" w:cs="Arial"/>
        </w:rPr>
        <w:t xml:space="preserve"> provides</w:t>
      </w:r>
      <w:r w:rsidR="006B7D88" w:rsidRPr="00DF3703">
        <w:rPr>
          <w:rFonts w:ascii="Arial" w:hAnsi="Arial" w:cs="Arial"/>
        </w:rPr>
        <w:t xml:space="preserve"> the estimated breakdown of expenditure</w:t>
      </w:r>
      <w:r w:rsidR="00A27BBC" w:rsidRPr="00DF3703">
        <w:rPr>
          <w:rStyle w:val="FootnoteReference"/>
          <w:rFonts w:cs="Arial"/>
        </w:rPr>
        <w:footnoteReference w:id="5"/>
      </w:r>
      <w:r w:rsidR="00FA0D74" w:rsidRPr="00DF3703">
        <w:rPr>
          <w:rFonts w:ascii="Arial" w:hAnsi="Arial" w:cs="Arial"/>
        </w:rPr>
        <w:t xml:space="preserve"> </w:t>
      </w:r>
      <w:r w:rsidR="006B7D88" w:rsidRPr="00DF3703">
        <w:rPr>
          <w:rFonts w:ascii="Arial" w:hAnsi="Arial" w:cs="Arial"/>
        </w:rPr>
        <w:t xml:space="preserve">by specific types of tourists in the </w:t>
      </w:r>
      <w:r w:rsidR="00036279" w:rsidRPr="00DF3703">
        <w:rPr>
          <w:rFonts w:ascii="Arial" w:hAnsi="Arial" w:cs="Arial"/>
        </w:rPr>
        <w:t>Reef</w:t>
      </w:r>
      <w:r w:rsidR="006B7D88" w:rsidRPr="00DF3703">
        <w:rPr>
          <w:rFonts w:ascii="Arial" w:hAnsi="Arial" w:cs="Arial"/>
        </w:rPr>
        <w:t xml:space="preserve"> </w:t>
      </w:r>
      <w:r w:rsidR="003C4DCF" w:rsidRPr="00DF3703">
        <w:rPr>
          <w:rFonts w:ascii="Arial" w:hAnsi="Arial" w:cs="Arial"/>
        </w:rPr>
        <w:t>catchment</w:t>
      </w:r>
      <w:r w:rsidR="00ED0C8C" w:rsidRPr="00DF3703">
        <w:rPr>
          <w:rFonts w:ascii="Arial" w:hAnsi="Arial" w:cs="Arial"/>
        </w:rPr>
        <w:t xml:space="preserve"> in 2012</w:t>
      </w:r>
      <w:r w:rsidR="006B7D88" w:rsidRPr="00DF3703">
        <w:rPr>
          <w:rFonts w:ascii="Arial" w:hAnsi="Arial" w:cs="Arial"/>
        </w:rPr>
        <w:t xml:space="preserve">. </w:t>
      </w:r>
      <w:r w:rsidR="00A27BBC" w:rsidRPr="00DF3703">
        <w:rPr>
          <w:rFonts w:ascii="Arial" w:hAnsi="Arial" w:cs="Arial"/>
        </w:rPr>
        <w:t xml:space="preserve"> </w:t>
      </w:r>
      <w:r w:rsidR="00ED0C8C" w:rsidRPr="00DF3703">
        <w:rPr>
          <w:rFonts w:ascii="Arial" w:hAnsi="Arial" w:cs="Arial"/>
        </w:rPr>
        <w:t>Holiday and leisure travellers contribute a significant proportion of the expenditure accounting for almost $3.7 billion.</w:t>
      </w:r>
    </w:p>
    <w:p w:rsidR="000135AC" w:rsidRPr="00DF3703" w:rsidRDefault="00455BD7" w:rsidP="00A27BBC">
      <w:pPr>
        <w:pStyle w:val="CaptionTable"/>
        <w:ind w:left="0"/>
        <w:rPr>
          <w:rFonts w:ascii="Arial" w:hAnsi="Arial" w:cs="Arial"/>
        </w:rPr>
      </w:pPr>
      <w:bookmarkStart w:id="79" w:name="_Ref338621896"/>
      <w:bookmarkStart w:id="80" w:name="_Toc343001904"/>
      <w:bookmarkStart w:id="81" w:name="_Ref350159887"/>
      <w:bookmarkStart w:id="82" w:name="_Toc355701053"/>
      <w:r w:rsidRPr="00DF3703">
        <w:rPr>
          <w:rFonts w:ascii="Arial" w:hAnsi="Arial" w:cs="Arial"/>
        </w:rPr>
        <w:t>: E</w:t>
      </w:r>
      <w:r w:rsidR="006B7D88" w:rsidRPr="00DF3703">
        <w:rPr>
          <w:rFonts w:ascii="Arial" w:hAnsi="Arial" w:cs="Arial"/>
        </w:rPr>
        <w:t>xpenditure</w:t>
      </w:r>
      <w:r w:rsidR="00073CE1" w:rsidRPr="00DF3703">
        <w:rPr>
          <w:rFonts w:ascii="Arial" w:hAnsi="Arial" w:cs="Arial"/>
        </w:rPr>
        <w:t>,</w:t>
      </w:r>
      <w:r w:rsidR="006B7D88" w:rsidRPr="00DF3703">
        <w:rPr>
          <w:rFonts w:ascii="Arial" w:hAnsi="Arial" w:cs="Arial"/>
        </w:rPr>
        <w:t xml:space="preserve"> by reason for travel and visitor type</w:t>
      </w:r>
      <w:r w:rsidRPr="00DF3703">
        <w:rPr>
          <w:rFonts w:ascii="Arial" w:hAnsi="Arial" w:cs="Arial"/>
        </w:rPr>
        <w:t xml:space="preserve"> </w:t>
      </w:r>
      <w:r w:rsidR="00BA52D9" w:rsidRPr="00DF3703">
        <w:rPr>
          <w:rFonts w:ascii="Arial" w:hAnsi="Arial" w:cs="Arial"/>
        </w:rPr>
        <w:t>(</w:t>
      </w:r>
      <w:r w:rsidR="006B7D88" w:rsidRPr="00DF3703">
        <w:rPr>
          <w:rFonts w:ascii="Arial" w:hAnsi="Arial" w:cs="Arial"/>
        </w:rPr>
        <w:t xml:space="preserve">$ </w:t>
      </w:r>
      <w:bookmarkEnd w:id="79"/>
      <w:r w:rsidR="006B7D88" w:rsidRPr="00DF3703">
        <w:rPr>
          <w:rFonts w:ascii="Arial" w:hAnsi="Arial" w:cs="Arial"/>
        </w:rPr>
        <w:t>million</w:t>
      </w:r>
      <w:bookmarkEnd w:id="80"/>
      <w:r w:rsidR="00BA52D9" w:rsidRPr="00DF3703">
        <w:rPr>
          <w:rFonts w:ascii="Arial" w:hAnsi="Arial" w:cs="Arial"/>
        </w:rPr>
        <w:t>)</w:t>
      </w:r>
      <w:r w:rsidR="00073CE1" w:rsidRPr="00DF3703">
        <w:rPr>
          <w:rFonts w:ascii="Arial" w:hAnsi="Arial" w:cs="Arial"/>
        </w:rPr>
        <w:t xml:space="preserve"> in 2012</w:t>
      </w:r>
      <w:bookmarkEnd w:id="81"/>
      <w:bookmarkEnd w:id="82"/>
    </w:p>
    <w:tbl>
      <w:tblPr>
        <w:tblStyle w:val="TableAEGrey"/>
        <w:tblW w:w="4841" w:type="pct"/>
        <w:tblLayout w:type="fixed"/>
        <w:tblLook w:val="04A0"/>
      </w:tblPr>
      <w:tblGrid>
        <w:gridCol w:w="2998"/>
        <w:gridCol w:w="1702"/>
        <w:gridCol w:w="1277"/>
        <w:gridCol w:w="1271"/>
        <w:gridCol w:w="920"/>
      </w:tblGrid>
      <w:tr w:rsidR="000135AC" w:rsidRPr="00DF3703" w:rsidTr="00321684">
        <w:trPr>
          <w:cnfStyle w:val="100000000000"/>
        </w:trPr>
        <w:tc>
          <w:tcPr>
            <w:tcW w:w="1835" w:type="pct"/>
          </w:tcPr>
          <w:p w:rsidR="000135AC" w:rsidRPr="00DF3703" w:rsidRDefault="006B7D88" w:rsidP="00B25FCF">
            <w:pPr>
              <w:pStyle w:val="TableHeadingCentre"/>
              <w:jc w:val="left"/>
              <w:rPr>
                <w:rFonts w:ascii="Arial" w:hAnsi="Arial" w:cs="Arial"/>
              </w:rPr>
            </w:pPr>
            <w:r w:rsidRPr="00DF3703">
              <w:rPr>
                <w:rFonts w:ascii="Arial" w:hAnsi="Arial" w:cs="Arial"/>
              </w:rPr>
              <w:t>Reason for travel</w:t>
            </w:r>
          </w:p>
        </w:tc>
        <w:tc>
          <w:tcPr>
            <w:tcW w:w="1042" w:type="pct"/>
          </w:tcPr>
          <w:p w:rsidR="000135AC" w:rsidRPr="00DF3703" w:rsidRDefault="006B7D88" w:rsidP="00B25FCF">
            <w:pPr>
              <w:pStyle w:val="TableHeadingCentre"/>
              <w:jc w:val="right"/>
              <w:rPr>
                <w:rFonts w:ascii="Arial" w:hAnsi="Arial" w:cs="Arial"/>
              </w:rPr>
            </w:pPr>
            <w:r w:rsidRPr="00DF3703">
              <w:rPr>
                <w:rFonts w:ascii="Arial" w:hAnsi="Arial" w:cs="Arial"/>
              </w:rPr>
              <w:t xml:space="preserve">International </w:t>
            </w:r>
          </w:p>
        </w:tc>
        <w:tc>
          <w:tcPr>
            <w:tcW w:w="782" w:type="pct"/>
          </w:tcPr>
          <w:p w:rsidR="000135AC" w:rsidRPr="00DF3703" w:rsidRDefault="006B7D88" w:rsidP="00B25FCF">
            <w:pPr>
              <w:pStyle w:val="TableHeadingCentre"/>
              <w:jc w:val="right"/>
              <w:rPr>
                <w:rFonts w:ascii="Arial" w:hAnsi="Arial" w:cs="Arial"/>
              </w:rPr>
            </w:pPr>
            <w:r w:rsidRPr="00DF3703">
              <w:rPr>
                <w:rFonts w:ascii="Arial" w:hAnsi="Arial" w:cs="Arial"/>
              </w:rPr>
              <w:t>Domestic overnight</w:t>
            </w:r>
          </w:p>
        </w:tc>
        <w:tc>
          <w:tcPr>
            <w:tcW w:w="778" w:type="pct"/>
          </w:tcPr>
          <w:p w:rsidR="000135AC" w:rsidRPr="00DF3703" w:rsidRDefault="006B7D88" w:rsidP="00B25FCF">
            <w:pPr>
              <w:pStyle w:val="TableHeadingCentre"/>
              <w:jc w:val="right"/>
              <w:rPr>
                <w:rFonts w:ascii="Arial" w:hAnsi="Arial" w:cs="Arial"/>
              </w:rPr>
            </w:pPr>
            <w:r w:rsidRPr="00DF3703">
              <w:rPr>
                <w:rFonts w:ascii="Arial" w:hAnsi="Arial" w:cs="Arial"/>
              </w:rPr>
              <w:t>Domestic day</w:t>
            </w:r>
          </w:p>
        </w:tc>
        <w:tc>
          <w:tcPr>
            <w:tcW w:w="563" w:type="pct"/>
          </w:tcPr>
          <w:p w:rsidR="000135AC" w:rsidRPr="00DF3703" w:rsidRDefault="006B7D88" w:rsidP="00B25FCF">
            <w:pPr>
              <w:pStyle w:val="TableHeadingCentre"/>
              <w:jc w:val="right"/>
              <w:rPr>
                <w:rFonts w:ascii="Arial" w:hAnsi="Arial" w:cs="Arial"/>
              </w:rPr>
            </w:pPr>
            <w:r w:rsidRPr="00DF3703">
              <w:rPr>
                <w:rFonts w:ascii="Arial" w:hAnsi="Arial" w:cs="Arial"/>
              </w:rPr>
              <w:t xml:space="preserve">Total </w:t>
            </w:r>
          </w:p>
        </w:tc>
      </w:tr>
      <w:tr w:rsidR="000135AC" w:rsidRPr="00DF3703" w:rsidTr="00321684">
        <w:tc>
          <w:tcPr>
            <w:tcW w:w="1835" w:type="pct"/>
          </w:tcPr>
          <w:p w:rsidR="000135AC" w:rsidRPr="00DF3703" w:rsidRDefault="006B7D88" w:rsidP="003534B2">
            <w:pPr>
              <w:pStyle w:val="TabletextLeft"/>
              <w:spacing w:before="0"/>
              <w:rPr>
                <w:rFonts w:ascii="Arial" w:hAnsi="Arial" w:cs="Arial"/>
                <w:sz w:val="21"/>
                <w:szCs w:val="21"/>
              </w:rPr>
            </w:pPr>
            <w:r w:rsidRPr="00DF3703">
              <w:rPr>
                <w:rFonts w:ascii="Arial" w:hAnsi="Arial" w:cs="Arial"/>
                <w:sz w:val="21"/>
                <w:szCs w:val="21"/>
              </w:rPr>
              <w:t>Holiday/leisure</w:t>
            </w:r>
          </w:p>
        </w:tc>
        <w:tc>
          <w:tcPr>
            <w:tcW w:w="104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718</w:t>
            </w:r>
          </w:p>
        </w:tc>
        <w:tc>
          <w:tcPr>
            <w:tcW w:w="78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2,402</w:t>
            </w:r>
          </w:p>
        </w:tc>
        <w:tc>
          <w:tcPr>
            <w:tcW w:w="778"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542</w:t>
            </w:r>
          </w:p>
        </w:tc>
        <w:tc>
          <w:tcPr>
            <w:tcW w:w="563"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3,663</w:t>
            </w:r>
          </w:p>
        </w:tc>
      </w:tr>
      <w:tr w:rsidR="000135AC" w:rsidRPr="00DF3703" w:rsidTr="00321684">
        <w:tc>
          <w:tcPr>
            <w:tcW w:w="1835" w:type="pct"/>
          </w:tcPr>
          <w:p w:rsidR="000135AC" w:rsidRPr="00DF3703" w:rsidRDefault="006B7D88" w:rsidP="003534B2">
            <w:pPr>
              <w:pStyle w:val="TabletextLeft"/>
              <w:spacing w:before="0"/>
              <w:rPr>
                <w:rFonts w:ascii="Arial" w:hAnsi="Arial" w:cs="Arial"/>
                <w:sz w:val="21"/>
                <w:szCs w:val="21"/>
              </w:rPr>
            </w:pPr>
            <w:r w:rsidRPr="00DF3703">
              <w:rPr>
                <w:rFonts w:ascii="Arial" w:hAnsi="Arial" w:cs="Arial"/>
                <w:sz w:val="21"/>
                <w:szCs w:val="21"/>
              </w:rPr>
              <w:t>Visiting friends and relatives</w:t>
            </w:r>
          </w:p>
        </w:tc>
        <w:tc>
          <w:tcPr>
            <w:tcW w:w="104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104</w:t>
            </w:r>
          </w:p>
        </w:tc>
        <w:tc>
          <w:tcPr>
            <w:tcW w:w="78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759</w:t>
            </w:r>
          </w:p>
        </w:tc>
        <w:tc>
          <w:tcPr>
            <w:tcW w:w="778"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103</w:t>
            </w:r>
          </w:p>
        </w:tc>
        <w:tc>
          <w:tcPr>
            <w:tcW w:w="563"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966</w:t>
            </w:r>
          </w:p>
        </w:tc>
      </w:tr>
      <w:tr w:rsidR="000135AC" w:rsidRPr="00DF3703" w:rsidTr="00321684">
        <w:tc>
          <w:tcPr>
            <w:tcW w:w="1835" w:type="pct"/>
          </w:tcPr>
          <w:p w:rsidR="000135AC" w:rsidRPr="00DF3703" w:rsidRDefault="006B7D88" w:rsidP="003534B2">
            <w:pPr>
              <w:pStyle w:val="TabletextLeft"/>
              <w:spacing w:before="0"/>
              <w:rPr>
                <w:rFonts w:ascii="Arial" w:hAnsi="Arial" w:cs="Arial"/>
                <w:sz w:val="21"/>
                <w:szCs w:val="21"/>
              </w:rPr>
            </w:pPr>
            <w:r w:rsidRPr="00DF3703">
              <w:rPr>
                <w:rFonts w:ascii="Arial" w:hAnsi="Arial" w:cs="Arial"/>
                <w:sz w:val="21"/>
                <w:szCs w:val="21"/>
              </w:rPr>
              <w:t>Business</w:t>
            </w:r>
          </w:p>
        </w:tc>
        <w:tc>
          <w:tcPr>
            <w:tcW w:w="104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88</w:t>
            </w:r>
          </w:p>
        </w:tc>
        <w:tc>
          <w:tcPr>
            <w:tcW w:w="78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923</w:t>
            </w:r>
          </w:p>
        </w:tc>
        <w:tc>
          <w:tcPr>
            <w:tcW w:w="778"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118</w:t>
            </w:r>
          </w:p>
        </w:tc>
        <w:tc>
          <w:tcPr>
            <w:tcW w:w="563"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1,129</w:t>
            </w:r>
          </w:p>
        </w:tc>
      </w:tr>
      <w:tr w:rsidR="000135AC" w:rsidRPr="00DF3703" w:rsidTr="00321684">
        <w:tc>
          <w:tcPr>
            <w:tcW w:w="1835" w:type="pct"/>
          </w:tcPr>
          <w:p w:rsidR="000135AC" w:rsidRPr="00DF3703" w:rsidRDefault="006B7D88" w:rsidP="003534B2">
            <w:pPr>
              <w:pStyle w:val="TabletextLeft"/>
              <w:spacing w:before="0"/>
              <w:rPr>
                <w:rFonts w:ascii="Arial" w:hAnsi="Arial" w:cs="Arial"/>
                <w:sz w:val="21"/>
                <w:szCs w:val="21"/>
              </w:rPr>
            </w:pPr>
            <w:r w:rsidRPr="00DF3703">
              <w:rPr>
                <w:rFonts w:ascii="Arial" w:hAnsi="Arial" w:cs="Arial"/>
                <w:sz w:val="21"/>
                <w:szCs w:val="21"/>
              </w:rPr>
              <w:t>Other</w:t>
            </w:r>
          </w:p>
        </w:tc>
        <w:tc>
          <w:tcPr>
            <w:tcW w:w="104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191</w:t>
            </w:r>
          </w:p>
        </w:tc>
        <w:tc>
          <w:tcPr>
            <w:tcW w:w="782"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258</w:t>
            </w:r>
          </w:p>
        </w:tc>
        <w:tc>
          <w:tcPr>
            <w:tcW w:w="778"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169</w:t>
            </w:r>
          </w:p>
        </w:tc>
        <w:tc>
          <w:tcPr>
            <w:tcW w:w="563" w:type="pct"/>
          </w:tcPr>
          <w:p w:rsidR="000135AC" w:rsidRPr="00DF3703" w:rsidRDefault="006B7D88" w:rsidP="003534B2">
            <w:pPr>
              <w:pStyle w:val="TabletextRight"/>
              <w:spacing w:before="0"/>
              <w:rPr>
                <w:rFonts w:ascii="Arial" w:hAnsi="Arial" w:cs="Arial"/>
                <w:sz w:val="21"/>
                <w:szCs w:val="21"/>
              </w:rPr>
            </w:pPr>
            <w:r w:rsidRPr="00DF3703">
              <w:rPr>
                <w:rFonts w:ascii="Arial" w:hAnsi="Arial" w:cs="Arial"/>
                <w:sz w:val="21"/>
                <w:szCs w:val="21"/>
              </w:rPr>
              <w:t>618</w:t>
            </w:r>
          </w:p>
        </w:tc>
      </w:tr>
      <w:tr w:rsidR="000135AC" w:rsidRPr="00DF3703" w:rsidTr="00321684">
        <w:tc>
          <w:tcPr>
            <w:tcW w:w="1835" w:type="pct"/>
          </w:tcPr>
          <w:p w:rsidR="000135AC" w:rsidRPr="00DF3703" w:rsidRDefault="006B7D88" w:rsidP="00B25FCF">
            <w:pPr>
              <w:pStyle w:val="TableHeadingLeft"/>
              <w:rPr>
                <w:rFonts w:ascii="Arial" w:hAnsi="Arial" w:cs="Arial"/>
              </w:rPr>
            </w:pPr>
            <w:r w:rsidRPr="00DF3703">
              <w:rPr>
                <w:rFonts w:ascii="Arial" w:hAnsi="Arial" w:cs="Arial"/>
              </w:rPr>
              <w:t xml:space="preserve">Total </w:t>
            </w:r>
          </w:p>
        </w:tc>
        <w:tc>
          <w:tcPr>
            <w:tcW w:w="1042" w:type="pct"/>
          </w:tcPr>
          <w:p w:rsidR="000135AC" w:rsidRPr="00DF3703" w:rsidRDefault="006B7D88" w:rsidP="00B25FCF">
            <w:pPr>
              <w:pStyle w:val="TableHeadingRight"/>
              <w:rPr>
                <w:rFonts w:ascii="Arial" w:hAnsi="Arial" w:cs="Arial"/>
              </w:rPr>
            </w:pPr>
            <w:r w:rsidRPr="00DF3703">
              <w:rPr>
                <w:rFonts w:ascii="Arial" w:hAnsi="Arial" w:cs="Arial"/>
              </w:rPr>
              <w:t>1,102</w:t>
            </w:r>
          </w:p>
        </w:tc>
        <w:tc>
          <w:tcPr>
            <w:tcW w:w="782" w:type="pct"/>
          </w:tcPr>
          <w:p w:rsidR="000135AC" w:rsidRPr="00DF3703" w:rsidRDefault="006B7D88" w:rsidP="00B25FCF">
            <w:pPr>
              <w:pStyle w:val="TableHeadingRight"/>
              <w:rPr>
                <w:rFonts w:ascii="Arial" w:hAnsi="Arial" w:cs="Arial"/>
              </w:rPr>
            </w:pPr>
            <w:r w:rsidRPr="00DF3703">
              <w:rPr>
                <w:rFonts w:ascii="Arial" w:hAnsi="Arial" w:cs="Arial"/>
              </w:rPr>
              <w:t>4,342</w:t>
            </w:r>
          </w:p>
        </w:tc>
        <w:tc>
          <w:tcPr>
            <w:tcW w:w="778" w:type="pct"/>
            <w:vAlign w:val="center"/>
          </w:tcPr>
          <w:p w:rsidR="000135AC" w:rsidRPr="00DF3703" w:rsidRDefault="006B7D88" w:rsidP="00B25FCF">
            <w:pPr>
              <w:pStyle w:val="TableHeadingRight"/>
              <w:rPr>
                <w:rFonts w:ascii="Arial" w:hAnsi="Arial" w:cs="Arial"/>
              </w:rPr>
            </w:pPr>
            <w:r w:rsidRPr="00DF3703">
              <w:rPr>
                <w:rFonts w:ascii="Arial" w:hAnsi="Arial" w:cs="Arial"/>
              </w:rPr>
              <w:t>932</w:t>
            </w:r>
          </w:p>
        </w:tc>
        <w:tc>
          <w:tcPr>
            <w:tcW w:w="563" w:type="pct"/>
          </w:tcPr>
          <w:p w:rsidR="000135AC" w:rsidRPr="00DF3703" w:rsidRDefault="006B7D88" w:rsidP="00B25FCF">
            <w:pPr>
              <w:pStyle w:val="TableHeadingRight"/>
              <w:rPr>
                <w:rFonts w:ascii="Arial" w:hAnsi="Arial" w:cs="Arial"/>
              </w:rPr>
            </w:pPr>
            <w:r w:rsidRPr="00DF3703">
              <w:rPr>
                <w:rFonts w:ascii="Arial" w:hAnsi="Arial" w:cs="Arial"/>
              </w:rPr>
              <w:t>6,375</w:t>
            </w:r>
          </w:p>
        </w:tc>
      </w:tr>
    </w:tbl>
    <w:p w:rsidR="000135AC" w:rsidRPr="00DF3703" w:rsidRDefault="006B7D88" w:rsidP="000135AC">
      <w:pPr>
        <w:pStyle w:val="Source"/>
        <w:spacing w:after="0"/>
        <w:rPr>
          <w:rFonts w:ascii="Arial" w:hAnsi="Arial"/>
          <w:szCs w:val="18"/>
        </w:rPr>
      </w:pPr>
      <w:r w:rsidRPr="00DF3703">
        <w:rPr>
          <w:rFonts w:ascii="Arial" w:hAnsi="Arial"/>
          <w:szCs w:val="18"/>
        </w:rPr>
        <w:t>Source: TRA International Visitor Survey June 2012, TRA National Visitor Survey June 2012.</w:t>
      </w:r>
    </w:p>
    <w:p w:rsidR="00A24BB9" w:rsidRPr="00DF3703" w:rsidRDefault="006B7D88" w:rsidP="000135AC">
      <w:pPr>
        <w:pStyle w:val="Source"/>
        <w:spacing w:after="0"/>
        <w:rPr>
          <w:rFonts w:ascii="Arial" w:hAnsi="Arial"/>
          <w:szCs w:val="18"/>
        </w:rPr>
      </w:pPr>
      <w:r w:rsidRPr="00DF3703">
        <w:rPr>
          <w:rFonts w:ascii="Arial" w:hAnsi="Arial"/>
          <w:szCs w:val="18"/>
        </w:rPr>
        <w:t xml:space="preserve">Note: </w:t>
      </w:r>
      <w:r w:rsidR="003C4DCF" w:rsidRPr="00DF3703">
        <w:rPr>
          <w:rFonts w:ascii="Arial" w:hAnsi="Arial"/>
          <w:szCs w:val="18"/>
        </w:rPr>
        <w:t>catchment</w:t>
      </w:r>
      <w:r w:rsidRPr="00DF3703">
        <w:rPr>
          <w:rFonts w:ascii="Arial" w:hAnsi="Arial"/>
          <w:szCs w:val="18"/>
        </w:rPr>
        <w:t xml:space="preserve"> wide expenditure was attributed to traveller purpose based on the proportion of nights attributable to each traveller multiplied by the rate of traveller daily expenditure in Queensland to average daily expenditure in Queensland for each group. </w:t>
      </w:r>
    </w:p>
    <w:p w:rsidR="00A24BB9" w:rsidRPr="00DF3703" w:rsidRDefault="006B7D88" w:rsidP="00A24BB9">
      <w:pPr>
        <w:pStyle w:val="BodyText"/>
        <w:jc w:val="left"/>
        <w:rPr>
          <w:rFonts w:ascii="Arial" w:hAnsi="Arial" w:cs="Arial"/>
        </w:rPr>
      </w:pPr>
      <w:r w:rsidRPr="00DF3703">
        <w:rPr>
          <w:rFonts w:ascii="Arial" w:hAnsi="Arial" w:cs="Arial"/>
        </w:rPr>
        <w:lastRenderedPageBreak/>
        <w:t xml:space="preserve">The Wet Tropics NRM </w:t>
      </w:r>
      <w:r w:rsidR="00663FE6" w:rsidRPr="00DF3703">
        <w:rPr>
          <w:rFonts w:ascii="Arial" w:hAnsi="Arial" w:cs="Arial"/>
        </w:rPr>
        <w:t xml:space="preserve">region </w:t>
      </w:r>
      <w:r w:rsidRPr="00DF3703">
        <w:rPr>
          <w:rFonts w:ascii="Arial" w:hAnsi="Arial" w:cs="Arial"/>
        </w:rPr>
        <w:t xml:space="preserve">accounts for the largest </w:t>
      </w:r>
      <w:r w:rsidR="00663FE6" w:rsidRPr="00DF3703">
        <w:rPr>
          <w:rFonts w:ascii="Arial" w:hAnsi="Arial" w:cs="Arial"/>
        </w:rPr>
        <w:t>proportion of expenditur</w:t>
      </w:r>
      <w:r w:rsidR="00ED0C8C" w:rsidRPr="00DF3703">
        <w:rPr>
          <w:rFonts w:ascii="Arial" w:hAnsi="Arial" w:cs="Arial"/>
        </w:rPr>
        <w:t>e, with about 40%</w:t>
      </w:r>
      <w:r w:rsidRPr="00DF3703">
        <w:rPr>
          <w:rFonts w:ascii="Arial" w:hAnsi="Arial" w:cs="Arial"/>
        </w:rPr>
        <w:t>.  The Burdekin, Mackay Whitsunday and Fitzroy NRM regions also account for a relative</w:t>
      </w:r>
      <w:r w:rsidR="00ED0C8C" w:rsidRPr="00DF3703">
        <w:rPr>
          <w:rFonts w:ascii="Arial" w:hAnsi="Arial" w:cs="Arial"/>
        </w:rPr>
        <w:t>ly high proportion of expenditure</w:t>
      </w:r>
      <w:r w:rsidRPr="00DF3703">
        <w:rPr>
          <w:rFonts w:ascii="Arial" w:hAnsi="Arial" w:cs="Arial"/>
        </w:rPr>
        <w:t>.</w:t>
      </w:r>
    </w:p>
    <w:p w:rsidR="00A24BB9" w:rsidRPr="00DF3703" w:rsidRDefault="006B7D88" w:rsidP="00321684">
      <w:pPr>
        <w:pStyle w:val="CaptionTable"/>
        <w:ind w:left="0"/>
        <w:rPr>
          <w:rFonts w:ascii="Arial" w:hAnsi="Arial" w:cs="Arial"/>
        </w:rPr>
      </w:pPr>
      <w:bookmarkStart w:id="83" w:name="_Toc355701054"/>
      <w:r w:rsidRPr="00DF3703">
        <w:rPr>
          <w:rFonts w:ascii="Arial" w:hAnsi="Arial" w:cs="Arial"/>
        </w:rPr>
        <w:t>: Expenditure by NRM (</w:t>
      </w:r>
      <w:r w:rsidR="00977007" w:rsidRPr="00DF3703">
        <w:rPr>
          <w:rFonts w:ascii="Arial" w:hAnsi="Arial" w:cs="Arial"/>
        </w:rPr>
        <w:t>’</w:t>
      </w:r>
      <w:r w:rsidRPr="00DF3703">
        <w:rPr>
          <w:rFonts w:ascii="Arial" w:hAnsi="Arial" w:cs="Arial"/>
        </w:rPr>
        <w:t>000 2011-12)</w:t>
      </w:r>
      <w:bookmarkEnd w:id="83"/>
    </w:p>
    <w:tbl>
      <w:tblPr>
        <w:tblStyle w:val="TableAE"/>
        <w:tblW w:w="8494" w:type="dxa"/>
        <w:tblLayout w:type="fixed"/>
        <w:tblLook w:val="04A0"/>
      </w:tblPr>
      <w:tblGrid>
        <w:gridCol w:w="2376"/>
        <w:gridCol w:w="1687"/>
        <w:gridCol w:w="1352"/>
        <w:gridCol w:w="1391"/>
        <w:gridCol w:w="1688"/>
      </w:tblGrid>
      <w:tr w:rsidR="00A24BB9" w:rsidRPr="00DF3703" w:rsidTr="003534B2">
        <w:trPr>
          <w:cnfStyle w:val="100000000000"/>
        </w:trPr>
        <w:tc>
          <w:tcPr>
            <w:tcW w:w="2376" w:type="dxa"/>
          </w:tcPr>
          <w:p w:rsidR="00A24BB9" w:rsidRPr="00DF3703" w:rsidRDefault="006B7D88" w:rsidP="00A24BB9">
            <w:pPr>
              <w:pStyle w:val="TableHeadingCentre"/>
              <w:rPr>
                <w:rFonts w:ascii="Arial" w:hAnsi="Arial" w:cs="Arial"/>
              </w:rPr>
            </w:pPr>
            <w:r w:rsidRPr="00DF3703">
              <w:rPr>
                <w:rFonts w:ascii="Arial" w:hAnsi="Arial" w:cs="Arial"/>
              </w:rPr>
              <w:t>NRM region</w:t>
            </w:r>
          </w:p>
        </w:tc>
        <w:tc>
          <w:tcPr>
            <w:tcW w:w="1687" w:type="dxa"/>
          </w:tcPr>
          <w:p w:rsidR="00A24BB9" w:rsidRPr="00DF3703" w:rsidRDefault="006B7D88" w:rsidP="00A24BB9">
            <w:pPr>
              <w:pStyle w:val="TableHeadingCentre"/>
              <w:rPr>
                <w:rFonts w:ascii="Arial" w:hAnsi="Arial" w:cs="Arial"/>
              </w:rPr>
            </w:pPr>
            <w:r w:rsidRPr="00DF3703">
              <w:rPr>
                <w:rFonts w:ascii="Arial" w:hAnsi="Arial" w:cs="Arial"/>
              </w:rPr>
              <w:t xml:space="preserve">International </w:t>
            </w:r>
          </w:p>
        </w:tc>
        <w:tc>
          <w:tcPr>
            <w:tcW w:w="1352" w:type="dxa"/>
          </w:tcPr>
          <w:p w:rsidR="00A24BB9" w:rsidRPr="00DF3703" w:rsidRDefault="006B7D88" w:rsidP="00A24BB9">
            <w:pPr>
              <w:pStyle w:val="TableHeadingCentre"/>
              <w:rPr>
                <w:rFonts w:ascii="Arial" w:hAnsi="Arial" w:cs="Arial"/>
              </w:rPr>
            </w:pPr>
            <w:r w:rsidRPr="00DF3703">
              <w:rPr>
                <w:rFonts w:ascii="Arial" w:hAnsi="Arial" w:cs="Arial"/>
              </w:rPr>
              <w:t>Domestic overnight</w:t>
            </w:r>
          </w:p>
        </w:tc>
        <w:tc>
          <w:tcPr>
            <w:tcW w:w="1391" w:type="dxa"/>
          </w:tcPr>
          <w:p w:rsidR="00A24BB9" w:rsidRPr="00DF3703" w:rsidRDefault="006B7D88" w:rsidP="00A24BB9">
            <w:pPr>
              <w:pStyle w:val="TableHeadingCentre"/>
              <w:rPr>
                <w:rFonts w:ascii="Arial" w:hAnsi="Arial" w:cs="Arial"/>
              </w:rPr>
            </w:pPr>
            <w:r w:rsidRPr="00DF3703">
              <w:rPr>
                <w:rFonts w:ascii="Arial" w:hAnsi="Arial" w:cs="Arial"/>
              </w:rPr>
              <w:t>Domestic day</w:t>
            </w:r>
          </w:p>
        </w:tc>
        <w:tc>
          <w:tcPr>
            <w:tcW w:w="1688" w:type="dxa"/>
          </w:tcPr>
          <w:p w:rsidR="00A24BB9" w:rsidRPr="00DF3703" w:rsidRDefault="006B7D88" w:rsidP="00A24BB9">
            <w:pPr>
              <w:pStyle w:val="TableHeadingCentre"/>
              <w:rPr>
                <w:rFonts w:ascii="Arial" w:hAnsi="Arial" w:cs="Arial"/>
              </w:rPr>
            </w:pPr>
            <w:r w:rsidRPr="00DF3703">
              <w:rPr>
                <w:rFonts w:ascii="Arial" w:hAnsi="Arial" w:cs="Arial"/>
              </w:rPr>
              <w:t>Total</w:t>
            </w:r>
          </w:p>
        </w:tc>
      </w:tr>
      <w:tr w:rsidR="00ED0C8C" w:rsidRPr="00DF3703" w:rsidTr="003534B2">
        <w:tc>
          <w:tcPr>
            <w:tcW w:w="2376" w:type="dxa"/>
          </w:tcPr>
          <w:p w:rsidR="00ED0C8C" w:rsidRPr="00DF3703" w:rsidRDefault="00ED0C8C" w:rsidP="00A24BB9">
            <w:pPr>
              <w:pStyle w:val="TabletextLeft"/>
              <w:rPr>
                <w:rFonts w:ascii="Arial" w:hAnsi="Arial" w:cs="Arial"/>
                <w:sz w:val="21"/>
                <w:szCs w:val="21"/>
              </w:rPr>
            </w:pPr>
            <w:r w:rsidRPr="00DF3703">
              <w:rPr>
                <w:rFonts w:ascii="Arial" w:hAnsi="Arial" w:cs="Arial"/>
                <w:sz w:val="21"/>
                <w:szCs w:val="21"/>
                <w:lang w:eastAsia="en-AU"/>
              </w:rPr>
              <w:t>Torres Strait</w:t>
            </w:r>
          </w:p>
        </w:tc>
        <w:tc>
          <w:tcPr>
            <w:tcW w:w="1687"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0.5</w:t>
            </w:r>
          </w:p>
        </w:tc>
        <w:tc>
          <w:tcPr>
            <w:tcW w:w="1352"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0.7</w:t>
            </w:r>
          </w:p>
        </w:tc>
        <w:tc>
          <w:tcPr>
            <w:tcW w:w="1391"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w:t>
            </w:r>
          </w:p>
        </w:tc>
        <w:tc>
          <w:tcPr>
            <w:tcW w:w="1688"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1.2</w:t>
            </w:r>
          </w:p>
        </w:tc>
      </w:tr>
      <w:tr w:rsidR="00ED0C8C" w:rsidRPr="00DF3703" w:rsidTr="003534B2">
        <w:tc>
          <w:tcPr>
            <w:tcW w:w="2376" w:type="dxa"/>
          </w:tcPr>
          <w:p w:rsidR="00ED0C8C" w:rsidRPr="00DF3703" w:rsidRDefault="00ED0C8C" w:rsidP="00A24BB9">
            <w:pPr>
              <w:rPr>
                <w:rFonts w:ascii="Arial" w:hAnsi="Arial" w:cs="Arial"/>
                <w:sz w:val="21"/>
                <w:szCs w:val="21"/>
                <w:lang w:eastAsia="en-AU"/>
              </w:rPr>
            </w:pPr>
            <w:r w:rsidRPr="00DF3703">
              <w:rPr>
                <w:rFonts w:ascii="Arial" w:hAnsi="Arial" w:cs="Arial"/>
                <w:sz w:val="21"/>
                <w:szCs w:val="21"/>
                <w:lang w:eastAsia="en-AU"/>
              </w:rPr>
              <w:t>Cape York</w:t>
            </w:r>
          </w:p>
        </w:tc>
        <w:tc>
          <w:tcPr>
            <w:tcW w:w="1687"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16.6</w:t>
            </w:r>
          </w:p>
        </w:tc>
        <w:tc>
          <w:tcPr>
            <w:tcW w:w="1352"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167.8</w:t>
            </w:r>
          </w:p>
        </w:tc>
        <w:tc>
          <w:tcPr>
            <w:tcW w:w="1391"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0.7</w:t>
            </w:r>
          </w:p>
        </w:tc>
        <w:tc>
          <w:tcPr>
            <w:tcW w:w="1688"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185.1</w:t>
            </w:r>
          </w:p>
        </w:tc>
      </w:tr>
      <w:tr w:rsidR="00ED0C8C" w:rsidRPr="00DF3703" w:rsidTr="003534B2">
        <w:tc>
          <w:tcPr>
            <w:tcW w:w="2376" w:type="dxa"/>
          </w:tcPr>
          <w:p w:rsidR="00ED0C8C" w:rsidRPr="00DF3703" w:rsidRDefault="00ED0C8C" w:rsidP="00A24BB9">
            <w:pPr>
              <w:rPr>
                <w:rFonts w:ascii="Arial" w:hAnsi="Arial" w:cs="Arial"/>
                <w:sz w:val="21"/>
                <w:szCs w:val="21"/>
                <w:lang w:eastAsia="en-AU"/>
              </w:rPr>
            </w:pPr>
            <w:r w:rsidRPr="00DF3703">
              <w:rPr>
                <w:rFonts w:ascii="Arial" w:hAnsi="Arial" w:cs="Arial"/>
                <w:sz w:val="21"/>
                <w:szCs w:val="21"/>
                <w:lang w:eastAsia="en-AU"/>
              </w:rPr>
              <w:t>Wet Tropics</w:t>
            </w:r>
          </w:p>
        </w:tc>
        <w:tc>
          <w:tcPr>
            <w:tcW w:w="1687"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761.1</w:t>
            </w:r>
          </w:p>
        </w:tc>
        <w:tc>
          <w:tcPr>
            <w:tcW w:w="1352"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1,583.3</w:t>
            </w:r>
          </w:p>
        </w:tc>
        <w:tc>
          <w:tcPr>
            <w:tcW w:w="1391"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231.3</w:t>
            </w:r>
          </w:p>
        </w:tc>
        <w:tc>
          <w:tcPr>
            <w:tcW w:w="1688"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2,575.7</w:t>
            </w:r>
          </w:p>
        </w:tc>
      </w:tr>
      <w:tr w:rsidR="00ED0C8C" w:rsidRPr="00DF3703" w:rsidTr="003534B2">
        <w:tc>
          <w:tcPr>
            <w:tcW w:w="2376" w:type="dxa"/>
          </w:tcPr>
          <w:p w:rsidR="00ED0C8C" w:rsidRPr="00DF3703" w:rsidRDefault="00ED0C8C" w:rsidP="00A24BB9">
            <w:pPr>
              <w:jc w:val="both"/>
              <w:rPr>
                <w:rFonts w:ascii="Arial" w:hAnsi="Arial" w:cs="Arial"/>
                <w:sz w:val="21"/>
                <w:szCs w:val="21"/>
                <w:lang w:eastAsia="en-AU"/>
              </w:rPr>
            </w:pPr>
            <w:r w:rsidRPr="00DF3703">
              <w:rPr>
                <w:rFonts w:ascii="Arial" w:hAnsi="Arial" w:cs="Arial"/>
                <w:sz w:val="21"/>
                <w:szCs w:val="21"/>
                <w:lang w:eastAsia="en-AU"/>
              </w:rPr>
              <w:t>Burdekin</w:t>
            </w:r>
          </w:p>
        </w:tc>
        <w:tc>
          <w:tcPr>
            <w:tcW w:w="1687"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92.8</w:t>
            </w:r>
          </w:p>
        </w:tc>
        <w:tc>
          <w:tcPr>
            <w:tcW w:w="1352"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820.2</w:t>
            </w:r>
          </w:p>
        </w:tc>
        <w:tc>
          <w:tcPr>
            <w:tcW w:w="1391"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130.7</w:t>
            </w:r>
          </w:p>
        </w:tc>
        <w:tc>
          <w:tcPr>
            <w:tcW w:w="1688"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1,043.7</w:t>
            </w:r>
          </w:p>
        </w:tc>
      </w:tr>
      <w:tr w:rsidR="00ED0C8C" w:rsidRPr="00DF3703" w:rsidTr="003534B2">
        <w:tc>
          <w:tcPr>
            <w:tcW w:w="2376" w:type="dxa"/>
          </w:tcPr>
          <w:p w:rsidR="00ED0C8C" w:rsidRPr="00DF3703" w:rsidRDefault="00ED0C8C" w:rsidP="00A24BB9">
            <w:pPr>
              <w:jc w:val="both"/>
              <w:rPr>
                <w:rFonts w:ascii="Arial" w:hAnsi="Arial" w:cs="Arial"/>
                <w:sz w:val="21"/>
                <w:szCs w:val="21"/>
                <w:lang w:eastAsia="en-AU"/>
              </w:rPr>
            </w:pPr>
            <w:r w:rsidRPr="00DF3703">
              <w:rPr>
                <w:rFonts w:ascii="Arial" w:hAnsi="Arial" w:cs="Arial"/>
                <w:sz w:val="21"/>
                <w:szCs w:val="21"/>
                <w:lang w:eastAsia="en-AU"/>
              </w:rPr>
              <w:t>Mackay Whitsunday</w:t>
            </w:r>
          </w:p>
        </w:tc>
        <w:tc>
          <w:tcPr>
            <w:tcW w:w="1687"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118.5</w:t>
            </w:r>
          </w:p>
        </w:tc>
        <w:tc>
          <w:tcPr>
            <w:tcW w:w="1352"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757.6</w:t>
            </w:r>
          </w:p>
        </w:tc>
        <w:tc>
          <w:tcPr>
            <w:tcW w:w="1391"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127.4</w:t>
            </w:r>
          </w:p>
        </w:tc>
        <w:tc>
          <w:tcPr>
            <w:tcW w:w="1688"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1,003.5</w:t>
            </w:r>
          </w:p>
        </w:tc>
      </w:tr>
      <w:tr w:rsidR="00ED0C8C" w:rsidRPr="00DF3703" w:rsidTr="003534B2">
        <w:tc>
          <w:tcPr>
            <w:tcW w:w="2376" w:type="dxa"/>
          </w:tcPr>
          <w:p w:rsidR="00ED0C8C" w:rsidRPr="00DF3703" w:rsidRDefault="00ED0C8C" w:rsidP="00A24BB9">
            <w:pPr>
              <w:jc w:val="both"/>
              <w:rPr>
                <w:rFonts w:ascii="Arial" w:hAnsi="Arial" w:cs="Arial"/>
                <w:sz w:val="21"/>
                <w:szCs w:val="21"/>
                <w:lang w:eastAsia="en-AU"/>
              </w:rPr>
            </w:pPr>
            <w:r w:rsidRPr="00DF3703">
              <w:rPr>
                <w:rFonts w:ascii="Arial" w:hAnsi="Arial" w:cs="Arial"/>
                <w:sz w:val="21"/>
                <w:szCs w:val="21"/>
                <w:lang w:eastAsia="en-AU"/>
              </w:rPr>
              <w:t>Fitzroy</w:t>
            </w:r>
          </w:p>
        </w:tc>
        <w:tc>
          <w:tcPr>
            <w:tcW w:w="1687"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61.1</w:t>
            </w:r>
          </w:p>
        </w:tc>
        <w:tc>
          <w:tcPr>
            <w:tcW w:w="1352"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719.5</w:t>
            </w:r>
          </w:p>
        </w:tc>
        <w:tc>
          <w:tcPr>
            <w:tcW w:w="1391"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276.4</w:t>
            </w:r>
          </w:p>
        </w:tc>
        <w:tc>
          <w:tcPr>
            <w:tcW w:w="1688" w:type="dxa"/>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1,057.0</w:t>
            </w:r>
          </w:p>
        </w:tc>
      </w:tr>
      <w:tr w:rsidR="00ED0C8C" w:rsidRPr="00DF3703" w:rsidTr="003534B2">
        <w:tc>
          <w:tcPr>
            <w:tcW w:w="2376" w:type="dxa"/>
            <w:tcBorders>
              <w:bottom w:val="nil"/>
            </w:tcBorders>
          </w:tcPr>
          <w:p w:rsidR="00ED0C8C" w:rsidRPr="00DF3703" w:rsidRDefault="00ED0C8C" w:rsidP="00A24BB9">
            <w:pPr>
              <w:jc w:val="both"/>
              <w:rPr>
                <w:rFonts w:ascii="Arial" w:hAnsi="Arial" w:cs="Arial"/>
                <w:sz w:val="21"/>
                <w:szCs w:val="21"/>
                <w:lang w:eastAsia="en-AU"/>
              </w:rPr>
            </w:pPr>
            <w:r w:rsidRPr="00DF3703">
              <w:rPr>
                <w:rFonts w:ascii="Arial" w:hAnsi="Arial" w:cs="Arial"/>
                <w:sz w:val="21"/>
                <w:szCs w:val="21"/>
                <w:lang w:eastAsia="en-AU"/>
              </w:rPr>
              <w:t>Burnett Mary</w:t>
            </w:r>
          </w:p>
        </w:tc>
        <w:tc>
          <w:tcPr>
            <w:tcW w:w="1687" w:type="dxa"/>
            <w:tcBorders>
              <w:bottom w:val="nil"/>
            </w:tcBorders>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51.2</w:t>
            </w:r>
          </w:p>
        </w:tc>
        <w:tc>
          <w:tcPr>
            <w:tcW w:w="1352" w:type="dxa"/>
            <w:tcBorders>
              <w:bottom w:val="nil"/>
            </w:tcBorders>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293.1</w:t>
            </w:r>
          </w:p>
        </w:tc>
        <w:tc>
          <w:tcPr>
            <w:tcW w:w="1391" w:type="dxa"/>
            <w:tcBorders>
              <w:bottom w:val="nil"/>
            </w:tcBorders>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165.0</w:t>
            </w:r>
          </w:p>
        </w:tc>
        <w:tc>
          <w:tcPr>
            <w:tcW w:w="1688" w:type="dxa"/>
            <w:tcBorders>
              <w:bottom w:val="nil"/>
            </w:tcBorders>
            <w:vAlign w:val="bottom"/>
          </w:tcPr>
          <w:p w:rsidR="00ED0C8C" w:rsidRPr="00DF3703" w:rsidRDefault="00ED0C8C" w:rsidP="00ED0C8C">
            <w:pPr>
              <w:jc w:val="right"/>
              <w:rPr>
                <w:rFonts w:ascii="Arial" w:hAnsi="Arial" w:cs="Arial"/>
                <w:sz w:val="21"/>
                <w:szCs w:val="21"/>
              </w:rPr>
            </w:pPr>
            <w:r w:rsidRPr="00DF3703">
              <w:rPr>
                <w:rFonts w:ascii="Arial" w:hAnsi="Arial" w:cs="Arial"/>
                <w:sz w:val="21"/>
                <w:szCs w:val="21"/>
              </w:rPr>
              <w:t>509.3</w:t>
            </w:r>
          </w:p>
        </w:tc>
      </w:tr>
      <w:tr w:rsidR="00A24BB9" w:rsidRPr="00DF3703" w:rsidTr="003534B2">
        <w:tc>
          <w:tcPr>
            <w:tcW w:w="2376" w:type="dxa"/>
            <w:tcBorders>
              <w:top w:val="nil"/>
              <w:bottom w:val="single" w:sz="12" w:space="0" w:color="002776"/>
            </w:tcBorders>
          </w:tcPr>
          <w:p w:rsidR="00A24BB9" w:rsidRPr="00DF3703" w:rsidRDefault="006B7D88" w:rsidP="00A24BB9">
            <w:pPr>
              <w:pStyle w:val="TabletextLeft"/>
              <w:jc w:val="both"/>
              <w:rPr>
                <w:rFonts w:ascii="Arial" w:hAnsi="Arial" w:cs="Arial"/>
              </w:rPr>
            </w:pPr>
            <w:r w:rsidRPr="00DF3703">
              <w:rPr>
                <w:rFonts w:ascii="Arial" w:hAnsi="Arial" w:cs="Arial"/>
                <w:b/>
                <w:color w:val="002776"/>
                <w:sz w:val="22"/>
              </w:rPr>
              <w:t>Total</w:t>
            </w:r>
          </w:p>
        </w:tc>
        <w:tc>
          <w:tcPr>
            <w:tcW w:w="1687" w:type="dxa"/>
            <w:tcBorders>
              <w:top w:val="nil"/>
              <w:bottom w:val="single" w:sz="12" w:space="0" w:color="002776"/>
            </w:tcBorders>
            <w:vAlign w:val="bottom"/>
          </w:tcPr>
          <w:p w:rsidR="00A24BB9" w:rsidRPr="00DF3703" w:rsidRDefault="006B7D88" w:rsidP="003534B2">
            <w:pPr>
              <w:pStyle w:val="TableHeadingLeft"/>
              <w:jc w:val="right"/>
              <w:rPr>
                <w:rFonts w:ascii="Arial" w:hAnsi="Arial" w:cs="Arial"/>
              </w:rPr>
            </w:pPr>
            <w:r w:rsidRPr="00DF3703">
              <w:rPr>
                <w:rFonts w:ascii="Arial" w:hAnsi="Arial" w:cs="Arial"/>
              </w:rPr>
              <w:t>1,101.8</w:t>
            </w:r>
          </w:p>
        </w:tc>
        <w:tc>
          <w:tcPr>
            <w:tcW w:w="1352" w:type="dxa"/>
            <w:tcBorders>
              <w:top w:val="nil"/>
              <w:bottom w:val="single" w:sz="12" w:space="0" w:color="002776"/>
            </w:tcBorders>
            <w:vAlign w:val="bottom"/>
          </w:tcPr>
          <w:p w:rsidR="00A24BB9" w:rsidRPr="00DF3703" w:rsidRDefault="006B7D88" w:rsidP="003534B2">
            <w:pPr>
              <w:pStyle w:val="TableHeadingLeft"/>
              <w:jc w:val="right"/>
              <w:rPr>
                <w:rFonts w:ascii="Arial" w:hAnsi="Arial" w:cs="Arial"/>
              </w:rPr>
            </w:pPr>
            <w:r w:rsidRPr="00DF3703">
              <w:rPr>
                <w:rFonts w:ascii="Arial" w:hAnsi="Arial" w:cs="Arial"/>
              </w:rPr>
              <w:t>4,342.2</w:t>
            </w:r>
          </w:p>
        </w:tc>
        <w:tc>
          <w:tcPr>
            <w:tcW w:w="1391" w:type="dxa"/>
            <w:tcBorders>
              <w:top w:val="nil"/>
              <w:bottom w:val="single" w:sz="12" w:space="0" w:color="002776"/>
            </w:tcBorders>
            <w:vAlign w:val="bottom"/>
          </w:tcPr>
          <w:p w:rsidR="00A24BB9" w:rsidRPr="00DF3703" w:rsidRDefault="006B7D88" w:rsidP="003534B2">
            <w:pPr>
              <w:pStyle w:val="TableHeadingLeft"/>
              <w:jc w:val="right"/>
              <w:rPr>
                <w:rFonts w:ascii="Arial" w:hAnsi="Arial" w:cs="Arial"/>
              </w:rPr>
            </w:pPr>
            <w:r w:rsidRPr="00DF3703">
              <w:rPr>
                <w:rFonts w:ascii="Arial" w:hAnsi="Arial" w:cs="Arial"/>
              </w:rPr>
              <w:t>931.5</w:t>
            </w:r>
          </w:p>
        </w:tc>
        <w:tc>
          <w:tcPr>
            <w:tcW w:w="1688" w:type="dxa"/>
            <w:tcBorders>
              <w:top w:val="nil"/>
              <w:bottom w:val="single" w:sz="12" w:space="0" w:color="002776"/>
            </w:tcBorders>
            <w:vAlign w:val="bottom"/>
          </w:tcPr>
          <w:p w:rsidR="00A24BB9" w:rsidRPr="00DF3703" w:rsidRDefault="006B7D88" w:rsidP="003534B2">
            <w:pPr>
              <w:pStyle w:val="TableHeadingLeft"/>
              <w:jc w:val="right"/>
              <w:rPr>
                <w:rFonts w:ascii="Arial" w:hAnsi="Arial" w:cs="Arial"/>
              </w:rPr>
            </w:pPr>
            <w:r w:rsidRPr="00DF3703">
              <w:rPr>
                <w:rFonts w:ascii="Arial" w:hAnsi="Arial" w:cs="Arial"/>
              </w:rPr>
              <w:t>6,375.5</w:t>
            </w:r>
          </w:p>
        </w:tc>
      </w:tr>
    </w:tbl>
    <w:p w:rsidR="00A24BB9" w:rsidRPr="00DF3703" w:rsidRDefault="006B7D88" w:rsidP="00A24BB9">
      <w:pPr>
        <w:pStyle w:val="Source"/>
        <w:rPr>
          <w:rFonts w:ascii="Arial" w:hAnsi="Arial"/>
        </w:rPr>
      </w:pPr>
      <w:r w:rsidRPr="00DF3703">
        <w:rPr>
          <w:rFonts w:ascii="Arial" w:hAnsi="Arial"/>
        </w:rPr>
        <w:t>Source: TRA 2012, Deloitte Access Economics.</w:t>
      </w:r>
    </w:p>
    <w:p w:rsidR="000135AC" w:rsidRPr="00DF3703" w:rsidRDefault="006B7D88" w:rsidP="000135AC">
      <w:pPr>
        <w:pStyle w:val="BSubheading-Bluedk"/>
        <w:rPr>
          <w:rFonts w:cs="Arial"/>
        </w:rPr>
      </w:pPr>
      <w:bookmarkStart w:id="84" w:name="_Toc355700985"/>
      <w:r w:rsidRPr="00DF3703">
        <w:rPr>
          <w:rFonts w:cs="Arial"/>
        </w:rPr>
        <w:t>Cruise tourism</w:t>
      </w:r>
      <w:bookmarkEnd w:id="84"/>
    </w:p>
    <w:p w:rsidR="000135AC" w:rsidRPr="00DF3703" w:rsidRDefault="006B7D88" w:rsidP="000135AC">
      <w:pPr>
        <w:pStyle w:val="BodyText"/>
        <w:rPr>
          <w:rFonts w:ascii="Arial" w:hAnsi="Arial" w:cs="Arial"/>
        </w:rPr>
      </w:pPr>
      <w:r w:rsidRPr="00DF3703">
        <w:rPr>
          <w:rFonts w:ascii="Arial" w:hAnsi="Arial" w:cs="Arial"/>
        </w:rPr>
        <w:t>While smaller than the general tourism sector</w:t>
      </w:r>
      <w:r w:rsidR="00FA4A22" w:rsidRPr="00DF3703">
        <w:rPr>
          <w:rFonts w:ascii="Arial" w:hAnsi="Arial" w:cs="Arial"/>
        </w:rPr>
        <w:t>,</w:t>
      </w:r>
      <w:r w:rsidRPr="00DF3703">
        <w:rPr>
          <w:rFonts w:ascii="Arial" w:hAnsi="Arial" w:cs="Arial"/>
        </w:rPr>
        <w:t xml:space="preserve"> cruise tourism contributed $35 million in expenditure in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00E94796" w:rsidRPr="00DF3703">
        <w:rPr>
          <w:rFonts w:ascii="Arial" w:hAnsi="Arial" w:cs="Arial"/>
        </w:rPr>
        <w:t xml:space="preserve"> in 2011-2012</w:t>
      </w:r>
      <w:r w:rsidRPr="00DF3703">
        <w:rPr>
          <w:rFonts w:ascii="Arial" w:hAnsi="Arial" w:cs="Arial"/>
        </w:rPr>
        <w:t xml:space="preserve">.  About half of this was concentrated in the Wet Tropics region of the catchment, as outlined in </w:t>
      </w:r>
      <w:fldSimple w:instr=" REF _Ref340911051 \r \h  \* MERGEFORMAT ">
        <w:r w:rsidR="00536D7E" w:rsidRPr="00536D7E">
          <w:rPr>
            <w:rFonts w:ascii="Arial" w:hAnsi="Arial" w:cs="Arial"/>
          </w:rPr>
          <w:t>Table 3.7</w:t>
        </w:r>
      </w:fldSimple>
      <w:r w:rsidRPr="00DF3703">
        <w:rPr>
          <w:rFonts w:ascii="Arial" w:hAnsi="Arial" w:cs="Arial"/>
        </w:rPr>
        <w:t xml:space="preserve">.  </w:t>
      </w:r>
    </w:p>
    <w:p w:rsidR="000135AC" w:rsidRPr="00DF3703" w:rsidRDefault="006B7D88" w:rsidP="00321684">
      <w:pPr>
        <w:pStyle w:val="CaptionTable"/>
        <w:ind w:left="0"/>
        <w:rPr>
          <w:rFonts w:ascii="Arial" w:hAnsi="Arial" w:cs="Arial"/>
        </w:rPr>
      </w:pPr>
      <w:bookmarkStart w:id="85" w:name="_Toc355701055"/>
      <w:bookmarkStart w:id="86" w:name="_Ref340911051"/>
      <w:r w:rsidRPr="00DF3703">
        <w:rPr>
          <w:rFonts w:ascii="Arial" w:hAnsi="Arial" w:cs="Arial"/>
        </w:rPr>
        <w:t>: Cruise tourism expenditure</w:t>
      </w:r>
      <w:r w:rsidR="00E94796" w:rsidRPr="00DF3703">
        <w:rPr>
          <w:rFonts w:ascii="Arial" w:hAnsi="Arial" w:cs="Arial"/>
        </w:rPr>
        <w:t xml:space="preserve"> in 2012</w:t>
      </w:r>
      <w:bookmarkEnd w:id="85"/>
      <w:r w:rsidRPr="00DF3703">
        <w:rPr>
          <w:rFonts w:ascii="Arial" w:hAnsi="Arial" w:cs="Arial"/>
        </w:rPr>
        <w:t xml:space="preserve"> </w:t>
      </w:r>
      <w:bookmarkEnd w:id="86"/>
    </w:p>
    <w:tbl>
      <w:tblPr>
        <w:tblW w:w="8064" w:type="dxa"/>
        <w:tblInd w:w="108" w:type="dxa"/>
        <w:tblLook w:val="04A0"/>
      </w:tblPr>
      <w:tblGrid>
        <w:gridCol w:w="1701"/>
        <w:gridCol w:w="703"/>
        <w:gridCol w:w="1411"/>
        <w:gridCol w:w="1239"/>
        <w:gridCol w:w="830"/>
        <w:gridCol w:w="1146"/>
        <w:gridCol w:w="1057"/>
      </w:tblGrid>
      <w:tr w:rsidR="000135AC" w:rsidRPr="00DF3703" w:rsidTr="00ED0C8C">
        <w:trPr>
          <w:trHeight w:val="300"/>
        </w:trPr>
        <w:tc>
          <w:tcPr>
            <w:tcW w:w="1701" w:type="dxa"/>
            <w:vMerge w:val="restart"/>
            <w:tcBorders>
              <w:top w:val="single" w:sz="12" w:space="0" w:color="002060"/>
              <w:left w:val="nil"/>
              <w:bottom w:val="nil"/>
              <w:right w:val="nil"/>
            </w:tcBorders>
            <w:shd w:val="clear" w:color="auto" w:fill="auto"/>
            <w:noWrap/>
            <w:vAlign w:val="bottom"/>
            <w:hideMark/>
          </w:tcPr>
          <w:p w:rsidR="000135AC" w:rsidRPr="00DF3703" w:rsidRDefault="000135AC" w:rsidP="00B25FCF">
            <w:pPr>
              <w:pStyle w:val="TableHeadingCentre"/>
              <w:jc w:val="left"/>
              <w:rPr>
                <w:rFonts w:ascii="Arial" w:hAnsi="Arial" w:cs="Arial"/>
              </w:rPr>
            </w:pPr>
          </w:p>
        </w:tc>
        <w:tc>
          <w:tcPr>
            <w:tcW w:w="703" w:type="dxa"/>
            <w:vMerge w:val="restart"/>
            <w:tcBorders>
              <w:top w:val="single" w:sz="12" w:space="0" w:color="002060"/>
              <w:left w:val="nil"/>
              <w:bottom w:val="nil"/>
              <w:right w:val="nil"/>
            </w:tcBorders>
            <w:shd w:val="clear" w:color="auto" w:fill="auto"/>
            <w:noWrap/>
            <w:vAlign w:val="bottom"/>
            <w:hideMark/>
          </w:tcPr>
          <w:p w:rsidR="000135AC" w:rsidRPr="00DF3703" w:rsidRDefault="006B7D88" w:rsidP="00ED0C8C">
            <w:pPr>
              <w:pStyle w:val="TableHeadingCentre"/>
              <w:ind w:left="-57"/>
              <w:jc w:val="left"/>
              <w:rPr>
                <w:rFonts w:ascii="Arial" w:hAnsi="Arial" w:cs="Arial"/>
              </w:rPr>
            </w:pPr>
            <w:r w:rsidRPr="00DF3703">
              <w:rPr>
                <w:rFonts w:ascii="Arial" w:hAnsi="Arial" w:cs="Arial"/>
              </w:rPr>
              <w:t>Visit Days</w:t>
            </w:r>
          </w:p>
        </w:tc>
        <w:tc>
          <w:tcPr>
            <w:tcW w:w="1411" w:type="dxa"/>
            <w:vMerge w:val="restart"/>
            <w:tcBorders>
              <w:top w:val="single" w:sz="12" w:space="0" w:color="002060"/>
              <w:left w:val="nil"/>
              <w:bottom w:val="nil"/>
              <w:right w:val="nil"/>
            </w:tcBorders>
            <w:shd w:val="clear" w:color="auto" w:fill="auto"/>
            <w:vAlign w:val="bottom"/>
            <w:hideMark/>
          </w:tcPr>
          <w:p w:rsidR="000135AC" w:rsidRPr="00DF3703" w:rsidRDefault="006B7D88" w:rsidP="00B25FCF">
            <w:pPr>
              <w:pStyle w:val="TableHeadingCentre"/>
              <w:jc w:val="left"/>
              <w:rPr>
                <w:rFonts w:ascii="Arial" w:hAnsi="Arial" w:cs="Arial"/>
              </w:rPr>
            </w:pPr>
            <w:r w:rsidRPr="00DF3703">
              <w:rPr>
                <w:rFonts w:ascii="Arial" w:hAnsi="Arial" w:cs="Arial"/>
              </w:rPr>
              <w:t>Passenger days at port</w:t>
            </w:r>
          </w:p>
        </w:tc>
        <w:tc>
          <w:tcPr>
            <w:tcW w:w="4249" w:type="dxa"/>
            <w:gridSpan w:val="4"/>
            <w:tcBorders>
              <w:top w:val="single" w:sz="12" w:space="0" w:color="002060"/>
              <w:left w:val="nil"/>
              <w:bottom w:val="nil"/>
              <w:right w:val="nil"/>
            </w:tcBorders>
            <w:shd w:val="clear" w:color="auto" w:fill="auto"/>
            <w:noWrap/>
            <w:vAlign w:val="bottom"/>
            <w:hideMark/>
          </w:tcPr>
          <w:p w:rsidR="000135AC" w:rsidRPr="00DF3703" w:rsidRDefault="006B7D88" w:rsidP="00B25FCF">
            <w:pPr>
              <w:pStyle w:val="TableHeadingCentre"/>
              <w:jc w:val="left"/>
              <w:rPr>
                <w:rFonts w:ascii="Arial" w:hAnsi="Arial" w:cs="Arial"/>
              </w:rPr>
            </w:pPr>
            <w:r w:rsidRPr="00DF3703">
              <w:rPr>
                <w:rFonts w:ascii="Arial" w:hAnsi="Arial" w:cs="Arial"/>
              </w:rPr>
              <w:t>Direct expenditure ($m)</w:t>
            </w:r>
          </w:p>
        </w:tc>
      </w:tr>
      <w:tr w:rsidR="000135AC" w:rsidRPr="00DF3703" w:rsidTr="00ED0C8C">
        <w:trPr>
          <w:trHeight w:val="300"/>
        </w:trPr>
        <w:tc>
          <w:tcPr>
            <w:tcW w:w="1701" w:type="dxa"/>
            <w:vMerge/>
            <w:tcBorders>
              <w:top w:val="nil"/>
              <w:left w:val="nil"/>
              <w:bottom w:val="single" w:sz="12" w:space="0" w:color="002060"/>
              <w:right w:val="nil"/>
            </w:tcBorders>
            <w:vAlign w:val="center"/>
            <w:hideMark/>
          </w:tcPr>
          <w:p w:rsidR="000135AC" w:rsidRPr="00DF3703" w:rsidRDefault="000135AC" w:rsidP="00B25FCF">
            <w:pPr>
              <w:rPr>
                <w:rFonts w:ascii="Arial" w:hAnsi="Arial" w:cs="Arial"/>
                <w:color w:val="000000"/>
                <w:szCs w:val="22"/>
                <w:lang w:eastAsia="en-AU"/>
              </w:rPr>
            </w:pPr>
          </w:p>
        </w:tc>
        <w:tc>
          <w:tcPr>
            <w:tcW w:w="703" w:type="dxa"/>
            <w:vMerge/>
            <w:tcBorders>
              <w:top w:val="nil"/>
              <w:left w:val="nil"/>
              <w:bottom w:val="single" w:sz="12" w:space="0" w:color="002060"/>
              <w:right w:val="nil"/>
            </w:tcBorders>
            <w:vAlign w:val="center"/>
            <w:hideMark/>
          </w:tcPr>
          <w:p w:rsidR="000135AC" w:rsidRPr="00DF3703" w:rsidRDefault="000135AC" w:rsidP="00ED0C8C">
            <w:pPr>
              <w:ind w:left="-57"/>
              <w:rPr>
                <w:rFonts w:ascii="Arial" w:hAnsi="Arial" w:cs="Arial"/>
                <w:color w:val="000000"/>
                <w:szCs w:val="22"/>
                <w:lang w:eastAsia="en-AU"/>
              </w:rPr>
            </w:pPr>
          </w:p>
        </w:tc>
        <w:tc>
          <w:tcPr>
            <w:tcW w:w="1411" w:type="dxa"/>
            <w:vMerge/>
            <w:tcBorders>
              <w:top w:val="nil"/>
              <w:left w:val="nil"/>
              <w:bottom w:val="single" w:sz="12" w:space="0" w:color="002060"/>
              <w:right w:val="nil"/>
            </w:tcBorders>
            <w:vAlign w:val="center"/>
            <w:hideMark/>
          </w:tcPr>
          <w:p w:rsidR="000135AC" w:rsidRPr="00DF3703" w:rsidRDefault="000135AC" w:rsidP="00B25FCF">
            <w:pPr>
              <w:rPr>
                <w:rFonts w:ascii="Arial" w:hAnsi="Arial" w:cs="Arial"/>
                <w:color w:val="000000"/>
                <w:szCs w:val="22"/>
                <w:lang w:eastAsia="en-AU"/>
              </w:rPr>
            </w:pPr>
          </w:p>
        </w:tc>
        <w:tc>
          <w:tcPr>
            <w:tcW w:w="1227" w:type="dxa"/>
            <w:tcBorders>
              <w:top w:val="nil"/>
              <w:left w:val="nil"/>
              <w:bottom w:val="single" w:sz="12" w:space="0" w:color="002060"/>
              <w:right w:val="nil"/>
            </w:tcBorders>
            <w:shd w:val="clear" w:color="auto" w:fill="auto"/>
            <w:noWrap/>
            <w:vAlign w:val="bottom"/>
            <w:hideMark/>
          </w:tcPr>
          <w:p w:rsidR="000135AC" w:rsidRPr="00DF3703" w:rsidRDefault="006B7D88" w:rsidP="00ED0C8C">
            <w:pPr>
              <w:pStyle w:val="TableHeadingCentre"/>
              <w:ind w:left="-62" w:right="-28"/>
              <w:rPr>
                <w:rFonts w:ascii="Arial" w:hAnsi="Arial" w:cs="Arial"/>
              </w:rPr>
            </w:pPr>
            <w:r w:rsidRPr="00DF3703">
              <w:rPr>
                <w:rFonts w:ascii="Arial" w:hAnsi="Arial" w:cs="Arial"/>
              </w:rPr>
              <w:t>Passenger</w:t>
            </w:r>
          </w:p>
        </w:tc>
        <w:tc>
          <w:tcPr>
            <w:tcW w:w="830" w:type="dxa"/>
            <w:tcBorders>
              <w:top w:val="nil"/>
              <w:left w:val="nil"/>
              <w:bottom w:val="single" w:sz="12" w:space="0" w:color="002060"/>
              <w:right w:val="nil"/>
            </w:tcBorders>
            <w:shd w:val="clear" w:color="auto" w:fill="auto"/>
            <w:noWrap/>
            <w:vAlign w:val="bottom"/>
            <w:hideMark/>
          </w:tcPr>
          <w:p w:rsidR="000135AC" w:rsidRPr="00DF3703" w:rsidRDefault="006B7D88" w:rsidP="007C691B">
            <w:pPr>
              <w:pStyle w:val="TableHeadingCentre"/>
              <w:rPr>
                <w:rFonts w:ascii="Arial" w:hAnsi="Arial" w:cs="Arial"/>
              </w:rPr>
            </w:pPr>
            <w:r w:rsidRPr="00DF3703">
              <w:rPr>
                <w:rFonts w:ascii="Arial" w:hAnsi="Arial" w:cs="Arial"/>
              </w:rPr>
              <w:t>Crew</w:t>
            </w:r>
          </w:p>
        </w:tc>
        <w:tc>
          <w:tcPr>
            <w:tcW w:w="1135" w:type="dxa"/>
            <w:tcBorders>
              <w:top w:val="nil"/>
              <w:left w:val="nil"/>
              <w:bottom w:val="single" w:sz="12" w:space="0" w:color="002060"/>
              <w:right w:val="nil"/>
            </w:tcBorders>
            <w:shd w:val="clear" w:color="auto" w:fill="auto"/>
            <w:noWrap/>
            <w:vAlign w:val="bottom"/>
            <w:hideMark/>
          </w:tcPr>
          <w:p w:rsidR="000135AC" w:rsidRPr="00DF3703" w:rsidRDefault="006B7D88" w:rsidP="007C691B">
            <w:pPr>
              <w:pStyle w:val="TableHeadingCentre"/>
              <w:rPr>
                <w:rFonts w:ascii="Arial" w:hAnsi="Arial" w:cs="Arial"/>
              </w:rPr>
            </w:pPr>
            <w:r w:rsidRPr="00DF3703">
              <w:rPr>
                <w:rFonts w:ascii="Arial" w:hAnsi="Arial" w:cs="Arial"/>
              </w:rPr>
              <w:t>Operator</w:t>
            </w:r>
          </w:p>
        </w:tc>
        <w:tc>
          <w:tcPr>
            <w:tcW w:w="1057" w:type="dxa"/>
            <w:tcBorders>
              <w:top w:val="nil"/>
              <w:left w:val="nil"/>
              <w:bottom w:val="single" w:sz="12" w:space="0" w:color="002060"/>
              <w:right w:val="nil"/>
            </w:tcBorders>
            <w:shd w:val="clear" w:color="auto" w:fill="auto"/>
            <w:noWrap/>
            <w:vAlign w:val="bottom"/>
            <w:hideMark/>
          </w:tcPr>
          <w:p w:rsidR="000135AC" w:rsidRPr="00DF3703" w:rsidRDefault="006B7D88" w:rsidP="007C691B">
            <w:pPr>
              <w:pStyle w:val="TableHeadingCentre"/>
              <w:rPr>
                <w:rFonts w:ascii="Arial" w:hAnsi="Arial" w:cs="Arial"/>
              </w:rPr>
            </w:pPr>
            <w:r w:rsidRPr="00DF3703">
              <w:rPr>
                <w:rFonts w:ascii="Arial" w:hAnsi="Arial" w:cs="Arial"/>
              </w:rPr>
              <w:t>Total</w:t>
            </w:r>
          </w:p>
        </w:tc>
      </w:tr>
      <w:tr w:rsidR="007C691B" w:rsidRPr="00DF3703" w:rsidTr="00ED0C8C">
        <w:trPr>
          <w:trHeight w:val="300"/>
        </w:trPr>
        <w:tc>
          <w:tcPr>
            <w:tcW w:w="1701" w:type="dxa"/>
            <w:tcBorders>
              <w:top w:val="single" w:sz="12" w:space="0" w:color="002060"/>
              <w:left w:val="nil"/>
              <w:bottom w:val="nil"/>
              <w:right w:val="nil"/>
            </w:tcBorders>
            <w:shd w:val="clear" w:color="auto" w:fill="auto"/>
            <w:noWrap/>
            <w:vAlign w:val="bottom"/>
            <w:hideMark/>
          </w:tcPr>
          <w:p w:rsidR="007C691B" w:rsidRPr="00DF3703" w:rsidRDefault="006B7D88" w:rsidP="00080718">
            <w:pPr>
              <w:rPr>
                <w:rFonts w:ascii="Arial" w:hAnsi="Arial" w:cs="Arial"/>
                <w:sz w:val="20"/>
              </w:rPr>
            </w:pPr>
            <w:r w:rsidRPr="00DF3703">
              <w:rPr>
                <w:rFonts w:ascii="Arial" w:hAnsi="Arial" w:cs="Arial"/>
                <w:sz w:val="20"/>
              </w:rPr>
              <w:t>Cape York</w:t>
            </w:r>
          </w:p>
        </w:tc>
        <w:tc>
          <w:tcPr>
            <w:tcW w:w="703" w:type="dxa"/>
            <w:tcBorders>
              <w:top w:val="single" w:sz="12" w:space="0" w:color="002060"/>
              <w:left w:val="nil"/>
              <w:bottom w:val="nil"/>
              <w:right w:val="nil"/>
            </w:tcBorders>
            <w:shd w:val="clear" w:color="auto" w:fill="auto"/>
            <w:noWrap/>
            <w:vAlign w:val="bottom"/>
            <w:hideMark/>
          </w:tcPr>
          <w:p w:rsidR="007C691B" w:rsidRPr="00DF3703" w:rsidRDefault="006B7D88" w:rsidP="00ED0C8C">
            <w:pPr>
              <w:ind w:left="-57"/>
              <w:jc w:val="right"/>
              <w:rPr>
                <w:rFonts w:ascii="Arial" w:hAnsi="Arial" w:cs="Arial"/>
                <w:sz w:val="20"/>
              </w:rPr>
            </w:pPr>
            <w:r w:rsidRPr="00DF3703">
              <w:rPr>
                <w:rFonts w:ascii="Arial" w:hAnsi="Arial" w:cs="Arial"/>
                <w:sz w:val="20"/>
              </w:rPr>
              <w:t>1</w:t>
            </w:r>
          </w:p>
        </w:tc>
        <w:tc>
          <w:tcPr>
            <w:tcW w:w="1411" w:type="dxa"/>
            <w:tcBorders>
              <w:top w:val="single" w:sz="12" w:space="0" w:color="002060"/>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97</w:t>
            </w:r>
          </w:p>
        </w:tc>
        <w:tc>
          <w:tcPr>
            <w:tcW w:w="1227" w:type="dxa"/>
            <w:tcBorders>
              <w:top w:val="single" w:sz="12" w:space="0" w:color="002060"/>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0.02</w:t>
            </w:r>
          </w:p>
        </w:tc>
        <w:tc>
          <w:tcPr>
            <w:tcW w:w="830" w:type="dxa"/>
            <w:tcBorders>
              <w:top w:val="single" w:sz="12" w:space="0" w:color="002060"/>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0</w:t>
            </w:r>
          </w:p>
        </w:tc>
        <w:tc>
          <w:tcPr>
            <w:tcW w:w="1135" w:type="dxa"/>
            <w:tcBorders>
              <w:top w:val="single" w:sz="12" w:space="0" w:color="002060"/>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0</w:t>
            </w:r>
          </w:p>
        </w:tc>
        <w:tc>
          <w:tcPr>
            <w:tcW w:w="1057" w:type="dxa"/>
            <w:tcBorders>
              <w:top w:val="single" w:sz="12" w:space="0" w:color="002060"/>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0.02</w:t>
            </w:r>
          </w:p>
        </w:tc>
      </w:tr>
      <w:tr w:rsidR="007C691B" w:rsidRPr="00DF3703" w:rsidTr="00ED0C8C">
        <w:trPr>
          <w:trHeight w:val="300"/>
        </w:trPr>
        <w:tc>
          <w:tcPr>
            <w:tcW w:w="1701" w:type="dxa"/>
            <w:tcBorders>
              <w:top w:val="nil"/>
              <w:left w:val="nil"/>
              <w:bottom w:val="nil"/>
              <w:right w:val="nil"/>
            </w:tcBorders>
            <w:shd w:val="clear" w:color="auto" w:fill="auto"/>
            <w:noWrap/>
            <w:vAlign w:val="bottom"/>
          </w:tcPr>
          <w:p w:rsidR="007C691B" w:rsidRPr="00DF3703" w:rsidRDefault="006B7D88" w:rsidP="00080718">
            <w:pPr>
              <w:rPr>
                <w:rFonts w:ascii="Arial" w:hAnsi="Arial" w:cs="Arial"/>
                <w:sz w:val="20"/>
              </w:rPr>
            </w:pPr>
            <w:r w:rsidRPr="00DF3703">
              <w:rPr>
                <w:rFonts w:ascii="Arial" w:hAnsi="Arial" w:cs="Arial"/>
                <w:sz w:val="20"/>
              </w:rPr>
              <w:t>Wet Tropics</w:t>
            </w:r>
          </w:p>
        </w:tc>
        <w:tc>
          <w:tcPr>
            <w:tcW w:w="703" w:type="dxa"/>
            <w:tcBorders>
              <w:top w:val="nil"/>
              <w:left w:val="nil"/>
              <w:bottom w:val="nil"/>
              <w:right w:val="nil"/>
            </w:tcBorders>
            <w:shd w:val="clear" w:color="auto" w:fill="auto"/>
            <w:noWrap/>
            <w:vAlign w:val="bottom"/>
          </w:tcPr>
          <w:p w:rsidR="007C691B" w:rsidRPr="00DF3703" w:rsidRDefault="006B7D88" w:rsidP="00ED0C8C">
            <w:pPr>
              <w:ind w:left="-57"/>
              <w:jc w:val="right"/>
              <w:rPr>
                <w:rFonts w:ascii="Arial" w:hAnsi="Arial" w:cs="Arial"/>
                <w:sz w:val="20"/>
              </w:rPr>
            </w:pPr>
            <w:r w:rsidRPr="00DF3703">
              <w:rPr>
                <w:rFonts w:ascii="Arial" w:hAnsi="Arial" w:cs="Arial"/>
                <w:sz w:val="20"/>
              </w:rPr>
              <w:t>72</w:t>
            </w:r>
          </w:p>
        </w:tc>
        <w:tc>
          <w:tcPr>
            <w:tcW w:w="1411" w:type="dxa"/>
            <w:tcBorders>
              <w:top w:val="nil"/>
              <w:left w:val="nil"/>
              <w:bottom w:val="nil"/>
              <w:right w:val="nil"/>
            </w:tcBorders>
            <w:shd w:val="clear" w:color="auto" w:fill="auto"/>
            <w:noWrap/>
            <w:vAlign w:val="bottom"/>
          </w:tcPr>
          <w:p w:rsidR="007C691B" w:rsidRPr="00DF3703" w:rsidRDefault="006B7D88" w:rsidP="00080718">
            <w:pPr>
              <w:jc w:val="right"/>
              <w:rPr>
                <w:rFonts w:ascii="Arial" w:hAnsi="Arial" w:cs="Arial"/>
                <w:sz w:val="20"/>
              </w:rPr>
            </w:pPr>
            <w:r w:rsidRPr="00DF3703">
              <w:rPr>
                <w:rFonts w:ascii="Arial" w:hAnsi="Arial" w:cs="Arial"/>
                <w:sz w:val="20"/>
              </w:rPr>
              <w:t>80,057</w:t>
            </w:r>
          </w:p>
        </w:tc>
        <w:tc>
          <w:tcPr>
            <w:tcW w:w="1227" w:type="dxa"/>
            <w:tcBorders>
              <w:top w:val="nil"/>
              <w:left w:val="nil"/>
              <w:bottom w:val="nil"/>
              <w:right w:val="nil"/>
            </w:tcBorders>
            <w:shd w:val="clear" w:color="auto" w:fill="auto"/>
            <w:noWrap/>
            <w:vAlign w:val="bottom"/>
          </w:tcPr>
          <w:p w:rsidR="007C691B" w:rsidRPr="00DF3703" w:rsidRDefault="006B7D88" w:rsidP="00080718">
            <w:pPr>
              <w:jc w:val="right"/>
              <w:rPr>
                <w:rFonts w:ascii="Arial" w:hAnsi="Arial" w:cs="Arial"/>
                <w:sz w:val="20"/>
              </w:rPr>
            </w:pPr>
            <w:r w:rsidRPr="00DF3703">
              <w:rPr>
                <w:rFonts w:ascii="Arial" w:hAnsi="Arial" w:cs="Arial"/>
                <w:sz w:val="20"/>
              </w:rPr>
              <w:t>15.6</w:t>
            </w:r>
          </w:p>
        </w:tc>
        <w:tc>
          <w:tcPr>
            <w:tcW w:w="830" w:type="dxa"/>
            <w:tcBorders>
              <w:top w:val="nil"/>
              <w:left w:val="nil"/>
              <w:bottom w:val="nil"/>
              <w:right w:val="nil"/>
            </w:tcBorders>
            <w:shd w:val="clear" w:color="auto" w:fill="auto"/>
            <w:noWrap/>
            <w:vAlign w:val="bottom"/>
          </w:tcPr>
          <w:p w:rsidR="007C691B" w:rsidRPr="00DF3703" w:rsidRDefault="006B7D88" w:rsidP="00080718">
            <w:pPr>
              <w:jc w:val="right"/>
              <w:rPr>
                <w:rFonts w:ascii="Arial" w:hAnsi="Arial" w:cs="Arial"/>
                <w:sz w:val="20"/>
              </w:rPr>
            </w:pPr>
            <w:r w:rsidRPr="00DF3703">
              <w:rPr>
                <w:rFonts w:ascii="Arial" w:hAnsi="Arial" w:cs="Arial"/>
                <w:sz w:val="20"/>
              </w:rPr>
              <w:t>0.9</w:t>
            </w:r>
          </w:p>
        </w:tc>
        <w:tc>
          <w:tcPr>
            <w:tcW w:w="1135" w:type="dxa"/>
            <w:tcBorders>
              <w:top w:val="nil"/>
              <w:left w:val="nil"/>
              <w:bottom w:val="nil"/>
              <w:right w:val="nil"/>
            </w:tcBorders>
            <w:shd w:val="clear" w:color="auto" w:fill="auto"/>
            <w:noWrap/>
            <w:vAlign w:val="bottom"/>
          </w:tcPr>
          <w:p w:rsidR="007C691B" w:rsidRPr="00DF3703" w:rsidRDefault="006B7D88" w:rsidP="00080718">
            <w:pPr>
              <w:jc w:val="right"/>
              <w:rPr>
                <w:rFonts w:ascii="Arial" w:hAnsi="Arial" w:cs="Arial"/>
                <w:sz w:val="20"/>
              </w:rPr>
            </w:pPr>
            <w:r w:rsidRPr="00DF3703">
              <w:rPr>
                <w:rFonts w:ascii="Arial" w:hAnsi="Arial" w:cs="Arial"/>
                <w:sz w:val="20"/>
              </w:rPr>
              <w:t>2.3</w:t>
            </w:r>
          </w:p>
        </w:tc>
        <w:tc>
          <w:tcPr>
            <w:tcW w:w="1057" w:type="dxa"/>
            <w:tcBorders>
              <w:top w:val="nil"/>
              <w:left w:val="nil"/>
              <w:bottom w:val="nil"/>
              <w:right w:val="nil"/>
            </w:tcBorders>
            <w:shd w:val="clear" w:color="auto" w:fill="auto"/>
            <w:noWrap/>
            <w:vAlign w:val="bottom"/>
          </w:tcPr>
          <w:p w:rsidR="007C691B" w:rsidRPr="00DF3703" w:rsidRDefault="006B7D88" w:rsidP="00080718">
            <w:pPr>
              <w:jc w:val="right"/>
              <w:rPr>
                <w:rFonts w:ascii="Arial" w:hAnsi="Arial" w:cs="Arial"/>
                <w:sz w:val="20"/>
              </w:rPr>
            </w:pPr>
            <w:r w:rsidRPr="00DF3703">
              <w:rPr>
                <w:rFonts w:ascii="Arial" w:hAnsi="Arial" w:cs="Arial"/>
                <w:sz w:val="20"/>
              </w:rPr>
              <w:t>18.8</w:t>
            </w:r>
          </w:p>
        </w:tc>
      </w:tr>
      <w:tr w:rsidR="007C691B" w:rsidRPr="00DF3703" w:rsidTr="00ED0C8C">
        <w:trPr>
          <w:trHeight w:val="300"/>
        </w:trPr>
        <w:tc>
          <w:tcPr>
            <w:tcW w:w="1701" w:type="dxa"/>
            <w:tcBorders>
              <w:top w:val="nil"/>
              <w:left w:val="nil"/>
              <w:bottom w:val="nil"/>
              <w:right w:val="nil"/>
            </w:tcBorders>
            <w:shd w:val="clear" w:color="auto" w:fill="auto"/>
            <w:noWrap/>
            <w:vAlign w:val="bottom"/>
            <w:hideMark/>
          </w:tcPr>
          <w:p w:rsidR="007C691B" w:rsidRPr="00DF3703" w:rsidRDefault="006B7D88" w:rsidP="00080718">
            <w:pPr>
              <w:rPr>
                <w:rFonts w:ascii="Arial" w:hAnsi="Arial" w:cs="Arial"/>
                <w:sz w:val="20"/>
              </w:rPr>
            </w:pPr>
            <w:r w:rsidRPr="00DF3703">
              <w:rPr>
                <w:rFonts w:ascii="Arial" w:hAnsi="Arial" w:cs="Arial"/>
                <w:sz w:val="20"/>
              </w:rPr>
              <w:t>Burdekin</w:t>
            </w:r>
          </w:p>
        </w:tc>
        <w:tc>
          <w:tcPr>
            <w:tcW w:w="703" w:type="dxa"/>
            <w:tcBorders>
              <w:top w:val="nil"/>
              <w:left w:val="nil"/>
              <w:bottom w:val="nil"/>
              <w:right w:val="nil"/>
            </w:tcBorders>
            <w:shd w:val="clear" w:color="auto" w:fill="auto"/>
            <w:noWrap/>
            <w:vAlign w:val="bottom"/>
            <w:hideMark/>
          </w:tcPr>
          <w:p w:rsidR="007C691B" w:rsidRPr="00DF3703" w:rsidRDefault="006B7D88" w:rsidP="00ED0C8C">
            <w:pPr>
              <w:ind w:left="-57"/>
              <w:jc w:val="right"/>
              <w:rPr>
                <w:rFonts w:ascii="Arial" w:hAnsi="Arial" w:cs="Arial"/>
                <w:sz w:val="20"/>
              </w:rPr>
            </w:pPr>
            <w:r w:rsidRPr="00DF3703">
              <w:rPr>
                <w:rFonts w:ascii="Arial" w:hAnsi="Arial" w:cs="Arial"/>
                <w:sz w:val="20"/>
              </w:rPr>
              <w:t>10</w:t>
            </w:r>
          </w:p>
        </w:tc>
        <w:tc>
          <w:tcPr>
            <w:tcW w:w="1411" w:type="dxa"/>
            <w:tcBorders>
              <w:top w:val="nil"/>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3,555</w:t>
            </w:r>
          </w:p>
        </w:tc>
        <w:tc>
          <w:tcPr>
            <w:tcW w:w="1227" w:type="dxa"/>
            <w:tcBorders>
              <w:top w:val="nil"/>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0.7</w:t>
            </w:r>
          </w:p>
        </w:tc>
        <w:tc>
          <w:tcPr>
            <w:tcW w:w="830" w:type="dxa"/>
            <w:tcBorders>
              <w:top w:val="nil"/>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0.2</w:t>
            </w:r>
          </w:p>
        </w:tc>
        <w:tc>
          <w:tcPr>
            <w:tcW w:w="1135" w:type="dxa"/>
            <w:tcBorders>
              <w:top w:val="nil"/>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0.6</w:t>
            </w:r>
          </w:p>
        </w:tc>
        <w:tc>
          <w:tcPr>
            <w:tcW w:w="1057" w:type="dxa"/>
            <w:tcBorders>
              <w:top w:val="nil"/>
              <w:left w:val="nil"/>
              <w:bottom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1.5</w:t>
            </w:r>
          </w:p>
        </w:tc>
      </w:tr>
      <w:tr w:rsidR="007C691B" w:rsidRPr="00DF3703" w:rsidTr="00ED0C8C">
        <w:trPr>
          <w:trHeight w:val="300"/>
        </w:trPr>
        <w:tc>
          <w:tcPr>
            <w:tcW w:w="1701" w:type="dxa"/>
            <w:tcBorders>
              <w:top w:val="nil"/>
              <w:left w:val="nil"/>
              <w:right w:val="nil"/>
            </w:tcBorders>
            <w:shd w:val="clear" w:color="auto" w:fill="auto"/>
            <w:noWrap/>
            <w:vAlign w:val="bottom"/>
            <w:hideMark/>
          </w:tcPr>
          <w:p w:rsidR="007C691B" w:rsidRPr="00DF3703" w:rsidRDefault="006B7D88" w:rsidP="00080718">
            <w:pPr>
              <w:rPr>
                <w:rFonts w:ascii="Arial" w:hAnsi="Arial" w:cs="Arial"/>
                <w:sz w:val="20"/>
              </w:rPr>
            </w:pPr>
            <w:r w:rsidRPr="00DF3703">
              <w:rPr>
                <w:rFonts w:ascii="Arial" w:hAnsi="Arial" w:cs="Arial"/>
                <w:sz w:val="20"/>
              </w:rPr>
              <w:t>Mackay Whitsunday</w:t>
            </w:r>
          </w:p>
        </w:tc>
        <w:tc>
          <w:tcPr>
            <w:tcW w:w="703" w:type="dxa"/>
            <w:tcBorders>
              <w:top w:val="nil"/>
              <w:left w:val="nil"/>
              <w:right w:val="nil"/>
            </w:tcBorders>
            <w:shd w:val="clear" w:color="auto" w:fill="auto"/>
            <w:noWrap/>
            <w:vAlign w:val="bottom"/>
            <w:hideMark/>
          </w:tcPr>
          <w:p w:rsidR="007C691B" w:rsidRPr="00DF3703" w:rsidRDefault="006B7D88" w:rsidP="00ED0C8C">
            <w:pPr>
              <w:ind w:left="-57"/>
              <w:jc w:val="right"/>
              <w:rPr>
                <w:rFonts w:ascii="Arial" w:hAnsi="Arial" w:cs="Arial"/>
                <w:sz w:val="20"/>
              </w:rPr>
            </w:pPr>
            <w:r w:rsidRPr="00DF3703">
              <w:rPr>
                <w:rFonts w:ascii="Arial" w:hAnsi="Arial" w:cs="Arial"/>
                <w:sz w:val="20"/>
              </w:rPr>
              <w:t>47</w:t>
            </w:r>
          </w:p>
        </w:tc>
        <w:tc>
          <w:tcPr>
            <w:tcW w:w="1411" w:type="dxa"/>
            <w:tcBorders>
              <w:top w:val="nil"/>
              <w:left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64,786</w:t>
            </w:r>
          </w:p>
        </w:tc>
        <w:tc>
          <w:tcPr>
            <w:tcW w:w="1227" w:type="dxa"/>
            <w:tcBorders>
              <w:top w:val="nil"/>
              <w:left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12.4</w:t>
            </w:r>
          </w:p>
        </w:tc>
        <w:tc>
          <w:tcPr>
            <w:tcW w:w="830" w:type="dxa"/>
            <w:tcBorders>
              <w:top w:val="nil"/>
              <w:left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1</w:t>
            </w:r>
          </w:p>
        </w:tc>
        <w:tc>
          <w:tcPr>
            <w:tcW w:w="1135" w:type="dxa"/>
            <w:tcBorders>
              <w:top w:val="nil"/>
              <w:left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1.4</w:t>
            </w:r>
          </w:p>
        </w:tc>
        <w:tc>
          <w:tcPr>
            <w:tcW w:w="1057" w:type="dxa"/>
            <w:tcBorders>
              <w:top w:val="nil"/>
              <w:left w:val="nil"/>
              <w:right w:val="nil"/>
            </w:tcBorders>
            <w:shd w:val="clear" w:color="auto" w:fill="auto"/>
            <w:noWrap/>
            <w:vAlign w:val="bottom"/>
            <w:hideMark/>
          </w:tcPr>
          <w:p w:rsidR="007C691B" w:rsidRPr="00DF3703" w:rsidRDefault="006B7D88" w:rsidP="00080718">
            <w:pPr>
              <w:jc w:val="right"/>
              <w:rPr>
                <w:rFonts w:ascii="Arial" w:hAnsi="Arial" w:cs="Arial"/>
                <w:sz w:val="20"/>
              </w:rPr>
            </w:pPr>
            <w:r w:rsidRPr="00DF3703">
              <w:rPr>
                <w:rFonts w:ascii="Arial" w:hAnsi="Arial" w:cs="Arial"/>
                <w:sz w:val="20"/>
              </w:rPr>
              <w:t>14.8</w:t>
            </w:r>
          </w:p>
        </w:tc>
      </w:tr>
      <w:tr w:rsidR="000135AC" w:rsidRPr="00DF3703" w:rsidTr="00ED0C8C">
        <w:trPr>
          <w:trHeight w:val="255"/>
        </w:trPr>
        <w:tc>
          <w:tcPr>
            <w:tcW w:w="1701" w:type="dxa"/>
            <w:tcBorders>
              <w:top w:val="nil"/>
              <w:left w:val="nil"/>
              <w:bottom w:val="single" w:sz="12" w:space="0" w:color="002060"/>
              <w:right w:val="nil"/>
            </w:tcBorders>
            <w:shd w:val="clear" w:color="auto" w:fill="auto"/>
            <w:noWrap/>
            <w:vAlign w:val="bottom"/>
            <w:hideMark/>
          </w:tcPr>
          <w:p w:rsidR="000135AC" w:rsidRPr="00DF3703" w:rsidRDefault="006B7D88" w:rsidP="00B25FCF">
            <w:pPr>
              <w:pStyle w:val="TableHeadingLeft"/>
              <w:rPr>
                <w:rFonts w:ascii="Arial" w:hAnsi="Arial" w:cs="Arial"/>
              </w:rPr>
            </w:pPr>
            <w:r w:rsidRPr="00DF3703">
              <w:rPr>
                <w:rFonts w:ascii="Arial" w:hAnsi="Arial" w:cs="Arial"/>
              </w:rPr>
              <w:t>Total</w:t>
            </w:r>
          </w:p>
        </w:tc>
        <w:tc>
          <w:tcPr>
            <w:tcW w:w="703" w:type="dxa"/>
            <w:tcBorders>
              <w:top w:val="nil"/>
              <w:left w:val="nil"/>
              <w:bottom w:val="single" w:sz="12" w:space="0" w:color="002060"/>
              <w:right w:val="nil"/>
            </w:tcBorders>
            <w:shd w:val="clear" w:color="auto" w:fill="auto"/>
            <w:noWrap/>
            <w:vAlign w:val="bottom"/>
            <w:hideMark/>
          </w:tcPr>
          <w:p w:rsidR="000135AC" w:rsidRPr="00DF3703" w:rsidRDefault="006B7D88" w:rsidP="00ED0C8C">
            <w:pPr>
              <w:pStyle w:val="TableHeadingLeft"/>
              <w:ind w:left="-57"/>
              <w:jc w:val="right"/>
              <w:rPr>
                <w:rFonts w:ascii="Arial" w:hAnsi="Arial" w:cs="Arial"/>
              </w:rPr>
            </w:pPr>
            <w:r w:rsidRPr="00DF3703">
              <w:rPr>
                <w:rFonts w:ascii="Arial" w:hAnsi="Arial" w:cs="Arial"/>
              </w:rPr>
              <w:t>130</w:t>
            </w:r>
          </w:p>
        </w:tc>
        <w:tc>
          <w:tcPr>
            <w:tcW w:w="1411" w:type="dxa"/>
            <w:tcBorders>
              <w:top w:val="nil"/>
              <w:left w:val="nil"/>
              <w:bottom w:val="single" w:sz="12" w:space="0" w:color="002060"/>
              <w:right w:val="nil"/>
            </w:tcBorders>
            <w:shd w:val="clear" w:color="auto" w:fill="auto"/>
            <w:noWrap/>
            <w:vAlign w:val="bottom"/>
            <w:hideMark/>
          </w:tcPr>
          <w:p w:rsidR="000135AC" w:rsidRPr="00DF3703" w:rsidRDefault="006B7D88" w:rsidP="00B25FCF">
            <w:pPr>
              <w:pStyle w:val="TableHeadingLeft"/>
              <w:jc w:val="right"/>
              <w:rPr>
                <w:rFonts w:ascii="Arial" w:hAnsi="Arial" w:cs="Arial"/>
              </w:rPr>
            </w:pPr>
            <w:r w:rsidRPr="00DF3703">
              <w:rPr>
                <w:rFonts w:ascii="Arial" w:hAnsi="Arial" w:cs="Arial"/>
              </w:rPr>
              <w:t>148,495</w:t>
            </w:r>
          </w:p>
        </w:tc>
        <w:tc>
          <w:tcPr>
            <w:tcW w:w="1227" w:type="dxa"/>
            <w:tcBorders>
              <w:top w:val="nil"/>
              <w:left w:val="nil"/>
              <w:bottom w:val="single" w:sz="12" w:space="0" w:color="002060"/>
              <w:right w:val="nil"/>
            </w:tcBorders>
            <w:shd w:val="clear" w:color="auto" w:fill="auto"/>
            <w:noWrap/>
            <w:vAlign w:val="bottom"/>
            <w:hideMark/>
          </w:tcPr>
          <w:p w:rsidR="000135AC" w:rsidRPr="00DF3703" w:rsidRDefault="006B7D88" w:rsidP="00B25FCF">
            <w:pPr>
              <w:pStyle w:val="TableHeadingLeft"/>
              <w:jc w:val="right"/>
              <w:rPr>
                <w:rFonts w:ascii="Arial" w:hAnsi="Arial" w:cs="Arial"/>
              </w:rPr>
            </w:pPr>
            <w:r w:rsidRPr="00DF3703">
              <w:rPr>
                <w:rFonts w:ascii="Arial" w:hAnsi="Arial" w:cs="Arial"/>
              </w:rPr>
              <w:t>28.7</w:t>
            </w:r>
          </w:p>
        </w:tc>
        <w:tc>
          <w:tcPr>
            <w:tcW w:w="830" w:type="dxa"/>
            <w:tcBorders>
              <w:top w:val="nil"/>
              <w:left w:val="nil"/>
              <w:bottom w:val="single" w:sz="12" w:space="0" w:color="002060"/>
              <w:right w:val="nil"/>
            </w:tcBorders>
            <w:shd w:val="clear" w:color="auto" w:fill="auto"/>
            <w:noWrap/>
            <w:vAlign w:val="bottom"/>
            <w:hideMark/>
          </w:tcPr>
          <w:p w:rsidR="000135AC" w:rsidRPr="00DF3703" w:rsidRDefault="006B7D88" w:rsidP="00B25FCF">
            <w:pPr>
              <w:pStyle w:val="TableHeadingLeft"/>
              <w:jc w:val="right"/>
              <w:rPr>
                <w:rFonts w:ascii="Arial" w:hAnsi="Arial" w:cs="Arial"/>
              </w:rPr>
            </w:pPr>
            <w:r w:rsidRPr="00DF3703">
              <w:rPr>
                <w:rFonts w:ascii="Arial" w:hAnsi="Arial" w:cs="Arial"/>
              </w:rPr>
              <w:t>2.1</w:t>
            </w:r>
          </w:p>
        </w:tc>
        <w:tc>
          <w:tcPr>
            <w:tcW w:w="1135" w:type="dxa"/>
            <w:tcBorders>
              <w:top w:val="nil"/>
              <w:left w:val="nil"/>
              <w:bottom w:val="single" w:sz="12" w:space="0" w:color="002060"/>
              <w:right w:val="nil"/>
            </w:tcBorders>
            <w:shd w:val="clear" w:color="auto" w:fill="auto"/>
            <w:noWrap/>
            <w:vAlign w:val="bottom"/>
            <w:hideMark/>
          </w:tcPr>
          <w:p w:rsidR="000135AC" w:rsidRPr="00DF3703" w:rsidRDefault="006B7D88" w:rsidP="00B25FCF">
            <w:pPr>
              <w:pStyle w:val="TableHeadingLeft"/>
              <w:jc w:val="right"/>
              <w:rPr>
                <w:rFonts w:ascii="Arial" w:hAnsi="Arial" w:cs="Arial"/>
              </w:rPr>
            </w:pPr>
            <w:r w:rsidRPr="00DF3703">
              <w:rPr>
                <w:rFonts w:ascii="Arial" w:hAnsi="Arial" w:cs="Arial"/>
              </w:rPr>
              <w:t>4.3</w:t>
            </w:r>
          </w:p>
        </w:tc>
        <w:tc>
          <w:tcPr>
            <w:tcW w:w="1057" w:type="dxa"/>
            <w:tcBorders>
              <w:top w:val="nil"/>
              <w:left w:val="nil"/>
              <w:bottom w:val="single" w:sz="12" w:space="0" w:color="002060"/>
              <w:right w:val="nil"/>
            </w:tcBorders>
            <w:shd w:val="clear" w:color="auto" w:fill="auto"/>
            <w:noWrap/>
            <w:vAlign w:val="bottom"/>
            <w:hideMark/>
          </w:tcPr>
          <w:p w:rsidR="000135AC" w:rsidRPr="00DF3703" w:rsidRDefault="006B7D88" w:rsidP="00B25FCF">
            <w:pPr>
              <w:pStyle w:val="TableHeadingLeft"/>
              <w:jc w:val="right"/>
              <w:rPr>
                <w:rFonts w:ascii="Arial" w:hAnsi="Arial" w:cs="Arial"/>
              </w:rPr>
            </w:pPr>
            <w:r w:rsidRPr="00DF3703">
              <w:rPr>
                <w:rFonts w:ascii="Arial" w:hAnsi="Arial" w:cs="Arial"/>
              </w:rPr>
              <w:t>35.1</w:t>
            </w:r>
          </w:p>
        </w:tc>
      </w:tr>
    </w:tbl>
    <w:p w:rsidR="000135AC" w:rsidRPr="00DF3703" w:rsidRDefault="006B7D88" w:rsidP="000135AC">
      <w:pPr>
        <w:pStyle w:val="Source"/>
        <w:rPr>
          <w:rFonts w:ascii="Arial" w:hAnsi="Arial"/>
        </w:rPr>
      </w:pPr>
      <w:r w:rsidRPr="00DF3703">
        <w:rPr>
          <w:rFonts w:ascii="Arial" w:hAnsi="Arial"/>
        </w:rPr>
        <w:t xml:space="preserve">Source: </w:t>
      </w:r>
      <w:r w:rsidRPr="00DF3703">
        <w:rPr>
          <w:rFonts w:ascii="Arial" w:hAnsi="Arial"/>
          <w:i/>
        </w:rPr>
        <w:t>Economic Impact Assessment of the Cruise Shipping Industry in Australia, 2011-12</w:t>
      </w:r>
      <w:r w:rsidRPr="00DF3703">
        <w:rPr>
          <w:rFonts w:ascii="Arial" w:hAnsi="Arial"/>
        </w:rPr>
        <w:t>, Cruise Down under August 2012</w:t>
      </w:r>
    </w:p>
    <w:p w:rsidR="000135AC" w:rsidRPr="00DF3703" w:rsidRDefault="006B7D88" w:rsidP="007C691B">
      <w:pPr>
        <w:pStyle w:val="Heading2"/>
        <w:rPr>
          <w:rFonts w:ascii="Arial" w:hAnsi="Arial" w:cs="Arial"/>
          <w:sz w:val="32"/>
          <w:szCs w:val="32"/>
        </w:rPr>
      </w:pPr>
      <w:bookmarkStart w:id="87" w:name="_Toc355700986"/>
      <w:r w:rsidRPr="00DF3703">
        <w:rPr>
          <w:rFonts w:ascii="Arial" w:hAnsi="Arial" w:cs="Arial"/>
          <w:sz w:val="32"/>
          <w:szCs w:val="32"/>
        </w:rPr>
        <w:t>Tourism contribution</w:t>
      </w:r>
      <w:bookmarkEnd w:id="87"/>
    </w:p>
    <w:p w:rsidR="000135AC" w:rsidRPr="00DF3703" w:rsidRDefault="006B7D88" w:rsidP="000135AC">
      <w:pPr>
        <w:pStyle w:val="BodyText"/>
        <w:rPr>
          <w:rFonts w:ascii="Arial" w:hAnsi="Arial" w:cs="Arial"/>
        </w:rPr>
      </w:pPr>
      <w:r w:rsidRPr="00DF3703">
        <w:rPr>
          <w:rFonts w:ascii="Arial" w:hAnsi="Arial" w:cs="Arial"/>
        </w:rPr>
        <w:t xml:space="preserve">Tourism expenditure by NRM region is shown in </w:t>
      </w:r>
      <w:fldSimple w:instr=" REF _Ref343198544 \r \h  \* MERGEFORMAT ">
        <w:r w:rsidR="00536D7E" w:rsidRPr="00536D7E">
          <w:rPr>
            <w:rFonts w:ascii="Arial" w:hAnsi="Arial" w:cs="Arial"/>
          </w:rPr>
          <w:t>Table 3.8</w:t>
        </w:r>
      </w:fldSimple>
      <w:r w:rsidRPr="00DF3703">
        <w:rPr>
          <w:rFonts w:ascii="Arial" w:hAnsi="Arial" w:cs="Arial"/>
        </w:rPr>
        <w:t xml:space="preserve">.  This was estimated by multiplying visitor nights by the average nightly expenditure of the three different types of tourist (international, domestic overnight and domestic day) in the modelling region that most closely corresponded to the NRM region.   </w:t>
      </w:r>
    </w:p>
    <w:p w:rsidR="000135AC" w:rsidRPr="00DF3703" w:rsidRDefault="006B7D88" w:rsidP="000135AC">
      <w:pPr>
        <w:pStyle w:val="BodyText"/>
        <w:rPr>
          <w:rFonts w:ascii="Arial" w:hAnsi="Arial" w:cs="Arial"/>
        </w:rPr>
      </w:pPr>
      <w:r w:rsidRPr="00DF3703">
        <w:rPr>
          <w:rFonts w:ascii="Arial" w:hAnsi="Arial" w:cs="Arial"/>
        </w:rPr>
        <w:t xml:space="preserve">The Wet Tropics NRM region accounted </w:t>
      </w:r>
      <w:r w:rsidR="00E94796" w:rsidRPr="00DF3703">
        <w:rPr>
          <w:rFonts w:ascii="Arial" w:hAnsi="Arial" w:cs="Arial"/>
        </w:rPr>
        <w:t xml:space="preserve">for </w:t>
      </w:r>
      <w:r w:rsidRPr="00DF3703">
        <w:rPr>
          <w:rFonts w:ascii="Arial" w:hAnsi="Arial" w:cs="Arial"/>
        </w:rPr>
        <w:t>just over 40% of total expenditure, which was higher than its proportion of visitor nights as expenditure per visitor night was higher on average in the Upper modelling region.  However, the Fitzroy NRM region accounted for the greatest amount of domestic day expenditure as average day trip expenditure was highest in the Lower modelling region.</w:t>
      </w:r>
    </w:p>
    <w:p w:rsidR="003534B2" w:rsidRPr="00DF3703" w:rsidRDefault="006B7D88" w:rsidP="000135AC">
      <w:pPr>
        <w:pStyle w:val="BodyText"/>
        <w:rPr>
          <w:rFonts w:ascii="Arial" w:hAnsi="Arial" w:cs="Arial"/>
        </w:rPr>
      </w:pPr>
      <w:r w:rsidRPr="00DF3703">
        <w:rPr>
          <w:rFonts w:ascii="Arial" w:hAnsi="Arial" w:cs="Arial"/>
        </w:rPr>
        <w:lastRenderedPageBreak/>
        <w:t>The IVS and NVS travellers contribute $6,375.5 million of expenditure and with the cruise-related expenditure of $35.1 million the total expenditure modelled is $6,410.6 million.</w:t>
      </w:r>
    </w:p>
    <w:p w:rsidR="003534B2" w:rsidRPr="00DF3703" w:rsidRDefault="006B7D88" w:rsidP="00321684">
      <w:pPr>
        <w:pStyle w:val="CaptionTable"/>
        <w:ind w:left="0"/>
        <w:rPr>
          <w:rFonts w:ascii="Arial" w:hAnsi="Arial" w:cs="Arial"/>
        </w:rPr>
      </w:pPr>
      <w:bookmarkStart w:id="88" w:name="_Ref343198544"/>
      <w:bookmarkStart w:id="89" w:name="_Toc355701056"/>
      <w:r w:rsidRPr="00DF3703">
        <w:rPr>
          <w:rFonts w:ascii="Arial" w:hAnsi="Arial" w:cs="Arial"/>
        </w:rPr>
        <w:t>: Expenditure by NRM ($m 2011-12)</w:t>
      </w:r>
      <w:bookmarkEnd w:id="88"/>
      <w:bookmarkEnd w:id="89"/>
    </w:p>
    <w:tbl>
      <w:tblPr>
        <w:tblStyle w:val="TableAE"/>
        <w:tblW w:w="8569" w:type="dxa"/>
        <w:tblLayout w:type="fixed"/>
        <w:tblLook w:val="04A0"/>
      </w:tblPr>
      <w:tblGrid>
        <w:gridCol w:w="1405"/>
        <w:gridCol w:w="1538"/>
        <w:gridCol w:w="1406"/>
        <w:gridCol w:w="1406"/>
        <w:gridCol w:w="1407"/>
        <w:gridCol w:w="1407"/>
      </w:tblGrid>
      <w:tr w:rsidR="000135AC" w:rsidRPr="00DF3703" w:rsidTr="00B25FCF">
        <w:trPr>
          <w:cnfStyle w:val="100000000000"/>
        </w:trPr>
        <w:tc>
          <w:tcPr>
            <w:tcW w:w="1405" w:type="dxa"/>
          </w:tcPr>
          <w:p w:rsidR="000135AC" w:rsidRPr="00DF3703" w:rsidRDefault="006B7D88" w:rsidP="00B25FCF">
            <w:pPr>
              <w:pStyle w:val="TableHeadingCentre"/>
              <w:rPr>
                <w:rFonts w:ascii="Arial" w:hAnsi="Arial" w:cs="Arial"/>
              </w:rPr>
            </w:pPr>
            <w:r w:rsidRPr="00DF3703">
              <w:rPr>
                <w:rFonts w:ascii="Arial" w:hAnsi="Arial" w:cs="Arial"/>
              </w:rPr>
              <w:t>NRM region</w:t>
            </w:r>
          </w:p>
        </w:tc>
        <w:tc>
          <w:tcPr>
            <w:tcW w:w="1538" w:type="dxa"/>
          </w:tcPr>
          <w:p w:rsidR="000135AC" w:rsidRPr="00DF3703" w:rsidRDefault="006B7D88" w:rsidP="00B25FCF">
            <w:pPr>
              <w:pStyle w:val="TableHeadingCentre"/>
              <w:rPr>
                <w:rFonts w:ascii="Arial" w:hAnsi="Arial" w:cs="Arial"/>
              </w:rPr>
            </w:pPr>
            <w:r w:rsidRPr="00DF3703">
              <w:rPr>
                <w:rFonts w:ascii="Arial" w:hAnsi="Arial" w:cs="Arial"/>
              </w:rPr>
              <w:t xml:space="preserve">International </w:t>
            </w:r>
          </w:p>
        </w:tc>
        <w:tc>
          <w:tcPr>
            <w:tcW w:w="1406" w:type="dxa"/>
          </w:tcPr>
          <w:p w:rsidR="000135AC" w:rsidRPr="00DF3703" w:rsidRDefault="006B7D88" w:rsidP="00B25FCF">
            <w:pPr>
              <w:pStyle w:val="TableHeadingCentre"/>
              <w:rPr>
                <w:rFonts w:ascii="Arial" w:hAnsi="Arial" w:cs="Arial"/>
              </w:rPr>
            </w:pPr>
            <w:r w:rsidRPr="00DF3703">
              <w:rPr>
                <w:rFonts w:ascii="Arial" w:hAnsi="Arial" w:cs="Arial"/>
              </w:rPr>
              <w:t>Domestic overnight</w:t>
            </w:r>
          </w:p>
        </w:tc>
        <w:tc>
          <w:tcPr>
            <w:tcW w:w="1406" w:type="dxa"/>
          </w:tcPr>
          <w:p w:rsidR="000135AC" w:rsidRPr="00DF3703" w:rsidRDefault="006B7D88" w:rsidP="00B25FCF">
            <w:pPr>
              <w:pStyle w:val="TableHeadingCentre"/>
              <w:rPr>
                <w:rFonts w:ascii="Arial" w:hAnsi="Arial" w:cs="Arial"/>
              </w:rPr>
            </w:pPr>
            <w:r w:rsidRPr="00DF3703">
              <w:rPr>
                <w:rFonts w:ascii="Arial" w:hAnsi="Arial" w:cs="Arial"/>
              </w:rPr>
              <w:t>Domestic day</w:t>
            </w:r>
          </w:p>
        </w:tc>
        <w:tc>
          <w:tcPr>
            <w:tcW w:w="1407" w:type="dxa"/>
          </w:tcPr>
          <w:p w:rsidR="000135AC" w:rsidRPr="00DF3703" w:rsidRDefault="006B7D88" w:rsidP="00B25FCF">
            <w:pPr>
              <w:pStyle w:val="TableHeadingCentre"/>
              <w:rPr>
                <w:rFonts w:ascii="Arial" w:hAnsi="Arial" w:cs="Arial"/>
              </w:rPr>
            </w:pPr>
            <w:r w:rsidRPr="00DF3703">
              <w:rPr>
                <w:rFonts w:ascii="Arial" w:hAnsi="Arial" w:cs="Arial"/>
              </w:rPr>
              <w:t>Cruise</w:t>
            </w:r>
          </w:p>
        </w:tc>
        <w:tc>
          <w:tcPr>
            <w:tcW w:w="1407" w:type="dxa"/>
          </w:tcPr>
          <w:p w:rsidR="000135AC" w:rsidRPr="00DF3703" w:rsidRDefault="006B7D88" w:rsidP="00B25FCF">
            <w:pPr>
              <w:pStyle w:val="TableHeadingCentre"/>
              <w:rPr>
                <w:rFonts w:ascii="Arial" w:hAnsi="Arial" w:cs="Arial"/>
              </w:rPr>
            </w:pPr>
            <w:r w:rsidRPr="00DF3703">
              <w:rPr>
                <w:rFonts w:ascii="Arial" w:hAnsi="Arial" w:cs="Arial"/>
              </w:rPr>
              <w:t>Total</w:t>
            </w:r>
          </w:p>
        </w:tc>
      </w:tr>
      <w:tr w:rsidR="00321684" w:rsidRPr="00DF3703" w:rsidTr="00452009">
        <w:tc>
          <w:tcPr>
            <w:tcW w:w="1405" w:type="dxa"/>
            <w:vAlign w:val="center"/>
          </w:tcPr>
          <w:p w:rsidR="00321684" w:rsidRPr="00DF3703" w:rsidRDefault="00321684" w:rsidP="00321684">
            <w:pPr>
              <w:rPr>
                <w:rFonts w:ascii="Arial" w:hAnsi="Arial" w:cs="Arial"/>
                <w:color w:val="000000"/>
                <w:sz w:val="20"/>
              </w:rPr>
            </w:pPr>
            <w:r w:rsidRPr="00DF3703">
              <w:rPr>
                <w:rFonts w:ascii="Arial" w:hAnsi="Arial" w:cs="Arial"/>
                <w:color w:val="000000"/>
                <w:sz w:val="20"/>
              </w:rPr>
              <w:t>Torres Strait</w:t>
            </w:r>
          </w:p>
        </w:tc>
        <w:tc>
          <w:tcPr>
            <w:tcW w:w="1538"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0.5</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0.7</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0</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1.2</w:t>
            </w:r>
          </w:p>
        </w:tc>
      </w:tr>
      <w:tr w:rsidR="00321684" w:rsidRPr="00DF3703" w:rsidTr="00452009">
        <w:tc>
          <w:tcPr>
            <w:tcW w:w="1405" w:type="dxa"/>
            <w:vAlign w:val="center"/>
          </w:tcPr>
          <w:p w:rsidR="00321684" w:rsidRPr="00DF3703" w:rsidRDefault="00321684" w:rsidP="00321684">
            <w:pPr>
              <w:rPr>
                <w:rFonts w:ascii="Arial" w:hAnsi="Arial" w:cs="Arial"/>
                <w:color w:val="000000"/>
                <w:sz w:val="20"/>
              </w:rPr>
            </w:pPr>
            <w:r w:rsidRPr="00DF3703">
              <w:rPr>
                <w:rFonts w:ascii="Arial" w:hAnsi="Arial" w:cs="Arial"/>
                <w:color w:val="000000"/>
                <w:sz w:val="20"/>
              </w:rPr>
              <w:t>Cape York</w:t>
            </w:r>
          </w:p>
        </w:tc>
        <w:tc>
          <w:tcPr>
            <w:tcW w:w="1538"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16.6</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167.8</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0.7</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0.0</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185.1</w:t>
            </w:r>
          </w:p>
        </w:tc>
      </w:tr>
      <w:tr w:rsidR="00321684" w:rsidRPr="00DF3703" w:rsidTr="00452009">
        <w:tc>
          <w:tcPr>
            <w:tcW w:w="1405" w:type="dxa"/>
            <w:vAlign w:val="center"/>
          </w:tcPr>
          <w:p w:rsidR="00321684" w:rsidRPr="00DF3703" w:rsidRDefault="00321684" w:rsidP="00321684">
            <w:pPr>
              <w:rPr>
                <w:rFonts w:ascii="Arial" w:hAnsi="Arial" w:cs="Arial"/>
                <w:color w:val="000000"/>
                <w:sz w:val="20"/>
              </w:rPr>
            </w:pPr>
            <w:r w:rsidRPr="00DF3703">
              <w:rPr>
                <w:rFonts w:ascii="Arial" w:hAnsi="Arial" w:cs="Arial"/>
                <w:color w:val="000000"/>
                <w:sz w:val="20"/>
              </w:rPr>
              <w:t>Wet Tropics</w:t>
            </w:r>
          </w:p>
        </w:tc>
        <w:tc>
          <w:tcPr>
            <w:tcW w:w="1538"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761.1</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1,583.3</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231.3</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18.8</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2,594.5</w:t>
            </w:r>
          </w:p>
        </w:tc>
      </w:tr>
      <w:tr w:rsidR="00321684" w:rsidRPr="00DF3703" w:rsidTr="00452009">
        <w:tc>
          <w:tcPr>
            <w:tcW w:w="1405" w:type="dxa"/>
            <w:vAlign w:val="center"/>
          </w:tcPr>
          <w:p w:rsidR="00321684" w:rsidRPr="00DF3703" w:rsidRDefault="00321684" w:rsidP="00321684">
            <w:pPr>
              <w:rPr>
                <w:rFonts w:ascii="Arial" w:hAnsi="Arial" w:cs="Arial"/>
                <w:color w:val="000000"/>
                <w:sz w:val="20"/>
              </w:rPr>
            </w:pPr>
            <w:r w:rsidRPr="00DF3703">
              <w:rPr>
                <w:rFonts w:ascii="Arial" w:hAnsi="Arial" w:cs="Arial"/>
                <w:color w:val="000000"/>
                <w:sz w:val="20"/>
              </w:rPr>
              <w:t>Burdekin</w:t>
            </w:r>
          </w:p>
        </w:tc>
        <w:tc>
          <w:tcPr>
            <w:tcW w:w="1538"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92.8</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820.2</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130.7</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1.5</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1,045.2</w:t>
            </w:r>
          </w:p>
        </w:tc>
      </w:tr>
      <w:tr w:rsidR="00321684" w:rsidRPr="00DF3703" w:rsidTr="00452009">
        <w:tc>
          <w:tcPr>
            <w:tcW w:w="1405" w:type="dxa"/>
            <w:vAlign w:val="center"/>
          </w:tcPr>
          <w:p w:rsidR="00321684" w:rsidRPr="00DF3703" w:rsidRDefault="00321684" w:rsidP="00321684">
            <w:pPr>
              <w:rPr>
                <w:rFonts w:ascii="Arial" w:hAnsi="Arial" w:cs="Arial"/>
                <w:color w:val="000000"/>
                <w:sz w:val="20"/>
              </w:rPr>
            </w:pPr>
            <w:r w:rsidRPr="00DF3703">
              <w:rPr>
                <w:rFonts w:ascii="Arial" w:hAnsi="Arial" w:cs="Arial"/>
                <w:color w:val="000000"/>
                <w:sz w:val="20"/>
              </w:rPr>
              <w:t>Mackay Whitsunday</w:t>
            </w:r>
          </w:p>
        </w:tc>
        <w:tc>
          <w:tcPr>
            <w:tcW w:w="1538"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118.5</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757.6</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127.4</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14.8</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1,018.3</w:t>
            </w:r>
          </w:p>
        </w:tc>
      </w:tr>
      <w:tr w:rsidR="00321684" w:rsidRPr="00DF3703" w:rsidTr="00452009">
        <w:tc>
          <w:tcPr>
            <w:tcW w:w="1405" w:type="dxa"/>
            <w:vAlign w:val="center"/>
          </w:tcPr>
          <w:p w:rsidR="00321684" w:rsidRPr="00DF3703" w:rsidRDefault="00321684" w:rsidP="00321684">
            <w:pPr>
              <w:rPr>
                <w:rFonts w:ascii="Arial" w:hAnsi="Arial" w:cs="Arial"/>
                <w:color w:val="000000"/>
                <w:sz w:val="20"/>
              </w:rPr>
            </w:pPr>
            <w:r w:rsidRPr="00DF3703">
              <w:rPr>
                <w:rFonts w:ascii="Arial" w:hAnsi="Arial" w:cs="Arial"/>
                <w:color w:val="000000"/>
                <w:sz w:val="20"/>
              </w:rPr>
              <w:t>Fitzroy</w:t>
            </w:r>
          </w:p>
        </w:tc>
        <w:tc>
          <w:tcPr>
            <w:tcW w:w="1538"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61.1</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719.5</w:t>
            </w:r>
          </w:p>
        </w:tc>
        <w:tc>
          <w:tcPr>
            <w:tcW w:w="1406"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276.4</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0</w:t>
            </w:r>
          </w:p>
        </w:tc>
        <w:tc>
          <w:tcPr>
            <w:tcW w:w="1407" w:type="dxa"/>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1,057.0</w:t>
            </w:r>
          </w:p>
        </w:tc>
      </w:tr>
      <w:tr w:rsidR="00321684" w:rsidRPr="00DF3703" w:rsidTr="00452009">
        <w:tc>
          <w:tcPr>
            <w:tcW w:w="1405" w:type="dxa"/>
            <w:tcBorders>
              <w:bottom w:val="nil"/>
            </w:tcBorders>
            <w:vAlign w:val="center"/>
          </w:tcPr>
          <w:p w:rsidR="00321684" w:rsidRPr="00DF3703" w:rsidRDefault="00321684" w:rsidP="00321684">
            <w:pPr>
              <w:rPr>
                <w:rFonts w:ascii="Arial" w:hAnsi="Arial" w:cs="Arial"/>
                <w:color w:val="000000"/>
                <w:sz w:val="20"/>
              </w:rPr>
            </w:pPr>
            <w:r w:rsidRPr="00DF3703">
              <w:rPr>
                <w:rFonts w:ascii="Arial" w:hAnsi="Arial" w:cs="Arial"/>
                <w:color w:val="000000"/>
                <w:sz w:val="20"/>
              </w:rPr>
              <w:t>Burnett Mary</w:t>
            </w:r>
          </w:p>
        </w:tc>
        <w:tc>
          <w:tcPr>
            <w:tcW w:w="1538" w:type="dxa"/>
            <w:tcBorders>
              <w:bottom w:val="nil"/>
            </w:tcBorders>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51.2</w:t>
            </w:r>
          </w:p>
        </w:tc>
        <w:tc>
          <w:tcPr>
            <w:tcW w:w="1406" w:type="dxa"/>
            <w:tcBorders>
              <w:bottom w:val="nil"/>
            </w:tcBorders>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293.1</w:t>
            </w:r>
          </w:p>
        </w:tc>
        <w:tc>
          <w:tcPr>
            <w:tcW w:w="1406" w:type="dxa"/>
            <w:tcBorders>
              <w:bottom w:val="nil"/>
            </w:tcBorders>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165.0</w:t>
            </w:r>
          </w:p>
        </w:tc>
        <w:tc>
          <w:tcPr>
            <w:tcW w:w="1407" w:type="dxa"/>
            <w:tcBorders>
              <w:bottom w:val="nil"/>
            </w:tcBorders>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0</w:t>
            </w:r>
          </w:p>
        </w:tc>
        <w:tc>
          <w:tcPr>
            <w:tcW w:w="1407" w:type="dxa"/>
            <w:tcBorders>
              <w:bottom w:val="nil"/>
            </w:tcBorders>
            <w:vAlign w:val="center"/>
          </w:tcPr>
          <w:p w:rsidR="00321684" w:rsidRPr="00DF3703" w:rsidRDefault="00321684" w:rsidP="00321684">
            <w:pPr>
              <w:jc w:val="right"/>
              <w:rPr>
                <w:rFonts w:ascii="Arial" w:hAnsi="Arial" w:cs="Arial"/>
                <w:color w:val="000000"/>
                <w:sz w:val="20"/>
              </w:rPr>
            </w:pPr>
            <w:r w:rsidRPr="00DF3703">
              <w:rPr>
                <w:rFonts w:ascii="Arial" w:hAnsi="Arial" w:cs="Arial"/>
                <w:color w:val="000000"/>
                <w:sz w:val="20"/>
              </w:rPr>
              <w:t>509.3</w:t>
            </w:r>
          </w:p>
        </w:tc>
      </w:tr>
      <w:tr w:rsidR="000135AC" w:rsidRPr="00DF3703" w:rsidTr="00080718">
        <w:tc>
          <w:tcPr>
            <w:tcW w:w="1405" w:type="dxa"/>
            <w:tcBorders>
              <w:top w:val="nil"/>
              <w:bottom w:val="single" w:sz="12" w:space="0" w:color="002776"/>
            </w:tcBorders>
          </w:tcPr>
          <w:p w:rsidR="000135AC" w:rsidRPr="00DF3703" w:rsidRDefault="006B7D88" w:rsidP="00080718">
            <w:pPr>
              <w:pStyle w:val="TableHeadingLeft"/>
              <w:jc w:val="both"/>
              <w:rPr>
                <w:rFonts w:ascii="Arial" w:hAnsi="Arial" w:cs="Arial"/>
              </w:rPr>
            </w:pPr>
            <w:r w:rsidRPr="00DF3703">
              <w:rPr>
                <w:rFonts w:ascii="Arial" w:hAnsi="Arial" w:cs="Arial"/>
              </w:rPr>
              <w:t>Total</w:t>
            </w:r>
          </w:p>
        </w:tc>
        <w:tc>
          <w:tcPr>
            <w:tcW w:w="1538" w:type="dxa"/>
            <w:tcBorders>
              <w:top w:val="nil"/>
              <w:bottom w:val="single" w:sz="12" w:space="0" w:color="002776"/>
            </w:tcBorders>
            <w:vAlign w:val="center"/>
          </w:tcPr>
          <w:p w:rsidR="000135AC" w:rsidRPr="00DF3703" w:rsidRDefault="006B7D88" w:rsidP="00080718">
            <w:pPr>
              <w:pStyle w:val="TableHeadingLeft"/>
              <w:jc w:val="right"/>
              <w:rPr>
                <w:rFonts w:ascii="Arial" w:hAnsi="Arial" w:cs="Arial"/>
              </w:rPr>
            </w:pPr>
            <w:r w:rsidRPr="00DF3703">
              <w:rPr>
                <w:rFonts w:ascii="Arial" w:hAnsi="Arial" w:cs="Arial"/>
              </w:rPr>
              <w:t>1,101.8</w:t>
            </w:r>
          </w:p>
        </w:tc>
        <w:tc>
          <w:tcPr>
            <w:tcW w:w="1406" w:type="dxa"/>
            <w:tcBorders>
              <w:top w:val="nil"/>
              <w:bottom w:val="single" w:sz="12" w:space="0" w:color="002776"/>
            </w:tcBorders>
            <w:vAlign w:val="center"/>
          </w:tcPr>
          <w:p w:rsidR="000135AC" w:rsidRPr="00DF3703" w:rsidRDefault="006B7D88" w:rsidP="00080718">
            <w:pPr>
              <w:pStyle w:val="TableHeadingLeft"/>
              <w:jc w:val="right"/>
              <w:rPr>
                <w:rFonts w:ascii="Arial" w:hAnsi="Arial" w:cs="Arial"/>
              </w:rPr>
            </w:pPr>
            <w:r w:rsidRPr="00DF3703">
              <w:rPr>
                <w:rFonts w:ascii="Arial" w:hAnsi="Arial" w:cs="Arial"/>
              </w:rPr>
              <w:t>4,342.2</w:t>
            </w:r>
          </w:p>
        </w:tc>
        <w:tc>
          <w:tcPr>
            <w:tcW w:w="1406" w:type="dxa"/>
            <w:tcBorders>
              <w:top w:val="nil"/>
              <w:bottom w:val="single" w:sz="12" w:space="0" w:color="002776"/>
            </w:tcBorders>
            <w:vAlign w:val="center"/>
          </w:tcPr>
          <w:p w:rsidR="000135AC" w:rsidRPr="00DF3703" w:rsidRDefault="006B7D88" w:rsidP="00080718">
            <w:pPr>
              <w:pStyle w:val="TableHeadingLeft"/>
              <w:jc w:val="right"/>
              <w:rPr>
                <w:rFonts w:ascii="Arial" w:hAnsi="Arial" w:cs="Arial"/>
              </w:rPr>
            </w:pPr>
            <w:r w:rsidRPr="00DF3703">
              <w:rPr>
                <w:rFonts w:ascii="Arial" w:hAnsi="Arial" w:cs="Arial"/>
              </w:rPr>
              <w:t>931.5</w:t>
            </w:r>
          </w:p>
        </w:tc>
        <w:tc>
          <w:tcPr>
            <w:tcW w:w="1407" w:type="dxa"/>
            <w:tcBorders>
              <w:top w:val="nil"/>
              <w:bottom w:val="single" w:sz="12" w:space="0" w:color="002776"/>
            </w:tcBorders>
            <w:vAlign w:val="bottom"/>
          </w:tcPr>
          <w:p w:rsidR="000135AC" w:rsidRPr="00DF3703" w:rsidRDefault="006B7D88" w:rsidP="00080718">
            <w:pPr>
              <w:pStyle w:val="TableHeadingLeft"/>
              <w:jc w:val="right"/>
              <w:rPr>
                <w:rFonts w:ascii="Arial" w:hAnsi="Arial" w:cs="Arial"/>
              </w:rPr>
            </w:pPr>
            <w:r w:rsidRPr="00DF3703">
              <w:rPr>
                <w:rFonts w:ascii="Arial" w:hAnsi="Arial" w:cs="Arial"/>
              </w:rPr>
              <w:t>35.1</w:t>
            </w:r>
          </w:p>
        </w:tc>
        <w:tc>
          <w:tcPr>
            <w:tcW w:w="1407" w:type="dxa"/>
            <w:tcBorders>
              <w:top w:val="nil"/>
              <w:bottom w:val="single" w:sz="12" w:space="0" w:color="002776"/>
            </w:tcBorders>
            <w:vAlign w:val="bottom"/>
          </w:tcPr>
          <w:p w:rsidR="000135AC" w:rsidRPr="00DF3703" w:rsidRDefault="006B7D88" w:rsidP="00080718">
            <w:pPr>
              <w:pStyle w:val="TableHeadingLeft"/>
              <w:jc w:val="right"/>
              <w:rPr>
                <w:rFonts w:ascii="Arial" w:hAnsi="Arial" w:cs="Arial"/>
              </w:rPr>
            </w:pPr>
            <w:r w:rsidRPr="00DF3703">
              <w:rPr>
                <w:rFonts w:ascii="Arial" w:hAnsi="Arial" w:cs="Arial"/>
              </w:rPr>
              <w:t>6410.6</w:t>
            </w:r>
          </w:p>
        </w:tc>
      </w:tr>
    </w:tbl>
    <w:p w:rsidR="000135AC" w:rsidRPr="00DF3703" w:rsidRDefault="006B7D88" w:rsidP="000135AC">
      <w:pPr>
        <w:pStyle w:val="Source"/>
        <w:rPr>
          <w:rFonts w:ascii="Arial" w:hAnsi="Arial"/>
        </w:rPr>
      </w:pPr>
      <w:r w:rsidRPr="00DF3703">
        <w:rPr>
          <w:rFonts w:ascii="Arial" w:hAnsi="Arial"/>
        </w:rPr>
        <w:t>Source: TRA 2012, Deloitte Access Economics.</w:t>
      </w:r>
    </w:p>
    <w:p w:rsidR="00321684" w:rsidRPr="00DF3703" w:rsidRDefault="006B7D88" w:rsidP="000135AC">
      <w:pPr>
        <w:pStyle w:val="BodyText"/>
        <w:rPr>
          <w:rFonts w:ascii="Arial" w:hAnsi="Arial" w:cs="Arial"/>
        </w:rPr>
      </w:pPr>
      <w:r w:rsidRPr="00DF3703">
        <w:rPr>
          <w:rFonts w:ascii="Arial" w:hAnsi="Arial" w:cs="Arial"/>
        </w:rPr>
        <w:t>This expenditure was then converted into estimated value added and employment</w:t>
      </w:r>
      <w:r w:rsidR="00321684" w:rsidRPr="00DF3703">
        <w:rPr>
          <w:rFonts w:ascii="Arial" w:hAnsi="Arial" w:cs="Arial"/>
        </w:rPr>
        <w:t xml:space="preserve">, using the input output table methodology outlined in </w:t>
      </w:r>
      <w:fldSimple w:instr=" REF _Ref347920071 \r \h  \* MERGEFORMAT ">
        <w:r w:rsidR="00536D7E" w:rsidRPr="00536D7E">
          <w:rPr>
            <w:rFonts w:ascii="Arial" w:hAnsi="Arial" w:cs="Arial"/>
          </w:rPr>
          <w:t>Appendix B</w:t>
        </w:r>
      </w:fldSimple>
      <w:r w:rsidRPr="00DF3703">
        <w:rPr>
          <w:rFonts w:ascii="Arial" w:hAnsi="Arial" w:cs="Arial"/>
        </w:rPr>
        <w:t>.  The $6.4 billion in tourism expenditure in the NRM regions resulted in a total direct economic</w:t>
      </w:r>
      <w:r w:rsidR="00321684" w:rsidRPr="00DF3703">
        <w:rPr>
          <w:rFonts w:ascii="Arial" w:hAnsi="Arial" w:cs="Arial"/>
        </w:rPr>
        <w:t xml:space="preserve"> contribution of $2.9 billion</w:t>
      </w:r>
      <w:r w:rsidR="00630F3C" w:rsidRPr="00DF3703">
        <w:rPr>
          <w:rFonts w:ascii="Arial" w:hAnsi="Arial" w:cs="Arial"/>
        </w:rPr>
        <w:t xml:space="preserve">, as outlined in </w:t>
      </w:r>
      <w:fldSimple w:instr=" REF _Ref343198601 \r \h  \* MERGEFORMAT ">
        <w:r w:rsidR="00536D7E" w:rsidRPr="00536D7E">
          <w:rPr>
            <w:rFonts w:ascii="Arial" w:hAnsi="Arial" w:cs="Arial"/>
          </w:rPr>
          <w:t>Table 3.9</w:t>
        </w:r>
      </w:fldSimple>
      <w:r w:rsidR="00321684" w:rsidRPr="00DF3703">
        <w:rPr>
          <w:rFonts w:ascii="Arial" w:hAnsi="Arial" w:cs="Arial"/>
        </w:rPr>
        <w:t>.</w:t>
      </w:r>
    </w:p>
    <w:p w:rsidR="000135AC" w:rsidRPr="00DF3703" w:rsidRDefault="006B7D88" w:rsidP="000135AC">
      <w:pPr>
        <w:pStyle w:val="BodyText"/>
        <w:rPr>
          <w:rFonts w:ascii="Arial" w:hAnsi="Arial" w:cs="Arial"/>
        </w:rPr>
      </w:pPr>
      <w:r w:rsidRPr="00DF3703">
        <w:rPr>
          <w:rFonts w:ascii="Arial" w:hAnsi="Arial" w:cs="Arial"/>
        </w:rPr>
        <w:t xml:space="preserve">The indirect contribution of tourism was estimated to be $2.3 billion which was split between the </w:t>
      </w:r>
      <w:r w:rsidR="003C4DCF" w:rsidRPr="00DF3703">
        <w:rPr>
          <w:rFonts w:ascii="Arial" w:hAnsi="Arial" w:cs="Arial"/>
        </w:rPr>
        <w:t>Great Barrier Reef Region</w:t>
      </w:r>
      <w:r w:rsidRPr="00DF3703">
        <w:rPr>
          <w:rFonts w:ascii="Arial" w:hAnsi="Arial" w:cs="Arial"/>
        </w:rPr>
        <w:t>, the rest of Queensland and the rest of Australia.  This indirect contribution captures the value added associated with the purchase o</w:t>
      </w:r>
      <w:r w:rsidR="00321684" w:rsidRPr="00DF3703">
        <w:rPr>
          <w:rFonts w:ascii="Arial" w:hAnsi="Arial" w:cs="Arial"/>
        </w:rPr>
        <w:t>f intermediate inputs, like fuel or food and beverage</w:t>
      </w:r>
      <w:r w:rsidR="00E94796" w:rsidRPr="00DF3703">
        <w:rPr>
          <w:rFonts w:ascii="Arial" w:hAnsi="Arial" w:cs="Arial"/>
        </w:rPr>
        <w:t xml:space="preserve"> </w:t>
      </w:r>
      <w:r w:rsidRPr="00DF3703">
        <w:rPr>
          <w:rFonts w:ascii="Arial" w:hAnsi="Arial" w:cs="Arial"/>
        </w:rPr>
        <w:t xml:space="preserve">by tourism operators.  </w:t>
      </w:r>
    </w:p>
    <w:p w:rsidR="000135AC" w:rsidRPr="00DF3703" w:rsidRDefault="006B7D88" w:rsidP="000135AC">
      <w:pPr>
        <w:pStyle w:val="BodyText"/>
        <w:rPr>
          <w:rFonts w:ascii="Arial" w:hAnsi="Arial" w:cs="Arial"/>
        </w:rPr>
      </w:pPr>
      <w:r w:rsidRPr="00DF3703">
        <w:rPr>
          <w:rFonts w:ascii="Arial" w:hAnsi="Arial" w:cs="Arial"/>
        </w:rPr>
        <w:t>Tourism related activity was estimated to contribute to the employment of 63,985 people on a FTE (full time equivalent) basis</w:t>
      </w:r>
      <w:r w:rsidR="00E94796" w:rsidRPr="00DF3703">
        <w:rPr>
          <w:rFonts w:ascii="Arial" w:hAnsi="Arial" w:cs="Arial"/>
        </w:rPr>
        <w:t xml:space="preserve"> including</w:t>
      </w:r>
      <w:r w:rsidR="00FA0D74" w:rsidRPr="00DF3703">
        <w:rPr>
          <w:rFonts w:ascii="Arial" w:hAnsi="Arial" w:cs="Arial"/>
        </w:rPr>
        <w:t xml:space="preserve"> </w:t>
      </w:r>
      <w:r w:rsidRPr="00DF3703">
        <w:rPr>
          <w:rFonts w:ascii="Arial" w:hAnsi="Arial" w:cs="Arial"/>
        </w:rPr>
        <w:t xml:space="preserve">44,850 directly and almost 19,500 indirectly.  At a regional level, tourism was estimated to contribute almost 55,600 FTE jobs in the </w:t>
      </w:r>
      <w:r w:rsidR="00E94796" w:rsidRPr="00DF3703">
        <w:rPr>
          <w:rFonts w:ascii="Arial" w:hAnsi="Arial" w:cs="Arial"/>
        </w:rPr>
        <w:t>catchment</w:t>
      </w:r>
      <w:r w:rsidRPr="00DF3703">
        <w:rPr>
          <w:rFonts w:ascii="Arial" w:hAnsi="Arial" w:cs="Arial"/>
        </w:rPr>
        <w:t>.</w:t>
      </w:r>
    </w:p>
    <w:p w:rsidR="000135AC" w:rsidRPr="00DF3703" w:rsidRDefault="006B7D88" w:rsidP="00321684">
      <w:pPr>
        <w:pStyle w:val="CaptionTable"/>
        <w:ind w:left="0"/>
        <w:rPr>
          <w:rFonts w:ascii="Arial" w:hAnsi="Arial" w:cs="Arial"/>
        </w:rPr>
      </w:pPr>
      <w:bookmarkStart w:id="90" w:name="_Ref343198601"/>
      <w:bookmarkStart w:id="91" w:name="_Toc355701057"/>
      <w:r w:rsidRPr="00DF3703">
        <w:rPr>
          <w:rFonts w:ascii="Arial" w:hAnsi="Arial" w:cs="Arial"/>
        </w:rPr>
        <w:t>: Tourism expenditure, value added and employment ($m 2011-12)</w:t>
      </w:r>
      <w:bookmarkEnd w:id="90"/>
      <w:bookmarkEnd w:id="91"/>
    </w:p>
    <w:tbl>
      <w:tblPr>
        <w:tblStyle w:val="TableAE"/>
        <w:tblW w:w="0" w:type="auto"/>
        <w:tblLayout w:type="fixed"/>
        <w:tblLook w:val="04A0"/>
      </w:tblPr>
      <w:tblGrid>
        <w:gridCol w:w="2109"/>
        <w:gridCol w:w="2109"/>
        <w:gridCol w:w="2109"/>
        <w:gridCol w:w="2109"/>
      </w:tblGrid>
      <w:tr w:rsidR="000135AC" w:rsidRPr="00DF3703" w:rsidTr="00B25FCF">
        <w:trPr>
          <w:cnfStyle w:val="100000000000"/>
        </w:trPr>
        <w:tc>
          <w:tcPr>
            <w:tcW w:w="2109" w:type="dxa"/>
          </w:tcPr>
          <w:p w:rsidR="000135AC" w:rsidRPr="00DF3703" w:rsidRDefault="000135AC" w:rsidP="00B25FCF">
            <w:pPr>
              <w:pStyle w:val="TableHeadingCentre"/>
              <w:rPr>
                <w:rFonts w:ascii="Arial" w:hAnsi="Arial" w:cs="Arial"/>
              </w:rPr>
            </w:pPr>
          </w:p>
        </w:tc>
        <w:tc>
          <w:tcPr>
            <w:tcW w:w="2109" w:type="dxa"/>
          </w:tcPr>
          <w:p w:rsidR="000135AC" w:rsidRPr="00DF3703" w:rsidRDefault="006B7D88" w:rsidP="00B25FCF">
            <w:pPr>
              <w:pStyle w:val="TableHeadingCentre"/>
              <w:rPr>
                <w:rFonts w:ascii="Arial" w:hAnsi="Arial" w:cs="Arial"/>
              </w:rPr>
            </w:pPr>
            <w:r w:rsidRPr="00DF3703">
              <w:rPr>
                <w:rFonts w:ascii="Arial" w:hAnsi="Arial" w:cs="Arial"/>
              </w:rPr>
              <w:t>Expenditure</w:t>
            </w:r>
          </w:p>
        </w:tc>
        <w:tc>
          <w:tcPr>
            <w:tcW w:w="2109" w:type="dxa"/>
          </w:tcPr>
          <w:p w:rsidR="000135AC" w:rsidRPr="00DF3703" w:rsidRDefault="006B7D88" w:rsidP="00B25FCF">
            <w:pPr>
              <w:pStyle w:val="TableHeadingCentre"/>
              <w:rPr>
                <w:rFonts w:ascii="Arial" w:hAnsi="Arial" w:cs="Arial"/>
              </w:rPr>
            </w:pPr>
            <w:r w:rsidRPr="00DF3703">
              <w:rPr>
                <w:rFonts w:ascii="Arial" w:hAnsi="Arial" w:cs="Arial"/>
              </w:rPr>
              <w:t>Value added</w:t>
            </w:r>
          </w:p>
        </w:tc>
        <w:tc>
          <w:tcPr>
            <w:tcW w:w="2109" w:type="dxa"/>
          </w:tcPr>
          <w:p w:rsidR="000135AC" w:rsidRPr="00DF3703" w:rsidRDefault="006B7D88" w:rsidP="00B25FCF">
            <w:pPr>
              <w:pStyle w:val="TableHeadingCentre"/>
              <w:rPr>
                <w:rFonts w:ascii="Arial" w:hAnsi="Arial" w:cs="Arial"/>
              </w:rPr>
            </w:pPr>
            <w:r w:rsidRPr="00DF3703">
              <w:rPr>
                <w:rFonts w:ascii="Arial" w:hAnsi="Arial" w:cs="Arial"/>
              </w:rPr>
              <w:t>Employment</w:t>
            </w:r>
          </w:p>
        </w:tc>
      </w:tr>
      <w:tr w:rsidR="00321684" w:rsidRPr="00DF3703" w:rsidTr="00B25FCF">
        <w:tc>
          <w:tcPr>
            <w:tcW w:w="2109" w:type="dxa"/>
          </w:tcPr>
          <w:p w:rsidR="00321684" w:rsidRPr="00DF3703" w:rsidRDefault="00321684" w:rsidP="00B25FCF">
            <w:pPr>
              <w:pStyle w:val="TabletextLeft"/>
              <w:rPr>
                <w:rFonts w:ascii="Arial" w:hAnsi="Arial" w:cs="Arial"/>
                <w:sz w:val="21"/>
                <w:szCs w:val="21"/>
              </w:rPr>
            </w:pPr>
            <w:r w:rsidRPr="00DF3703">
              <w:rPr>
                <w:rFonts w:ascii="Arial" w:hAnsi="Arial" w:cs="Arial"/>
                <w:sz w:val="21"/>
                <w:szCs w:val="21"/>
                <w:lang w:eastAsia="en-AU"/>
              </w:rPr>
              <w:t>Torres Strait</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1.2</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0.5</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8</w:t>
            </w:r>
          </w:p>
        </w:tc>
      </w:tr>
      <w:tr w:rsidR="00321684" w:rsidRPr="00DF3703" w:rsidTr="00B25FCF">
        <w:tc>
          <w:tcPr>
            <w:tcW w:w="2109" w:type="dxa"/>
          </w:tcPr>
          <w:p w:rsidR="00321684" w:rsidRPr="00DF3703" w:rsidRDefault="00321684" w:rsidP="00B25FCF">
            <w:pPr>
              <w:rPr>
                <w:rFonts w:ascii="Arial" w:hAnsi="Arial" w:cs="Arial"/>
                <w:sz w:val="21"/>
                <w:szCs w:val="21"/>
                <w:lang w:eastAsia="en-AU"/>
              </w:rPr>
            </w:pPr>
            <w:r w:rsidRPr="00DF3703">
              <w:rPr>
                <w:rFonts w:ascii="Arial" w:hAnsi="Arial" w:cs="Arial"/>
                <w:sz w:val="21"/>
                <w:szCs w:val="21"/>
                <w:lang w:eastAsia="en-AU"/>
              </w:rPr>
              <w:t>Cape York</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185.1</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83.7</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1,295</w:t>
            </w:r>
          </w:p>
        </w:tc>
      </w:tr>
      <w:tr w:rsidR="00321684" w:rsidRPr="00DF3703" w:rsidTr="00B25FCF">
        <w:tc>
          <w:tcPr>
            <w:tcW w:w="2109" w:type="dxa"/>
          </w:tcPr>
          <w:p w:rsidR="00321684" w:rsidRPr="00DF3703" w:rsidRDefault="00321684" w:rsidP="00B25FCF">
            <w:pPr>
              <w:rPr>
                <w:rFonts w:ascii="Arial" w:hAnsi="Arial" w:cs="Arial"/>
                <w:sz w:val="21"/>
                <w:szCs w:val="21"/>
                <w:lang w:eastAsia="en-AU"/>
              </w:rPr>
            </w:pPr>
            <w:r w:rsidRPr="00DF3703">
              <w:rPr>
                <w:rFonts w:ascii="Arial" w:hAnsi="Arial" w:cs="Arial"/>
                <w:sz w:val="21"/>
                <w:szCs w:val="21"/>
                <w:lang w:eastAsia="en-AU"/>
              </w:rPr>
              <w:t>Wet Tropics</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2,594.5</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1,173.4</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18,152</w:t>
            </w:r>
          </w:p>
        </w:tc>
      </w:tr>
      <w:tr w:rsidR="00321684" w:rsidRPr="00DF3703" w:rsidTr="00B25FCF">
        <w:tc>
          <w:tcPr>
            <w:tcW w:w="2109" w:type="dxa"/>
          </w:tcPr>
          <w:p w:rsidR="00321684" w:rsidRPr="00DF3703" w:rsidRDefault="00321684" w:rsidP="00B25FCF">
            <w:pPr>
              <w:rPr>
                <w:rFonts w:ascii="Arial" w:hAnsi="Arial" w:cs="Arial"/>
                <w:sz w:val="21"/>
                <w:szCs w:val="21"/>
                <w:lang w:eastAsia="en-AU"/>
              </w:rPr>
            </w:pPr>
            <w:r w:rsidRPr="00DF3703">
              <w:rPr>
                <w:rFonts w:ascii="Arial" w:hAnsi="Arial" w:cs="Arial"/>
                <w:sz w:val="21"/>
                <w:szCs w:val="21"/>
                <w:lang w:eastAsia="en-AU"/>
              </w:rPr>
              <w:t>Burdekin</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1,045.2</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472.7</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7,312</w:t>
            </w:r>
          </w:p>
        </w:tc>
      </w:tr>
      <w:tr w:rsidR="00321684" w:rsidRPr="00DF3703" w:rsidTr="00B25FCF">
        <w:tc>
          <w:tcPr>
            <w:tcW w:w="2109" w:type="dxa"/>
          </w:tcPr>
          <w:p w:rsidR="00321684" w:rsidRPr="00DF3703" w:rsidRDefault="00321684" w:rsidP="00B25FCF">
            <w:pPr>
              <w:rPr>
                <w:rFonts w:ascii="Arial" w:hAnsi="Arial" w:cs="Arial"/>
                <w:sz w:val="21"/>
                <w:szCs w:val="21"/>
                <w:lang w:eastAsia="en-AU"/>
              </w:rPr>
            </w:pPr>
            <w:r w:rsidRPr="00DF3703">
              <w:rPr>
                <w:rFonts w:ascii="Arial" w:hAnsi="Arial" w:cs="Arial"/>
                <w:sz w:val="21"/>
                <w:szCs w:val="21"/>
                <w:lang w:eastAsia="en-AU"/>
              </w:rPr>
              <w:t>Mackay Whitsunday</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1,018.3</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460.5</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7,125</w:t>
            </w:r>
          </w:p>
        </w:tc>
      </w:tr>
      <w:tr w:rsidR="00321684" w:rsidRPr="00DF3703" w:rsidTr="00B25FCF">
        <w:tc>
          <w:tcPr>
            <w:tcW w:w="2109" w:type="dxa"/>
          </w:tcPr>
          <w:p w:rsidR="00321684" w:rsidRPr="00DF3703" w:rsidRDefault="00321684" w:rsidP="00B25FCF">
            <w:pPr>
              <w:rPr>
                <w:rFonts w:ascii="Arial" w:hAnsi="Arial" w:cs="Arial"/>
                <w:sz w:val="21"/>
                <w:szCs w:val="21"/>
                <w:lang w:eastAsia="en-AU"/>
              </w:rPr>
            </w:pPr>
            <w:r w:rsidRPr="00DF3703">
              <w:rPr>
                <w:rFonts w:ascii="Arial" w:hAnsi="Arial" w:cs="Arial"/>
                <w:sz w:val="21"/>
                <w:szCs w:val="21"/>
                <w:lang w:eastAsia="en-AU"/>
              </w:rPr>
              <w:t>Fitzroy</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1,057.0</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478.0</w:t>
            </w:r>
          </w:p>
        </w:tc>
        <w:tc>
          <w:tcPr>
            <w:tcW w:w="2109" w:type="dxa"/>
            <w:vAlign w:val="bottom"/>
          </w:tcPr>
          <w:p w:rsidR="00321684" w:rsidRPr="00DF3703" w:rsidRDefault="00321684" w:rsidP="00630F3C">
            <w:pPr>
              <w:jc w:val="right"/>
              <w:rPr>
                <w:rFonts w:ascii="Arial" w:hAnsi="Arial" w:cs="Arial"/>
                <w:sz w:val="20"/>
              </w:rPr>
            </w:pPr>
            <w:r w:rsidRPr="00DF3703">
              <w:rPr>
                <w:rFonts w:ascii="Arial" w:hAnsi="Arial" w:cs="Arial"/>
                <w:sz w:val="20"/>
              </w:rPr>
              <w:t>7,395</w:t>
            </w:r>
          </w:p>
        </w:tc>
      </w:tr>
      <w:tr w:rsidR="00321684" w:rsidRPr="00DF3703" w:rsidTr="00B25FCF">
        <w:tc>
          <w:tcPr>
            <w:tcW w:w="2109" w:type="dxa"/>
            <w:tcBorders>
              <w:bottom w:val="single" w:sz="12" w:space="0" w:color="002776"/>
            </w:tcBorders>
          </w:tcPr>
          <w:p w:rsidR="00321684" w:rsidRPr="00DF3703" w:rsidRDefault="00321684" w:rsidP="00B25FCF">
            <w:pPr>
              <w:rPr>
                <w:rFonts w:ascii="Arial" w:hAnsi="Arial" w:cs="Arial"/>
                <w:sz w:val="21"/>
                <w:szCs w:val="21"/>
                <w:lang w:eastAsia="en-AU"/>
              </w:rPr>
            </w:pPr>
            <w:r w:rsidRPr="00DF3703">
              <w:rPr>
                <w:rFonts w:ascii="Arial" w:hAnsi="Arial" w:cs="Arial"/>
                <w:sz w:val="21"/>
                <w:szCs w:val="21"/>
                <w:lang w:eastAsia="en-AU"/>
              </w:rPr>
              <w:t>Burnett Mary</w:t>
            </w:r>
          </w:p>
        </w:tc>
        <w:tc>
          <w:tcPr>
            <w:tcW w:w="2109" w:type="dxa"/>
            <w:tcBorders>
              <w:bottom w:val="single" w:sz="12" w:space="0" w:color="002776"/>
            </w:tcBorders>
            <w:vAlign w:val="bottom"/>
          </w:tcPr>
          <w:p w:rsidR="00321684" w:rsidRPr="00DF3703" w:rsidRDefault="00321684" w:rsidP="00630F3C">
            <w:pPr>
              <w:jc w:val="right"/>
              <w:rPr>
                <w:rFonts w:ascii="Arial" w:hAnsi="Arial" w:cs="Arial"/>
                <w:sz w:val="20"/>
              </w:rPr>
            </w:pPr>
            <w:r w:rsidRPr="00DF3703">
              <w:rPr>
                <w:rFonts w:ascii="Arial" w:hAnsi="Arial" w:cs="Arial"/>
                <w:sz w:val="20"/>
              </w:rPr>
              <w:t>509.3</w:t>
            </w:r>
          </w:p>
        </w:tc>
        <w:tc>
          <w:tcPr>
            <w:tcW w:w="2109" w:type="dxa"/>
            <w:tcBorders>
              <w:bottom w:val="single" w:sz="12" w:space="0" w:color="002776"/>
            </w:tcBorders>
            <w:vAlign w:val="bottom"/>
          </w:tcPr>
          <w:p w:rsidR="00321684" w:rsidRPr="00DF3703" w:rsidRDefault="00321684" w:rsidP="00630F3C">
            <w:pPr>
              <w:jc w:val="right"/>
              <w:rPr>
                <w:rFonts w:ascii="Arial" w:hAnsi="Arial" w:cs="Arial"/>
                <w:sz w:val="20"/>
              </w:rPr>
            </w:pPr>
            <w:r w:rsidRPr="00DF3703">
              <w:rPr>
                <w:rFonts w:ascii="Arial" w:hAnsi="Arial" w:cs="Arial"/>
                <w:sz w:val="20"/>
              </w:rPr>
              <w:t>230.3</w:t>
            </w:r>
          </w:p>
        </w:tc>
        <w:tc>
          <w:tcPr>
            <w:tcW w:w="2109" w:type="dxa"/>
            <w:tcBorders>
              <w:bottom w:val="single" w:sz="12" w:space="0" w:color="002776"/>
            </w:tcBorders>
            <w:vAlign w:val="bottom"/>
          </w:tcPr>
          <w:p w:rsidR="00321684" w:rsidRPr="00DF3703" w:rsidRDefault="00321684" w:rsidP="00630F3C">
            <w:pPr>
              <w:jc w:val="right"/>
              <w:rPr>
                <w:rFonts w:ascii="Arial" w:hAnsi="Arial" w:cs="Arial"/>
                <w:sz w:val="20"/>
              </w:rPr>
            </w:pPr>
            <w:r w:rsidRPr="00DF3703">
              <w:rPr>
                <w:rFonts w:ascii="Arial" w:hAnsi="Arial" w:cs="Arial"/>
                <w:sz w:val="20"/>
              </w:rPr>
              <w:t>3,563</w:t>
            </w:r>
          </w:p>
        </w:tc>
      </w:tr>
      <w:tr w:rsidR="000135AC" w:rsidRPr="00DF3703" w:rsidTr="00B25FCF">
        <w:tc>
          <w:tcPr>
            <w:tcW w:w="2109" w:type="dxa"/>
            <w:tcBorders>
              <w:top w:val="single" w:sz="12" w:space="0" w:color="002776"/>
              <w:bottom w:val="single" w:sz="12" w:space="0" w:color="002776"/>
            </w:tcBorders>
          </w:tcPr>
          <w:p w:rsidR="000135AC" w:rsidRPr="00DF3703" w:rsidRDefault="006B7D88" w:rsidP="00B25FCF">
            <w:pPr>
              <w:pStyle w:val="TabletextLeft"/>
              <w:rPr>
                <w:rFonts w:ascii="Arial" w:hAnsi="Arial" w:cs="Arial"/>
                <w:sz w:val="21"/>
                <w:szCs w:val="21"/>
              </w:rPr>
            </w:pPr>
            <w:r w:rsidRPr="00DF3703">
              <w:rPr>
                <w:rFonts w:ascii="Arial" w:hAnsi="Arial" w:cs="Arial"/>
                <w:sz w:val="21"/>
                <w:szCs w:val="21"/>
              </w:rPr>
              <w:t>Total direct</w:t>
            </w:r>
          </w:p>
        </w:tc>
        <w:tc>
          <w:tcPr>
            <w:tcW w:w="2109" w:type="dxa"/>
            <w:tcBorders>
              <w:top w:val="single" w:sz="12" w:space="0" w:color="002776"/>
              <w:bottom w:val="single" w:sz="12" w:space="0" w:color="002776"/>
            </w:tcBorders>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6,410.6</w:t>
            </w:r>
          </w:p>
        </w:tc>
        <w:tc>
          <w:tcPr>
            <w:tcW w:w="2109" w:type="dxa"/>
            <w:tcBorders>
              <w:top w:val="single" w:sz="12" w:space="0" w:color="002776"/>
              <w:bottom w:val="single" w:sz="12" w:space="0" w:color="002776"/>
            </w:tcBorders>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2,899.2</w:t>
            </w:r>
          </w:p>
        </w:tc>
        <w:tc>
          <w:tcPr>
            <w:tcW w:w="2109" w:type="dxa"/>
            <w:tcBorders>
              <w:top w:val="single" w:sz="12" w:space="0" w:color="002776"/>
              <w:bottom w:val="single" w:sz="12" w:space="0" w:color="002776"/>
            </w:tcBorders>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44,851</w:t>
            </w:r>
          </w:p>
        </w:tc>
      </w:tr>
      <w:tr w:rsidR="000135AC" w:rsidRPr="00DF3703" w:rsidTr="00B25FCF">
        <w:tc>
          <w:tcPr>
            <w:tcW w:w="2109" w:type="dxa"/>
            <w:tcBorders>
              <w:top w:val="single" w:sz="12" w:space="0" w:color="002776"/>
            </w:tcBorders>
          </w:tcPr>
          <w:p w:rsidR="000135AC" w:rsidRPr="00DF3703" w:rsidRDefault="006B7D88" w:rsidP="00285C48">
            <w:pPr>
              <w:pStyle w:val="TabletextLeft"/>
              <w:rPr>
                <w:rFonts w:ascii="Arial" w:hAnsi="Arial" w:cs="Arial"/>
                <w:sz w:val="21"/>
                <w:szCs w:val="21"/>
              </w:rPr>
            </w:pPr>
            <w:r w:rsidRPr="00DF3703">
              <w:rPr>
                <w:rFonts w:ascii="Arial" w:hAnsi="Arial" w:cs="Arial"/>
                <w:sz w:val="21"/>
                <w:szCs w:val="21"/>
              </w:rPr>
              <w:t xml:space="preserve">Indirect </w:t>
            </w:r>
            <w:r w:rsidR="00285C48" w:rsidRPr="00DF3703">
              <w:rPr>
                <w:rFonts w:ascii="Arial" w:hAnsi="Arial" w:cs="Arial"/>
                <w:sz w:val="21"/>
                <w:szCs w:val="21"/>
              </w:rPr>
              <w:t>Catchment</w:t>
            </w:r>
          </w:p>
        </w:tc>
        <w:tc>
          <w:tcPr>
            <w:tcW w:w="2109" w:type="dxa"/>
            <w:tcBorders>
              <w:top w:val="single" w:sz="12" w:space="0" w:color="002776"/>
            </w:tcBorders>
            <w:vAlign w:val="bottom"/>
          </w:tcPr>
          <w:p w:rsidR="000135AC" w:rsidRPr="00DF3703" w:rsidRDefault="000135AC" w:rsidP="00B25FCF">
            <w:pPr>
              <w:jc w:val="right"/>
              <w:rPr>
                <w:rFonts w:ascii="Arial" w:hAnsi="Arial" w:cs="Arial"/>
                <w:sz w:val="21"/>
                <w:szCs w:val="21"/>
              </w:rPr>
            </w:pPr>
          </w:p>
        </w:tc>
        <w:tc>
          <w:tcPr>
            <w:tcW w:w="2109" w:type="dxa"/>
            <w:tcBorders>
              <w:top w:val="single" w:sz="12" w:space="0" w:color="002776"/>
            </w:tcBorders>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1,127.6</w:t>
            </w:r>
          </w:p>
        </w:tc>
        <w:tc>
          <w:tcPr>
            <w:tcW w:w="2109" w:type="dxa"/>
            <w:tcBorders>
              <w:top w:val="single" w:sz="12" w:space="0" w:color="002776"/>
            </w:tcBorders>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10,751</w:t>
            </w:r>
          </w:p>
        </w:tc>
      </w:tr>
      <w:tr w:rsidR="000135AC" w:rsidRPr="00DF3703" w:rsidTr="00B25FCF">
        <w:tc>
          <w:tcPr>
            <w:tcW w:w="2109" w:type="dxa"/>
          </w:tcPr>
          <w:p w:rsidR="000135AC" w:rsidRPr="00DF3703" w:rsidRDefault="006B7D88" w:rsidP="00B25FCF">
            <w:pPr>
              <w:pStyle w:val="TabletextLeft"/>
              <w:rPr>
                <w:rFonts w:ascii="Arial" w:hAnsi="Arial" w:cs="Arial"/>
                <w:sz w:val="21"/>
                <w:szCs w:val="21"/>
              </w:rPr>
            </w:pPr>
            <w:r w:rsidRPr="00DF3703">
              <w:rPr>
                <w:rFonts w:ascii="Arial" w:hAnsi="Arial" w:cs="Arial"/>
                <w:sz w:val="21"/>
                <w:szCs w:val="21"/>
              </w:rPr>
              <w:t>Indirect Rest of Qld</w:t>
            </w:r>
          </w:p>
        </w:tc>
        <w:tc>
          <w:tcPr>
            <w:tcW w:w="2109" w:type="dxa"/>
            <w:vAlign w:val="bottom"/>
          </w:tcPr>
          <w:p w:rsidR="000135AC" w:rsidRPr="00DF3703" w:rsidRDefault="000135AC" w:rsidP="00B25FCF">
            <w:pPr>
              <w:jc w:val="right"/>
              <w:rPr>
                <w:rFonts w:ascii="Arial" w:hAnsi="Arial" w:cs="Arial"/>
                <w:sz w:val="21"/>
                <w:szCs w:val="21"/>
              </w:rPr>
            </w:pPr>
          </w:p>
        </w:tc>
        <w:tc>
          <w:tcPr>
            <w:tcW w:w="2109" w:type="dxa"/>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172.0</w:t>
            </w:r>
          </w:p>
        </w:tc>
        <w:tc>
          <w:tcPr>
            <w:tcW w:w="2109" w:type="dxa"/>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1,266</w:t>
            </w:r>
          </w:p>
        </w:tc>
      </w:tr>
      <w:tr w:rsidR="000135AC" w:rsidRPr="00DF3703" w:rsidTr="00080718">
        <w:tc>
          <w:tcPr>
            <w:tcW w:w="2109" w:type="dxa"/>
            <w:tcBorders>
              <w:bottom w:val="nil"/>
            </w:tcBorders>
          </w:tcPr>
          <w:p w:rsidR="000135AC" w:rsidRPr="00DF3703" w:rsidRDefault="006B7D88" w:rsidP="00B25FCF">
            <w:pPr>
              <w:pStyle w:val="TabletextLeft"/>
              <w:rPr>
                <w:rFonts w:ascii="Arial" w:hAnsi="Arial" w:cs="Arial"/>
                <w:sz w:val="21"/>
                <w:szCs w:val="21"/>
              </w:rPr>
            </w:pPr>
            <w:r w:rsidRPr="00DF3703">
              <w:rPr>
                <w:rFonts w:ascii="Arial" w:hAnsi="Arial" w:cs="Arial"/>
                <w:sz w:val="21"/>
                <w:szCs w:val="21"/>
              </w:rPr>
              <w:t>Indirect Rest of Australia</w:t>
            </w:r>
          </w:p>
        </w:tc>
        <w:tc>
          <w:tcPr>
            <w:tcW w:w="2109" w:type="dxa"/>
            <w:tcBorders>
              <w:bottom w:val="nil"/>
            </w:tcBorders>
            <w:vAlign w:val="bottom"/>
          </w:tcPr>
          <w:p w:rsidR="000135AC" w:rsidRPr="00DF3703" w:rsidRDefault="000135AC" w:rsidP="00B25FCF">
            <w:pPr>
              <w:jc w:val="right"/>
              <w:rPr>
                <w:rFonts w:ascii="Arial" w:hAnsi="Arial" w:cs="Arial"/>
                <w:sz w:val="21"/>
                <w:szCs w:val="21"/>
              </w:rPr>
            </w:pPr>
          </w:p>
        </w:tc>
        <w:tc>
          <w:tcPr>
            <w:tcW w:w="2109" w:type="dxa"/>
            <w:tcBorders>
              <w:bottom w:val="nil"/>
            </w:tcBorders>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976.7</w:t>
            </w:r>
          </w:p>
        </w:tc>
        <w:tc>
          <w:tcPr>
            <w:tcW w:w="2109" w:type="dxa"/>
            <w:tcBorders>
              <w:bottom w:val="nil"/>
            </w:tcBorders>
            <w:vAlign w:val="bottom"/>
          </w:tcPr>
          <w:p w:rsidR="000135AC" w:rsidRPr="00DF3703" w:rsidRDefault="006B7D88" w:rsidP="00B25FCF">
            <w:pPr>
              <w:jc w:val="right"/>
              <w:rPr>
                <w:rFonts w:ascii="Arial" w:hAnsi="Arial" w:cs="Arial"/>
                <w:sz w:val="21"/>
                <w:szCs w:val="21"/>
              </w:rPr>
            </w:pPr>
            <w:r w:rsidRPr="00DF3703">
              <w:rPr>
                <w:rFonts w:ascii="Arial" w:hAnsi="Arial" w:cs="Arial"/>
                <w:sz w:val="21"/>
                <w:szCs w:val="21"/>
              </w:rPr>
              <w:t>7,470</w:t>
            </w:r>
          </w:p>
        </w:tc>
      </w:tr>
      <w:tr w:rsidR="000135AC" w:rsidRPr="00DF3703" w:rsidTr="00080718">
        <w:tc>
          <w:tcPr>
            <w:tcW w:w="2109" w:type="dxa"/>
            <w:tcBorders>
              <w:top w:val="nil"/>
              <w:bottom w:val="single" w:sz="12" w:space="0" w:color="002776"/>
            </w:tcBorders>
          </w:tcPr>
          <w:p w:rsidR="000135AC" w:rsidRPr="00DF3703" w:rsidRDefault="006B7D88" w:rsidP="00080718">
            <w:pPr>
              <w:pStyle w:val="TableHeadingLeft"/>
              <w:rPr>
                <w:rFonts w:ascii="Arial" w:hAnsi="Arial" w:cs="Arial"/>
              </w:rPr>
            </w:pPr>
            <w:r w:rsidRPr="00DF3703">
              <w:rPr>
                <w:rFonts w:ascii="Arial" w:hAnsi="Arial" w:cs="Arial"/>
              </w:rPr>
              <w:t>Australia</w:t>
            </w:r>
          </w:p>
        </w:tc>
        <w:tc>
          <w:tcPr>
            <w:tcW w:w="2109" w:type="dxa"/>
            <w:tcBorders>
              <w:top w:val="nil"/>
              <w:bottom w:val="single" w:sz="12" w:space="0" w:color="002776"/>
            </w:tcBorders>
            <w:vAlign w:val="bottom"/>
          </w:tcPr>
          <w:p w:rsidR="000135AC" w:rsidRPr="00DF3703" w:rsidRDefault="000135AC" w:rsidP="00080718">
            <w:pPr>
              <w:pStyle w:val="TableHeadingLeft"/>
              <w:rPr>
                <w:rFonts w:ascii="Arial" w:hAnsi="Arial" w:cs="Arial"/>
              </w:rPr>
            </w:pPr>
          </w:p>
        </w:tc>
        <w:tc>
          <w:tcPr>
            <w:tcW w:w="2109" w:type="dxa"/>
            <w:tcBorders>
              <w:top w:val="nil"/>
              <w:bottom w:val="single" w:sz="12" w:space="0" w:color="002776"/>
            </w:tcBorders>
            <w:vAlign w:val="bottom"/>
          </w:tcPr>
          <w:p w:rsidR="000135AC" w:rsidRPr="00DF3703" w:rsidRDefault="006B7D88" w:rsidP="00080718">
            <w:pPr>
              <w:pStyle w:val="TableHeadingLeft"/>
              <w:jc w:val="right"/>
              <w:rPr>
                <w:rFonts w:ascii="Arial" w:hAnsi="Arial" w:cs="Arial"/>
              </w:rPr>
            </w:pPr>
            <w:r w:rsidRPr="00DF3703">
              <w:rPr>
                <w:rFonts w:ascii="Arial" w:hAnsi="Arial" w:cs="Arial"/>
              </w:rPr>
              <w:t>5,175.6</w:t>
            </w:r>
          </w:p>
        </w:tc>
        <w:tc>
          <w:tcPr>
            <w:tcW w:w="2109" w:type="dxa"/>
            <w:tcBorders>
              <w:top w:val="nil"/>
              <w:bottom w:val="single" w:sz="12" w:space="0" w:color="002776"/>
            </w:tcBorders>
            <w:vAlign w:val="bottom"/>
          </w:tcPr>
          <w:p w:rsidR="000135AC" w:rsidRPr="00DF3703" w:rsidRDefault="006B7D88" w:rsidP="00080718">
            <w:pPr>
              <w:pStyle w:val="TableHeadingLeft"/>
              <w:jc w:val="right"/>
              <w:rPr>
                <w:rFonts w:ascii="Arial" w:hAnsi="Arial" w:cs="Arial"/>
              </w:rPr>
            </w:pPr>
            <w:r w:rsidRPr="00DF3703">
              <w:rPr>
                <w:rFonts w:ascii="Arial" w:hAnsi="Arial" w:cs="Arial"/>
              </w:rPr>
              <w:t>64,338</w:t>
            </w:r>
          </w:p>
        </w:tc>
      </w:tr>
    </w:tbl>
    <w:p w:rsidR="009679BC" w:rsidRPr="00DF3703" w:rsidRDefault="006B7D88" w:rsidP="000135AC">
      <w:pPr>
        <w:pStyle w:val="Source"/>
        <w:rPr>
          <w:rFonts w:ascii="Arial" w:hAnsi="Arial"/>
        </w:rPr>
      </w:pPr>
      <w:r w:rsidRPr="00DF3703">
        <w:rPr>
          <w:rFonts w:ascii="Arial" w:hAnsi="Arial"/>
        </w:rPr>
        <w:t>Source: Deloitte Access Economics.</w:t>
      </w:r>
    </w:p>
    <w:p w:rsidR="003808FD" w:rsidRPr="00DF3703" w:rsidRDefault="006B7D88" w:rsidP="003808FD">
      <w:pPr>
        <w:pStyle w:val="BodyText"/>
        <w:rPr>
          <w:rFonts w:ascii="Arial" w:hAnsi="Arial" w:cs="Arial"/>
        </w:rPr>
      </w:pPr>
      <w:r w:rsidRPr="00DF3703">
        <w:rPr>
          <w:rFonts w:ascii="Arial" w:hAnsi="Arial" w:cs="Arial"/>
        </w:rPr>
        <w:lastRenderedPageBreak/>
        <w:t>Reflecting the distribution of economic activity detailed above, the largest share of the overall contribution is derived from activity in the Wet Tropics NRM region (</w:t>
      </w:r>
      <w:fldSimple w:instr=" REF _Ref340744818 \r \h  \* MERGEFORMAT ">
        <w:r w:rsidR="00536D7E" w:rsidRPr="00536D7E">
          <w:rPr>
            <w:rFonts w:ascii="Arial" w:hAnsi="Arial" w:cs="Arial"/>
          </w:rPr>
          <w:t>Chart 3.5</w:t>
        </w:r>
      </w:fldSimple>
      <w:r w:rsidRPr="00DF3703">
        <w:rPr>
          <w:rFonts w:ascii="Arial" w:hAnsi="Arial" w:cs="Arial"/>
        </w:rPr>
        <w:t>) and the majority of the contribution is derived from Holiday/Leisure travellers (</w:t>
      </w:r>
      <w:fldSimple w:instr=" REF _Ref340745073 \r \h  \* MERGEFORMAT ">
        <w:r w:rsidR="00536D7E" w:rsidRPr="00536D7E">
          <w:rPr>
            <w:rFonts w:ascii="Arial" w:hAnsi="Arial" w:cs="Arial"/>
          </w:rPr>
          <w:t>Chart 3.6</w:t>
        </w:r>
      </w:fldSimple>
      <w:r w:rsidRPr="00DF3703">
        <w:rPr>
          <w:rFonts w:ascii="Arial" w:hAnsi="Arial" w:cs="Arial"/>
        </w:rPr>
        <w:t xml:space="preserve">). </w:t>
      </w:r>
    </w:p>
    <w:p w:rsidR="003808FD" w:rsidRPr="00DF3703" w:rsidRDefault="006B7D88" w:rsidP="003808FD">
      <w:pPr>
        <w:pStyle w:val="CaptionChart"/>
        <w:rPr>
          <w:rFonts w:ascii="Arial" w:hAnsi="Arial" w:cs="Arial"/>
        </w:rPr>
      </w:pPr>
      <w:bookmarkStart w:id="92" w:name="_Ref340744818"/>
      <w:bookmarkStart w:id="93" w:name="_Toc355701043"/>
      <w:r w:rsidRPr="00DF3703">
        <w:rPr>
          <w:rFonts w:ascii="Arial" w:hAnsi="Arial" w:cs="Arial"/>
        </w:rPr>
        <w:t xml:space="preserve">: Share of tourism-related economic contribution to Australia, by </w:t>
      </w:r>
      <w:r w:rsidR="00285C48" w:rsidRPr="00DF3703">
        <w:rPr>
          <w:rFonts w:ascii="Arial" w:hAnsi="Arial" w:cs="Arial"/>
        </w:rPr>
        <w:t>NRM</w:t>
      </w:r>
      <w:r w:rsidRPr="00DF3703">
        <w:rPr>
          <w:rFonts w:ascii="Arial" w:hAnsi="Arial" w:cs="Arial"/>
        </w:rPr>
        <w:t xml:space="preserve"> region</w:t>
      </w:r>
      <w:bookmarkEnd w:id="92"/>
      <w:bookmarkEnd w:id="93"/>
    </w:p>
    <w:p w:rsidR="003808FD" w:rsidRPr="00DF3703" w:rsidRDefault="00A014AC" w:rsidP="003808FD">
      <w:pPr>
        <w:pStyle w:val="BodyText"/>
        <w:rPr>
          <w:rFonts w:ascii="Arial" w:hAnsi="Arial" w:cs="Arial"/>
        </w:rPr>
      </w:pPr>
      <w:r w:rsidRPr="00DF3703">
        <w:rPr>
          <w:noProof/>
          <w:lang w:eastAsia="en-AU"/>
        </w:rPr>
        <w:drawing>
          <wp:inline distT="0" distB="0" distL="0" distR="0">
            <wp:extent cx="4347713" cy="2937158"/>
            <wp:effectExtent l="0" t="0" r="0" b="0"/>
            <wp:docPr id="5" name="Picture 5" descr="Tourism related activity in the Wet tropics contributed 40.5%; Fitzroy 16.5%, Burdekin 16.3%, Mackay-Whitsundays 15.9%, Burnett Mary 7.9% and Cape York 2.9%. Torres Strait contributed less than 1% tot he national ec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7619" cy="2937094"/>
                    </a:xfrm>
                    <a:prstGeom prst="rect">
                      <a:avLst/>
                    </a:prstGeom>
                    <a:noFill/>
                    <a:ln>
                      <a:noFill/>
                    </a:ln>
                  </pic:spPr>
                </pic:pic>
              </a:graphicData>
            </a:graphic>
          </wp:inline>
        </w:drawing>
      </w:r>
    </w:p>
    <w:p w:rsidR="003808FD" w:rsidRPr="00DF3703" w:rsidRDefault="006B7D88" w:rsidP="003808FD">
      <w:pPr>
        <w:pStyle w:val="Source"/>
        <w:rPr>
          <w:rFonts w:ascii="Arial" w:hAnsi="Arial"/>
        </w:rPr>
      </w:pPr>
      <w:r w:rsidRPr="00DF3703">
        <w:rPr>
          <w:rFonts w:ascii="Arial" w:hAnsi="Arial"/>
        </w:rPr>
        <w:t>Source: Tourism Research Australia, Deloitte Access Economics estimates</w:t>
      </w:r>
    </w:p>
    <w:p w:rsidR="003808FD" w:rsidRPr="00DF3703" w:rsidRDefault="006B7D88" w:rsidP="003808FD">
      <w:pPr>
        <w:pStyle w:val="CaptionChart"/>
        <w:rPr>
          <w:rFonts w:ascii="Arial" w:hAnsi="Arial" w:cs="Arial"/>
        </w:rPr>
      </w:pPr>
      <w:bookmarkStart w:id="94" w:name="_Ref340745073"/>
      <w:bookmarkStart w:id="95" w:name="_Toc355701044"/>
      <w:r w:rsidRPr="00DF3703">
        <w:rPr>
          <w:rFonts w:ascii="Arial" w:hAnsi="Arial" w:cs="Arial"/>
        </w:rPr>
        <w:t>: Share of tourism-related economic contribution to Australia, by visitor type</w:t>
      </w:r>
      <w:bookmarkEnd w:id="94"/>
      <w:bookmarkEnd w:id="95"/>
    </w:p>
    <w:p w:rsidR="003808FD" w:rsidRPr="00DF3703" w:rsidRDefault="003747D4" w:rsidP="003808FD">
      <w:pPr>
        <w:pStyle w:val="Source"/>
        <w:rPr>
          <w:rFonts w:ascii="Arial" w:hAnsi="Arial"/>
        </w:rPr>
      </w:pPr>
      <w:r w:rsidRPr="00DF3703">
        <w:rPr>
          <w:rFonts w:ascii="Arial" w:hAnsi="Arial"/>
          <w:noProof/>
          <w:lang w:eastAsia="en-AU"/>
        </w:rPr>
        <w:drawing>
          <wp:inline distT="0" distB="0" distL="0" distR="0">
            <wp:extent cx="4745936" cy="3094329"/>
            <wp:effectExtent l="0" t="0" r="0" b="0"/>
            <wp:docPr id="17" name="Picture 17" descr="share of tourism-related economic contribution to Australia, by visitor type, with holiday and leisure travel contributing 57%, visiting friends and relatives 15%, business 18% and oth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239" cy="3099743"/>
                    </a:xfrm>
                    <a:prstGeom prst="rect">
                      <a:avLst/>
                    </a:prstGeom>
                    <a:noFill/>
                    <a:ln>
                      <a:noFill/>
                    </a:ln>
                  </pic:spPr>
                </pic:pic>
              </a:graphicData>
            </a:graphic>
          </wp:inline>
        </w:drawing>
      </w:r>
    </w:p>
    <w:p w:rsidR="003808FD" w:rsidRPr="00DF3703" w:rsidRDefault="006B7D88" w:rsidP="003808FD">
      <w:pPr>
        <w:pStyle w:val="Source"/>
        <w:rPr>
          <w:rFonts w:ascii="Arial" w:hAnsi="Arial"/>
        </w:rPr>
      </w:pPr>
      <w:r w:rsidRPr="00DF3703">
        <w:rPr>
          <w:rFonts w:ascii="Arial" w:hAnsi="Arial"/>
        </w:rPr>
        <w:t>Source: Tourism Research Australia, Deloitte Access Economics estimates</w:t>
      </w:r>
    </w:p>
    <w:p w:rsidR="003808FD" w:rsidRPr="00DF3703" w:rsidRDefault="006B7D88" w:rsidP="003808FD">
      <w:pPr>
        <w:pStyle w:val="BSubheading-Bluedk"/>
        <w:rPr>
          <w:rFonts w:cs="Arial"/>
        </w:rPr>
      </w:pPr>
      <w:bookmarkStart w:id="96" w:name="_Toc355700987"/>
      <w:r w:rsidRPr="00DF3703">
        <w:rPr>
          <w:rFonts w:cs="Arial"/>
        </w:rPr>
        <w:lastRenderedPageBreak/>
        <w:t>Cruise tourism</w:t>
      </w:r>
      <w:bookmarkEnd w:id="96"/>
    </w:p>
    <w:p w:rsidR="003808FD" w:rsidRPr="00DF3703" w:rsidRDefault="006B7D88" w:rsidP="003808FD">
      <w:pPr>
        <w:pStyle w:val="BodyText"/>
        <w:jc w:val="left"/>
        <w:rPr>
          <w:rFonts w:ascii="Arial" w:hAnsi="Arial" w:cs="Arial"/>
        </w:rPr>
      </w:pPr>
      <w:r w:rsidRPr="00DF3703">
        <w:rPr>
          <w:rFonts w:ascii="Arial" w:hAnsi="Arial" w:cs="Arial"/>
        </w:rPr>
        <w:t>Included in the tourism contribution outlined above is the cruise-related expenditure of $35 million.  The cruise sector contributes $28 million in total value added and just over 350 FTEs to the Australian economy.</w:t>
      </w:r>
    </w:p>
    <w:p w:rsidR="003808FD" w:rsidRPr="00DF3703" w:rsidRDefault="006B7D88" w:rsidP="003C37BC">
      <w:pPr>
        <w:pStyle w:val="CaptionTable"/>
        <w:ind w:left="0"/>
        <w:rPr>
          <w:rFonts w:ascii="Arial" w:hAnsi="Arial" w:cs="Arial"/>
        </w:rPr>
      </w:pPr>
      <w:bookmarkStart w:id="97" w:name="_Toc355701058"/>
      <w:r w:rsidRPr="00DF3703">
        <w:rPr>
          <w:rFonts w:ascii="Arial" w:hAnsi="Arial" w:cs="Arial"/>
        </w:rPr>
        <w:t xml:space="preserve">: Economic contribution of </w:t>
      </w:r>
      <w:r w:rsidR="00285C48" w:rsidRPr="00DF3703">
        <w:rPr>
          <w:rFonts w:ascii="Arial" w:hAnsi="Arial" w:cs="Arial"/>
        </w:rPr>
        <w:t>cruise ship</w:t>
      </w:r>
      <w:r w:rsidRPr="00DF3703">
        <w:rPr>
          <w:rFonts w:ascii="Arial" w:hAnsi="Arial" w:cs="Arial"/>
        </w:rPr>
        <w:t xml:space="preserve"> tourism activity to Australia, 2012</w:t>
      </w:r>
      <w:bookmarkEnd w:id="97"/>
    </w:p>
    <w:tbl>
      <w:tblPr>
        <w:tblStyle w:val="TableAEGrey"/>
        <w:tblW w:w="5000" w:type="pct"/>
        <w:tblLook w:val="04A0"/>
      </w:tblPr>
      <w:tblGrid>
        <w:gridCol w:w="2813"/>
        <w:gridCol w:w="2814"/>
        <w:gridCol w:w="2809"/>
      </w:tblGrid>
      <w:tr w:rsidR="003808FD" w:rsidRPr="00DF3703" w:rsidTr="003808FD">
        <w:trPr>
          <w:cnfStyle w:val="100000000000"/>
        </w:trPr>
        <w:tc>
          <w:tcPr>
            <w:tcW w:w="1667" w:type="pct"/>
            <w:shd w:val="clear" w:color="auto" w:fill="auto"/>
          </w:tcPr>
          <w:p w:rsidR="003808FD" w:rsidRPr="00DF3703" w:rsidRDefault="003808FD" w:rsidP="003808FD">
            <w:pPr>
              <w:pStyle w:val="TableHeadingRight"/>
              <w:jc w:val="left"/>
              <w:rPr>
                <w:rFonts w:ascii="Arial" w:hAnsi="Arial" w:cs="Arial"/>
                <w:color w:val="auto"/>
              </w:rPr>
            </w:pPr>
          </w:p>
        </w:tc>
        <w:tc>
          <w:tcPr>
            <w:tcW w:w="1668" w:type="pct"/>
            <w:shd w:val="clear" w:color="auto" w:fill="auto"/>
            <w:vAlign w:val="center"/>
          </w:tcPr>
          <w:p w:rsidR="003808FD" w:rsidRPr="00DF3703" w:rsidRDefault="006B7D88" w:rsidP="003808FD">
            <w:pPr>
              <w:pStyle w:val="TableHeadingCentre"/>
              <w:jc w:val="right"/>
              <w:rPr>
                <w:rFonts w:ascii="Arial" w:hAnsi="Arial" w:cs="Arial"/>
              </w:rPr>
            </w:pPr>
            <w:r w:rsidRPr="00DF3703">
              <w:rPr>
                <w:rFonts w:ascii="Arial" w:hAnsi="Arial" w:cs="Arial"/>
              </w:rPr>
              <w:t>Value-added</w:t>
            </w:r>
          </w:p>
          <w:p w:rsidR="003808FD" w:rsidRPr="00DF3703" w:rsidRDefault="006B7D88" w:rsidP="003808FD">
            <w:pPr>
              <w:pStyle w:val="TableHeadingCentre"/>
              <w:jc w:val="right"/>
              <w:rPr>
                <w:rFonts w:ascii="Arial" w:hAnsi="Arial" w:cs="Arial"/>
              </w:rPr>
            </w:pPr>
            <w:r w:rsidRPr="00DF3703">
              <w:rPr>
                <w:rFonts w:ascii="Arial" w:hAnsi="Arial" w:cs="Arial"/>
              </w:rPr>
              <w:t>($m)</w:t>
            </w:r>
          </w:p>
        </w:tc>
        <w:tc>
          <w:tcPr>
            <w:tcW w:w="1665" w:type="pct"/>
            <w:shd w:val="clear" w:color="auto" w:fill="auto"/>
            <w:vAlign w:val="center"/>
          </w:tcPr>
          <w:p w:rsidR="003808FD" w:rsidRPr="00DF3703" w:rsidRDefault="006B7D88" w:rsidP="003808FD">
            <w:pPr>
              <w:pStyle w:val="TableHeadingCentre"/>
              <w:jc w:val="right"/>
              <w:rPr>
                <w:rFonts w:ascii="Arial" w:hAnsi="Arial" w:cs="Arial"/>
              </w:rPr>
            </w:pPr>
            <w:r w:rsidRPr="00DF3703">
              <w:rPr>
                <w:rFonts w:ascii="Arial" w:hAnsi="Arial" w:cs="Arial"/>
              </w:rPr>
              <w:t>Employment</w:t>
            </w:r>
          </w:p>
          <w:p w:rsidR="003808FD" w:rsidRPr="00DF3703" w:rsidRDefault="006B7D88" w:rsidP="003808FD">
            <w:pPr>
              <w:pStyle w:val="TableHeadingCentre"/>
              <w:jc w:val="right"/>
              <w:rPr>
                <w:rFonts w:ascii="Arial" w:hAnsi="Arial" w:cs="Arial"/>
              </w:rPr>
            </w:pPr>
            <w:r w:rsidRPr="00DF3703">
              <w:rPr>
                <w:rFonts w:ascii="Arial" w:hAnsi="Arial" w:cs="Arial"/>
              </w:rPr>
              <w:t>(FTE)</w:t>
            </w:r>
          </w:p>
        </w:tc>
      </w:tr>
      <w:tr w:rsidR="003808FD" w:rsidRPr="00DF3703" w:rsidTr="003808FD">
        <w:tc>
          <w:tcPr>
            <w:tcW w:w="1667" w:type="pct"/>
          </w:tcPr>
          <w:p w:rsidR="003808FD" w:rsidRPr="00DF3703" w:rsidRDefault="006B7D88" w:rsidP="003808FD">
            <w:pPr>
              <w:pStyle w:val="TabletextLeft"/>
              <w:rPr>
                <w:rFonts w:ascii="Arial" w:hAnsi="Arial" w:cs="Arial"/>
                <w:sz w:val="21"/>
                <w:szCs w:val="21"/>
              </w:rPr>
            </w:pPr>
            <w:r w:rsidRPr="00DF3703">
              <w:rPr>
                <w:rFonts w:ascii="Arial" w:hAnsi="Arial" w:cs="Arial"/>
                <w:sz w:val="21"/>
                <w:szCs w:val="21"/>
              </w:rPr>
              <w:t>Direct</w:t>
            </w:r>
          </w:p>
        </w:tc>
        <w:tc>
          <w:tcPr>
            <w:tcW w:w="1668" w:type="pct"/>
            <w:vAlign w:val="center"/>
          </w:tcPr>
          <w:p w:rsidR="003808FD" w:rsidRPr="00DF3703" w:rsidRDefault="003E6A5C" w:rsidP="003808FD">
            <w:pPr>
              <w:jc w:val="right"/>
              <w:rPr>
                <w:rFonts w:ascii="Arial" w:hAnsi="Arial" w:cs="Arial"/>
                <w:color w:val="000000"/>
                <w:szCs w:val="22"/>
              </w:rPr>
            </w:pPr>
            <w:r w:rsidRPr="00DF3703">
              <w:rPr>
                <w:rFonts w:ascii="Arial" w:hAnsi="Arial" w:cs="Arial"/>
                <w:color w:val="000000"/>
                <w:szCs w:val="22"/>
              </w:rPr>
              <w:t>15.9</w:t>
            </w:r>
          </w:p>
        </w:tc>
        <w:tc>
          <w:tcPr>
            <w:tcW w:w="1665" w:type="pct"/>
            <w:vAlign w:val="center"/>
          </w:tcPr>
          <w:p w:rsidR="003808FD" w:rsidRPr="00DF3703" w:rsidRDefault="006B7D88" w:rsidP="003808FD">
            <w:pPr>
              <w:jc w:val="right"/>
              <w:rPr>
                <w:rFonts w:ascii="Arial" w:hAnsi="Arial" w:cs="Arial"/>
                <w:color w:val="000000"/>
                <w:szCs w:val="22"/>
              </w:rPr>
            </w:pPr>
            <w:r w:rsidRPr="00DF3703">
              <w:rPr>
                <w:rFonts w:ascii="Arial" w:hAnsi="Arial" w:cs="Arial"/>
                <w:color w:val="000000"/>
                <w:szCs w:val="22"/>
              </w:rPr>
              <w:t>246</w:t>
            </w:r>
          </w:p>
        </w:tc>
      </w:tr>
      <w:tr w:rsidR="003808FD" w:rsidRPr="00DF3703" w:rsidTr="003808FD">
        <w:tc>
          <w:tcPr>
            <w:tcW w:w="1667" w:type="pct"/>
          </w:tcPr>
          <w:p w:rsidR="003808FD" w:rsidRPr="00DF3703" w:rsidRDefault="006B7D88" w:rsidP="003808FD">
            <w:pPr>
              <w:pStyle w:val="TabletextLeft"/>
              <w:rPr>
                <w:rFonts w:ascii="Arial" w:hAnsi="Arial" w:cs="Arial"/>
                <w:sz w:val="21"/>
                <w:szCs w:val="21"/>
              </w:rPr>
            </w:pPr>
            <w:r w:rsidRPr="00DF3703">
              <w:rPr>
                <w:rFonts w:ascii="Arial" w:hAnsi="Arial" w:cs="Arial"/>
                <w:sz w:val="21"/>
                <w:szCs w:val="21"/>
              </w:rPr>
              <w:t>Indirect</w:t>
            </w:r>
          </w:p>
        </w:tc>
        <w:tc>
          <w:tcPr>
            <w:tcW w:w="1668" w:type="pct"/>
            <w:vAlign w:val="center"/>
          </w:tcPr>
          <w:p w:rsidR="003808FD" w:rsidRPr="00DF3703" w:rsidRDefault="006B7D88" w:rsidP="003808FD">
            <w:pPr>
              <w:jc w:val="right"/>
              <w:rPr>
                <w:rFonts w:ascii="Arial" w:hAnsi="Arial" w:cs="Arial"/>
                <w:color w:val="000000"/>
                <w:szCs w:val="22"/>
              </w:rPr>
            </w:pPr>
            <w:r w:rsidRPr="00DF3703">
              <w:rPr>
                <w:rFonts w:ascii="Arial" w:hAnsi="Arial" w:cs="Arial"/>
                <w:color w:val="000000"/>
                <w:szCs w:val="22"/>
              </w:rPr>
              <w:t>12</w:t>
            </w:r>
            <w:r w:rsidR="003E6A5C" w:rsidRPr="00DF3703">
              <w:rPr>
                <w:rFonts w:ascii="Arial" w:hAnsi="Arial" w:cs="Arial"/>
                <w:color w:val="000000"/>
                <w:szCs w:val="22"/>
              </w:rPr>
              <w:t>.5</w:t>
            </w:r>
          </w:p>
        </w:tc>
        <w:tc>
          <w:tcPr>
            <w:tcW w:w="1665" w:type="pct"/>
            <w:vAlign w:val="center"/>
          </w:tcPr>
          <w:p w:rsidR="003808FD" w:rsidRPr="00DF3703" w:rsidRDefault="006B7D88" w:rsidP="003808FD">
            <w:pPr>
              <w:jc w:val="right"/>
              <w:rPr>
                <w:rFonts w:ascii="Arial" w:hAnsi="Arial" w:cs="Arial"/>
                <w:color w:val="000000"/>
                <w:szCs w:val="22"/>
              </w:rPr>
            </w:pPr>
            <w:r w:rsidRPr="00DF3703">
              <w:rPr>
                <w:rFonts w:ascii="Arial" w:hAnsi="Arial" w:cs="Arial"/>
                <w:color w:val="000000"/>
                <w:szCs w:val="22"/>
              </w:rPr>
              <w:t>107</w:t>
            </w:r>
          </w:p>
        </w:tc>
      </w:tr>
      <w:tr w:rsidR="003808FD" w:rsidRPr="00DF3703" w:rsidTr="003808FD">
        <w:tc>
          <w:tcPr>
            <w:tcW w:w="1667" w:type="pct"/>
          </w:tcPr>
          <w:p w:rsidR="003808FD" w:rsidRPr="00DF3703" w:rsidRDefault="006B7D88" w:rsidP="003808FD">
            <w:pPr>
              <w:pStyle w:val="TableHeadingRight"/>
              <w:jc w:val="left"/>
              <w:rPr>
                <w:rFonts w:ascii="Arial" w:hAnsi="Arial" w:cs="Arial"/>
              </w:rPr>
            </w:pPr>
            <w:r w:rsidRPr="00DF3703">
              <w:rPr>
                <w:rFonts w:ascii="Arial" w:hAnsi="Arial" w:cs="Arial"/>
              </w:rPr>
              <w:t>Total</w:t>
            </w:r>
          </w:p>
        </w:tc>
        <w:tc>
          <w:tcPr>
            <w:tcW w:w="1668" w:type="pct"/>
            <w:vAlign w:val="center"/>
          </w:tcPr>
          <w:p w:rsidR="003808FD" w:rsidRPr="00DF3703" w:rsidRDefault="006B7D88" w:rsidP="003808FD">
            <w:pPr>
              <w:jc w:val="right"/>
              <w:rPr>
                <w:rFonts w:ascii="Arial" w:hAnsi="Arial" w:cs="Arial"/>
                <w:b/>
                <w:bCs/>
                <w:color w:val="002776"/>
                <w:szCs w:val="22"/>
              </w:rPr>
            </w:pPr>
            <w:r w:rsidRPr="00DF3703">
              <w:rPr>
                <w:rFonts w:ascii="Arial" w:hAnsi="Arial" w:cs="Arial"/>
                <w:b/>
                <w:bCs/>
                <w:color w:val="002776"/>
                <w:szCs w:val="22"/>
              </w:rPr>
              <w:t>28</w:t>
            </w:r>
            <w:r w:rsidR="003E6A5C" w:rsidRPr="00DF3703">
              <w:rPr>
                <w:rFonts w:ascii="Arial" w:hAnsi="Arial" w:cs="Arial"/>
                <w:b/>
                <w:bCs/>
                <w:color w:val="002776"/>
                <w:szCs w:val="22"/>
              </w:rPr>
              <w:t>.4</w:t>
            </w:r>
          </w:p>
        </w:tc>
        <w:tc>
          <w:tcPr>
            <w:tcW w:w="1665" w:type="pct"/>
            <w:vAlign w:val="center"/>
          </w:tcPr>
          <w:p w:rsidR="003808FD" w:rsidRPr="00DF3703" w:rsidRDefault="006B7D88" w:rsidP="003808FD">
            <w:pPr>
              <w:jc w:val="right"/>
              <w:rPr>
                <w:rFonts w:ascii="Arial" w:hAnsi="Arial" w:cs="Arial"/>
                <w:b/>
                <w:bCs/>
                <w:color w:val="002776"/>
                <w:szCs w:val="22"/>
              </w:rPr>
            </w:pPr>
            <w:r w:rsidRPr="00DF3703">
              <w:rPr>
                <w:rFonts w:ascii="Arial" w:hAnsi="Arial" w:cs="Arial"/>
                <w:b/>
                <w:bCs/>
                <w:color w:val="002776"/>
                <w:szCs w:val="22"/>
              </w:rPr>
              <w:t>353</w:t>
            </w:r>
          </w:p>
        </w:tc>
      </w:tr>
    </w:tbl>
    <w:p w:rsidR="009679BC" w:rsidRPr="00DF3703" w:rsidRDefault="006B7D88" w:rsidP="003808FD">
      <w:pPr>
        <w:pStyle w:val="Source"/>
        <w:rPr>
          <w:rFonts w:ascii="Arial" w:hAnsi="Arial"/>
        </w:rPr>
      </w:pPr>
      <w:r w:rsidRPr="00DF3703">
        <w:rPr>
          <w:rFonts w:ascii="Arial" w:hAnsi="Arial"/>
        </w:rPr>
        <w:t>Source: Deloitte Access Economics estimates</w:t>
      </w:r>
      <w:r w:rsidRPr="00DF3703">
        <w:rPr>
          <w:rFonts w:ascii="Arial" w:hAnsi="Arial"/>
        </w:rPr>
        <w:br w:type="page"/>
      </w: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pct10" w:color="auto" w:fill="auto"/>
        <w:tblLook w:val="04A0"/>
      </w:tblPr>
      <w:tblGrid>
        <w:gridCol w:w="8436"/>
      </w:tblGrid>
      <w:tr w:rsidR="005015AA" w:rsidRPr="00DF3703" w:rsidTr="001B6420">
        <w:tc>
          <w:tcPr>
            <w:tcW w:w="8436" w:type="dxa"/>
            <w:shd w:val="pct10" w:color="auto" w:fill="auto"/>
          </w:tcPr>
          <w:p w:rsidR="005015AA" w:rsidRPr="00DF3703" w:rsidRDefault="00285C48" w:rsidP="005015AA">
            <w:pPr>
              <w:pStyle w:val="BSubheading-Bluedk"/>
              <w:jc w:val="left"/>
              <w:rPr>
                <w:rFonts w:cs="Arial"/>
              </w:rPr>
            </w:pPr>
            <w:bookmarkStart w:id="98" w:name="_Toc355700988"/>
            <w:r w:rsidRPr="00DF3703">
              <w:rPr>
                <w:rFonts w:cs="Arial"/>
              </w:rPr>
              <w:lastRenderedPageBreak/>
              <w:t xml:space="preserve">Tourism: Case Study 1: </w:t>
            </w:r>
            <w:r w:rsidR="006B7D88" w:rsidRPr="00DF3703">
              <w:rPr>
                <w:rFonts w:cs="Arial"/>
              </w:rPr>
              <w:t>Cairns and the Whitsundays</w:t>
            </w:r>
            <w:bookmarkEnd w:id="98"/>
          </w:p>
          <w:p w:rsidR="005015AA" w:rsidRPr="00DF3703" w:rsidRDefault="00285C48" w:rsidP="00452009">
            <w:pPr>
              <w:pStyle w:val="BodyText"/>
              <w:keepNext/>
              <w:tabs>
                <w:tab w:val="left" w:pos="851"/>
              </w:tabs>
              <w:outlineLvl w:val="1"/>
              <w:rPr>
                <w:rFonts w:ascii="Arial" w:hAnsi="Arial" w:cs="Arial"/>
              </w:rPr>
            </w:pPr>
            <w:r w:rsidRPr="00DF3703">
              <w:rPr>
                <w:rFonts w:ascii="Arial" w:hAnsi="Arial" w:cs="Arial"/>
              </w:rPr>
              <w:t>Cairns and the Whitsunday Islands</w:t>
            </w:r>
            <w:r w:rsidR="006B7D88" w:rsidRPr="00DF3703">
              <w:rPr>
                <w:rFonts w:ascii="Arial" w:hAnsi="Arial" w:cs="Arial"/>
              </w:rPr>
              <w:t xml:space="preserve"> are highly reliant on visitor activity</w:t>
            </w:r>
            <w:r w:rsidRPr="00DF3703">
              <w:rPr>
                <w:rFonts w:ascii="Arial" w:hAnsi="Arial" w:cs="Arial"/>
              </w:rPr>
              <w:t>.</w:t>
            </w:r>
            <w:r w:rsidR="006B7D88" w:rsidRPr="00DF3703">
              <w:rPr>
                <w:rFonts w:ascii="Arial" w:hAnsi="Arial" w:cs="Arial"/>
              </w:rPr>
              <w:t xml:space="preserve">  In recent years there has been a significant decrease in visitor activity in the Whitsundays which has, among other things resulted, in the closure of several resorts.</w:t>
            </w:r>
          </w:p>
          <w:p w:rsidR="005015AA" w:rsidRPr="00DF3703" w:rsidRDefault="006B7D88" w:rsidP="005015AA">
            <w:pPr>
              <w:pStyle w:val="BodyText"/>
              <w:rPr>
                <w:rFonts w:ascii="Arial" w:hAnsi="Arial" w:cs="Arial"/>
              </w:rPr>
            </w:pPr>
            <w:r w:rsidRPr="00DF3703">
              <w:rPr>
                <w:rFonts w:ascii="Arial" w:hAnsi="Arial" w:cs="Arial"/>
              </w:rPr>
              <w:t>Cairns has performed more strongly than the Whitsundays but has still suffered from a relatively weak international market, partly due to the decline in traditional source markets such as Japan and Europe and the impact of natural disasters such as Cyclone Yasi.</w:t>
            </w:r>
          </w:p>
          <w:p w:rsidR="005015AA" w:rsidRPr="00DF3703" w:rsidRDefault="00EB023D" w:rsidP="005015AA">
            <w:pPr>
              <w:pStyle w:val="BodyText"/>
              <w:rPr>
                <w:rFonts w:ascii="Arial" w:hAnsi="Arial" w:cs="Arial"/>
              </w:rPr>
            </w:pPr>
            <w:fldSimple w:instr=" REF _Ref338781112 \r \h  \* MERGEFORMAT ">
              <w:r w:rsidR="00536D7E" w:rsidRPr="00536D7E">
                <w:rPr>
                  <w:rFonts w:ascii="Arial" w:hAnsi="Arial" w:cs="Arial"/>
                </w:rPr>
                <w:t>Table 3.11</w:t>
              </w:r>
            </w:fldSimple>
            <w:r w:rsidR="006B7D88" w:rsidRPr="00DF3703">
              <w:rPr>
                <w:rFonts w:ascii="Arial" w:hAnsi="Arial" w:cs="Arial"/>
              </w:rPr>
              <w:t xml:space="preserve"> and </w:t>
            </w:r>
            <w:fldSimple w:instr=" REF _Ref338781123 \r \h  \* MERGEFORMAT ">
              <w:r w:rsidR="00536D7E" w:rsidRPr="00536D7E">
                <w:rPr>
                  <w:rFonts w:ascii="Arial" w:hAnsi="Arial" w:cs="Arial"/>
                </w:rPr>
                <w:t>Table 3.12</w:t>
              </w:r>
            </w:fldSimple>
            <w:r w:rsidR="006B7D88" w:rsidRPr="00DF3703">
              <w:rPr>
                <w:rFonts w:ascii="Arial" w:hAnsi="Arial" w:cs="Arial"/>
              </w:rPr>
              <w:t xml:space="preserve"> show the change in visitor expenditure in Cairns and the Whitsundays between 2006-07 and 2011-12.  While both experienced declines in expenditure, the decline in visitor expenditure was strongest in the Whitsundays where it fell by 24.4% compared to 11.55</w:t>
            </w:r>
            <w:r w:rsidR="00285C48" w:rsidRPr="00DF3703">
              <w:rPr>
                <w:rFonts w:ascii="Arial" w:hAnsi="Arial" w:cs="Arial"/>
              </w:rPr>
              <w:t>%</w:t>
            </w:r>
            <w:r w:rsidR="006B7D88" w:rsidRPr="00DF3703">
              <w:rPr>
                <w:rFonts w:ascii="Arial" w:hAnsi="Arial" w:cs="Arial"/>
              </w:rPr>
              <w:t xml:space="preserve"> in the Cairns region.</w:t>
            </w:r>
            <w:r w:rsidR="005015AA" w:rsidRPr="00DF3703">
              <w:rPr>
                <w:rStyle w:val="FootnoteReference"/>
                <w:rFonts w:cs="Arial"/>
              </w:rPr>
              <w:footnoteReference w:id="6"/>
            </w:r>
            <w:r w:rsidR="006B7D88" w:rsidRPr="00DF3703">
              <w:rPr>
                <w:rFonts w:ascii="Arial" w:hAnsi="Arial" w:cs="Arial"/>
              </w:rPr>
              <w:t xml:space="preserve"> The results suggest a marked decline in visitor activity in the Whitsundays between 2006-07 and 2010-11. </w:t>
            </w:r>
          </w:p>
          <w:p w:rsidR="005015AA" w:rsidRPr="00DF3703" w:rsidRDefault="006B7D88" w:rsidP="00E717D2">
            <w:pPr>
              <w:pStyle w:val="CaptionTable"/>
              <w:ind w:left="0"/>
              <w:rPr>
                <w:rFonts w:ascii="Arial" w:hAnsi="Arial" w:cs="Arial"/>
              </w:rPr>
            </w:pPr>
            <w:bookmarkStart w:id="99" w:name="_Ref338781112"/>
            <w:bookmarkStart w:id="100" w:name="_Toc355701059"/>
            <w:r w:rsidRPr="00DF3703">
              <w:rPr>
                <w:rFonts w:ascii="Arial" w:hAnsi="Arial" w:cs="Arial"/>
              </w:rPr>
              <w:t>: Total tourism expenditure in Cairns</w:t>
            </w:r>
            <w:bookmarkEnd w:id="99"/>
            <w:r w:rsidRPr="00DF3703">
              <w:rPr>
                <w:rFonts w:ascii="Arial" w:hAnsi="Arial" w:cs="Arial"/>
              </w:rPr>
              <w:t xml:space="preserve"> by visitor type ($2012 million)</w:t>
            </w:r>
            <w:bookmarkEnd w:id="100"/>
          </w:p>
          <w:tbl>
            <w:tblPr>
              <w:tblStyle w:val="TableAEGrey"/>
              <w:tblW w:w="5000" w:type="pct"/>
              <w:tblLook w:val="04A0"/>
            </w:tblPr>
            <w:tblGrid>
              <w:gridCol w:w="3525"/>
              <w:gridCol w:w="1565"/>
              <w:gridCol w:w="1565"/>
              <w:gridCol w:w="1565"/>
            </w:tblGrid>
            <w:tr w:rsidR="005015AA" w:rsidRPr="00DF3703" w:rsidTr="005015AA">
              <w:trPr>
                <w:cnfStyle w:val="100000000000"/>
              </w:trPr>
              <w:tc>
                <w:tcPr>
                  <w:tcW w:w="2144" w:type="pct"/>
                </w:tcPr>
                <w:p w:rsidR="005015AA" w:rsidRPr="00DF3703" w:rsidRDefault="006B7D88" w:rsidP="005015AA">
                  <w:pPr>
                    <w:pStyle w:val="TableHeadingCentre"/>
                    <w:jc w:val="left"/>
                    <w:rPr>
                      <w:rFonts w:ascii="Arial" w:hAnsi="Arial" w:cs="Arial"/>
                    </w:rPr>
                  </w:pPr>
                  <w:r w:rsidRPr="00DF3703">
                    <w:rPr>
                      <w:rFonts w:ascii="Arial" w:hAnsi="Arial" w:cs="Arial"/>
                    </w:rPr>
                    <w:t>Visitor type</w:t>
                  </w:r>
                </w:p>
              </w:tc>
              <w:tc>
                <w:tcPr>
                  <w:tcW w:w="952" w:type="pct"/>
                  <w:vAlign w:val="center"/>
                </w:tcPr>
                <w:p w:rsidR="005015AA" w:rsidRPr="00DF3703" w:rsidRDefault="006B7D88" w:rsidP="005015AA">
                  <w:pPr>
                    <w:pStyle w:val="TableHeadingCentre"/>
                    <w:jc w:val="right"/>
                    <w:rPr>
                      <w:rFonts w:ascii="Arial" w:hAnsi="Arial" w:cs="Arial"/>
                    </w:rPr>
                  </w:pPr>
                  <w:r w:rsidRPr="00DF3703">
                    <w:rPr>
                      <w:rFonts w:ascii="Arial" w:hAnsi="Arial" w:cs="Arial"/>
                    </w:rPr>
                    <w:t>2007</w:t>
                  </w:r>
                </w:p>
              </w:tc>
              <w:tc>
                <w:tcPr>
                  <w:tcW w:w="952" w:type="pct"/>
                  <w:vAlign w:val="center"/>
                </w:tcPr>
                <w:p w:rsidR="005015AA" w:rsidRPr="00DF3703" w:rsidRDefault="006B7D88" w:rsidP="005015AA">
                  <w:pPr>
                    <w:pStyle w:val="TableHeadingCentre"/>
                    <w:jc w:val="right"/>
                    <w:rPr>
                      <w:rFonts w:ascii="Arial" w:hAnsi="Arial" w:cs="Arial"/>
                    </w:rPr>
                  </w:pPr>
                  <w:r w:rsidRPr="00DF3703">
                    <w:rPr>
                      <w:rFonts w:ascii="Arial" w:hAnsi="Arial" w:cs="Arial"/>
                    </w:rPr>
                    <w:t>2012</w:t>
                  </w:r>
                </w:p>
              </w:tc>
              <w:tc>
                <w:tcPr>
                  <w:tcW w:w="952" w:type="pct"/>
                  <w:vAlign w:val="center"/>
                </w:tcPr>
                <w:p w:rsidR="005015AA" w:rsidRPr="00DF3703" w:rsidRDefault="006B7D88" w:rsidP="005015AA">
                  <w:pPr>
                    <w:pStyle w:val="TableHeadingCentre"/>
                    <w:jc w:val="right"/>
                    <w:rPr>
                      <w:rFonts w:ascii="Arial" w:hAnsi="Arial" w:cs="Arial"/>
                    </w:rPr>
                  </w:pPr>
                  <w:r w:rsidRPr="00DF3703">
                    <w:rPr>
                      <w:rFonts w:ascii="Arial" w:hAnsi="Arial" w:cs="Arial"/>
                    </w:rPr>
                    <w:t>% change</w:t>
                  </w:r>
                </w:p>
              </w:tc>
            </w:tr>
            <w:tr w:rsidR="005015AA" w:rsidRPr="00DF3703" w:rsidTr="005015AA">
              <w:tc>
                <w:tcPr>
                  <w:tcW w:w="2144" w:type="pct"/>
                </w:tcPr>
                <w:p w:rsidR="005015AA" w:rsidRPr="00DF3703" w:rsidRDefault="006B7D88" w:rsidP="005015AA">
                  <w:pPr>
                    <w:pStyle w:val="TabletextLeft"/>
                    <w:keepNext/>
                    <w:keepLines/>
                    <w:rPr>
                      <w:rFonts w:ascii="Arial" w:hAnsi="Arial" w:cs="Arial"/>
                      <w:sz w:val="21"/>
                      <w:szCs w:val="21"/>
                    </w:rPr>
                  </w:pPr>
                  <w:r w:rsidRPr="00DF3703">
                    <w:rPr>
                      <w:rFonts w:ascii="Arial" w:hAnsi="Arial" w:cs="Arial"/>
                      <w:sz w:val="21"/>
                      <w:szCs w:val="21"/>
                    </w:rPr>
                    <w:t>International</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1,129</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658</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-42%</w:t>
                  </w:r>
                </w:p>
              </w:tc>
            </w:tr>
            <w:tr w:rsidR="005015AA" w:rsidRPr="00DF3703" w:rsidTr="005015AA">
              <w:tc>
                <w:tcPr>
                  <w:tcW w:w="2144" w:type="pct"/>
                </w:tcPr>
                <w:p w:rsidR="005015AA" w:rsidRPr="00DF3703" w:rsidRDefault="006B7D88" w:rsidP="005015AA">
                  <w:pPr>
                    <w:pStyle w:val="TabletextLeft"/>
                    <w:keepNext/>
                    <w:keepLines/>
                    <w:rPr>
                      <w:rFonts w:ascii="Arial" w:hAnsi="Arial" w:cs="Arial"/>
                      <w:sz w:val="21"/>
                      <w:szCs w:val="21"/>
                    </w:rPr>
                  </w:pPr>
                  <w:r w:rsidRPr="00DF3703">
                    <w:rPr>
                      <w:rFonts w:ascii="Arial" w:hAnsi="Arial" w:cs="Arial"/>
                      <w:sz w:val="21"/>
                      <w:szCs w:val="21"/>
                    </w:rPr>
                    <w:t>Domestic overnight</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1,097</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1,303</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19%</w:t>
                  </w:r>
                </w:p>
              </w:tc>
            </w:tr>
            <w:tr w:rsidR="005015AA" w:rsidRPr="00DF3703" w:rsidTr="005015AA">
              <w:tc>
                <w:tcPr>
                  <w:tcW w:w="2144" w:type="pct"/>
                </w:tcPr>
                <w:p w:rsidR="005015AA" w:rsidRPr="00DF3703" w:rsidRDefault="006B7D88" w:rsidP="005015AA">
                  <w:pPr>
                    <w:pStyle w:val="TabletextLeft"/>
                    <w:keepNext/>
                    <w:keepLines/>
                    <w:rPr>
                      <w:rFonts w:ascii="Arial" w:hAnsi="Arial" w:cs="Arial"/>
                      <w:sz w:val="21"/>
                      <w:szCs w:val="21"/>
                    </w:rPr>
                  </w:pPr>
                  <w:r w:rsidRPr="00DF3703">
                    <w:rPr>
                      <w:rFonts w:ascii="Arial" w:hAnsi="Arial" w:cs="Arial"/>
                      <w:sz w:val="21"/>
                      <w:szCs w:val="21"/>
                    </w:rPr>
                    <w:t xml:space="preserve">Domestic day </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160</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135</w:t>
                  </w:r>
                </w:p>
              </w:tc>
              <w:tc>
                <w:tcPr>
                  <w:tcW w:w="952" w:type="pct"/>
                  <w:vAlign w:val="center"/>
                </w:tcPr>
                <w:p w:rsidR="005015AA" w:rsidRPr="00DF3703" w:rsidRDefault="006B7D88" w:rsidP="005015AA">
                  <w:pPr>
                    <w:pStyle w:val="TabletextRight"/>
                    <w:keepNext/>
                    <w:keepLines/>
                    <w:rPr>
                      <w:rFonts w:ascii="Arial" w:hAnsi="Arial" w:cs="Arial"/>
                      <w:sz w:val="21"/>
                      <w:szCs w:val="21"/>
                    </w:rPr>
                  </w:pPr>
                  <w:r w:rsidRPr="00DF3703">
                    <w:rPr>
                      <w:rFonts w:ascii="Arial" w:hAnsi="Arial" w:cs="Arial"/>
                      <w:sz w:val="21"/>
                      <w:szCs w:val="21"/>
                    </w:rPr>
                    <w:t>-16%</w:t>
                  </w:r>
                </w:p>
              </w:tc>
            </w:tr>
            <w:tr w:rsidR="005015AA" w:rsidRPr="00DF3703" w:rsidTr="005015AA">
              <w:tc>
                <w:tcPr>
                  <w:tcW w:w="2144" w:type="pct"/>
                </w:tcPr>
                <w:p w:rsidR="005015AA" w:rsidRPr="00DF3703" w:rsidRDefault="006B7D88" w:rsidP="005015AA">
                  <w:pPr>
                    <w:pStyle w:val="TableHeadingLeft"/>
                    <w:rPr>
                      <w:rFonts w:ascii="Arial" w:hAnsi="Arial" w:cs="Arial"/>
                    </w:rPr>
                  </w:pPr>
                  <w:r w:rsidRPr="00DF3703">
                    <w:rPr>
                      <w:rFonts w:ascii="Arial" w:hAnsi="Arial" w:cs="Arial"/>
                    </w:rPr>
                    <w:t xml:space="preserve">Total </w:t>
                  </w:r>
                </w:p>
              </w:tc>
              <w:tc>
                <w:tcPr>
                  <w:tcW w:w="952" w:type="pct"/>
                  <w:vAlign w:val="center"/>
                </w:tcPr>
                <w:p w:rsidR="005015AA" w:rsidRPr="00DF3703" w:rsidRDefault="006B7D88" w:rsidP="005015AA">
                  <w:pPr>
                    <w:pStyle w:val="TableHeadingRight"/>
                    <w:rPr>
                      <w:rFonts w:ascii="Arial" w:hAnsi="Arial" w:cs="Arial"/>
                    </w:rPr>
                  </w:pPr>
                  <w:r w:rsidRPr="00DF3703">
                    <w:rPr>
                      <w:rFonts w:ascii="Arial" w:hAnsi="Arial" w:cs="Arial"/>
                    </w:rPr>
                    <w:t>2,385</w:t>
                  </w:r>
                </w:p>
              </w:tc>
              <w:tc>
                <w:tcPr>
                  <w:tcW w:w="952" w:type="pct"/>
                  <w:vAlign w:val="bottom"/>
                </w:tcPr>
                <w:p w:rsidR="005015AA" w:rsidRPr="00DF3703" w:rsidRDefault="006B7D88" w:rsidP="005015AA">
                  <w:pPr>
                    <w:pStyle w:val="TableHeadingRight"/>
                    <w:rPr>
                      <w:rFonts w:ascii="Arial" w:hAnsi="Arial" w:cs="Arial"/>
                    </w:rPr>
                  </w:pPr>
                  <w:r w:rsidRPr="00DF3703">
                    <w:rPr>
                      <w:rFonts w:ascii="Arial" w:hAnsi="Arial" w:cs="Arial"/>
                    </w:rPr>
                    <w:t>2,096</w:t>
                  </w:r>
                </w:p>
              </w:tc>
              <w:tc>
                <w:tcPr>
                  <w:tcW w:w="952" w:type="pct"/>
                  <w:vAlign w:val="center"/>
                </w:tcPr>
                <w:p w:rsidR="005015AA" w:rsidRPr="00DF3703" w:rsidRDefault="006B7D88" w:rsidP="005015AA">
                  <w:pPr>
                    <w:pStyle w:val="TableHeadingRight"/>
                    <w:rPr>
                      <w:rFonts w:ascii="Arial" w:hAnsi="Arial" w:cs="Arial"/>
                    </w:rPr>
                  </w:pPr>
                  <w:r w:rsidRPr="00DF3703">
                    <w:rPr>
                      <w:rFonts w:ascii="Arial" w:hAnsi="Arial" w:cs="Arial"/>
                    </w:rPr>
                    <w:t>-12%</w:t>
                  </w:r>
                </w:p>
              </w:tc>
            </w:tr>
          </w:tbl>
          <w:p w:rsidR="005015AA" w:rsidRPr="00DF3703" w:rsidRDefault="006B7D88" w:rsidP="005015AA">
            <w:pPr>
              <w:pStyle w:val="Source"/>
              <w:jc w:val="left"/>
              <w:rPr>
                <w:rFonts w:ascii="Arial" w:hAnsi="Arial"/>
              </w:rPr>
            </w:pPr>
            <w:r w:rsidRPr="00DF3703">
              <w:rPr>
                <w:rFonts w:ascii="Arial" w:hAnsi="Arial"/>
              </w:rPr>
              <w:t>Source: TRA Regional Tourism Profiles 2010-11, TRA NVS/IVS, Deloitte Access Economics.</w:t>
            </w:r>
          </w:p>
          <w:p w:rsidR="005015AA" w:rsidRPr="00DF3703" w:rsidRDefault="006B7D88" w:rsidP="00E717D2">
            <w:pPr>
              <w:pStyle w:val="CaptionTable"/>
              <w:ind w:left="0"/>
              <w:rPr>
                <w:rFonts w:ascii="Arial" w:hAnsi="Arial" w:cs="Arial"/>
              </w:rPr>
            </w:pPr>
            <w:bookmarkStart w:id="101" w:name="_Ref338781123"/>
            <w:bookmarkStart w:id="102" w:name="_Toc355701060"/>
            <w:r w:rsidRPr="00DF3703">
              <w:rPr>
                <w:rFonts w:ascii="Arial" w:hAnsi="Arial" w:cs="Arial"/>
              </w:rPr>
              <w:t>: Total tourism expenditure in the Whitsundays</w:t>
            </w:r>
            <w:bookmarkEnd w:id="101"/>
            <w:r w:rsidRPr="00DF3703">
              <w:rPr>
                <w:rFonts w:ascii="Arial" w:hAnsi="Arial" w:cs="Arial"/>
              </w:rPr>
              <w:t xml:space="preserve"> by visitor type ($2012 million)</w:t>
            </w:r>
            <w:bookmarkEnd w:id="102"/>
          </w:p>
          <w:tbl>
            <w:tblPr>
              <w:tblStyle w:val="TableAEGrey"/>
              <w:tblW w:w="5000" w:type="pct"/>
              <w:tblLook w:val="04A0"/>
            </w:tblPr>
            <w:tblGrid>
              <w:gridCol w:w="3549"/>
              <w:gridCol w:w="1557"/>
              <w:gridCol w:w="1557"/>
              <w:gridCol w:w="1557"/>
            </w:tblGrid>
            <w:tr w:rsidR="005015AA" w:rsidRPr="00DF3703" w:rsidTr="005015AA">
              <w:trPr>
                <w:cnfStyle w:val="100000000000"/>
              </w:trPr>
              <w:tc>
                <w:tcPr>
                  <w:tcW w:w="2159" w:type="pct"/>
                  <w:vAlign w:val="center"/>
                </w:tcPr>
                <w:p w:rsidR="005015AA" w:rsidRPr="00DF3703" w:rsidRDefault="006B7D88" w:rsidP="005015AA">
                  <w:pPr>
                    <w:pStyle w:val="TableHeadingCentre"/>
                    <w:jc w:val="left"/>
                    <w:rPr>
                      <w:rFonts w:ascii="Arial" w:hAnsi="Arial" w:cs="Arial"/>
                    </w:rPr>
                  </w:pPr>
                  <w:r w:rsidRPr="00DF3703">
                    <w:rPr>
                      <w:rFonts w:ascii="Arial" w:hAnsi="Arial" w:cs="Arial"/>
                    </w:rPr>
                    <w:t>Visitor type</w:t>
                  </w:r>
                </w:p>
              </w:tc>
              <w:tc>
                <w:tcPr>
                  <w:tcW w:w="947" w:type="pct"/>
                  <w:vAlign w:val="center"/>
                </w:tcPr>
                <w:p w:rsidR="005015AA" w:rsidRPr="00DF3703" w:rsidRDefault="006B7D88" w:rsidP="005015AA">
                  <w:pPr>
                    <w:pStyle w:val="TableHeadingCentre"/>
                    <w:jc w:val="right"/>
                    <w:rPr>
                      <w:rFonts w:ascii="Arial" w:hAnsi="Arial" w:cs="Arial"/>
                    </w:rPr>
                  </w:pPr>
                  <w:r w:rsidRPr="00DF3703">
                    <w:rPr>
                      <w:rFonts w:ascii="Arial" w:hAnsi="Arial" w:cs="Arial"/>
                    </w:rPr>
                    <w:t>2007</w:t>
                  </w:r>
                </w:p>
              </w:tc>
              <w:tc>
                <w:tcPr>
                  <w:tcW w:w="947" w:type="pct"/>
                  <w:vAlign w:val="center"/>
                </w:tcPr>
                <w:p w:rsidR="005015AA" w:rsidRPr="00DF3703" w:rsidRDefault="006B7D88" w:rsidP="005015AA">
                  <w:pPr>
                    <w:pStyle w:val="TableHeadingCentre"/>
                    <w:jc w:val="right"/>
                    <w:rPr>
                      <w:rFonts w:ascii="Arial" w:hAnsi="Arial" w:cs="Arial"/>
                    </w:rPr>
                  </w:pPr>
                  <w:r w:rsidRPr="00DF3703">
                    <w:rPr>
                      <w:rFonts w:ascii="Arial" w:hAnsi="Arial" w:cs="Arial"/>
                    </w:rPr>
                    <w:t>2012</w:t>
                  </w:r>
                </w:p>
              </w:tc>
              <w:tc>
                <w:tcPr>
                  <w:tcW w:w="947" w:type="pct"/>
                  <w:vAlign w:val="center"/>
                </w:tcPr>
                <w:p w:rsidR="005015AA" w:rsidRPr="00DF3703" w:rsidRDefault="006B7D88" w:rsidP="005015AA">
                  <w:pPr>
                    <w:pStyle w:val="TableHeadingCentre"/>
                    <w:jc w:val="right"/>
                    <w:rPr>
                      <w:rFonts w:ascii="Arial" w:hAnsi="Arial" w:cs="Arial"/>
                    </w:rPr>
                  </w:pPr>
                  <w:r w:rsidRPr="00DF3703">
                    <w:rPr>
                      <w:rFonts w:ascii="Arial" w:hAnsi="Arial" w:cs="Arial"/>
                    </w:rPr>
                    <w:t xml:space="preserve">% Change </w:t>
                  </w:r>
                </w:p>
              </w:tc>
            </w:tr>
            <w:tr w:rsidR="005015AA" w:rsidRPr="00DF3703" w:rsidTr="005015AA">
              <w:tc>
                <w:tcPr>
                  <w:tcW w:w="2159" w:type="pct"/>
                </w:tcPr>
                <w:p w:rsidR="005015AA" w:rsidRPr="00DF3703" w:rsidRDefault="006B7D88" w:rsidP="005015AA">
                  <w:pPr>
                    <w:pStyle w:val="TabletextLeft"/>
                    <w:rPr>
                      <w:rFonts w:ascii="Arial" w:hAnsi="Arial" w:cs="Arial"/>
                      <w:sz w:val="21"/>
                      <w:szCs w:val="21"/>
                    </w:rPr>
                  </w:pPr>
                  <w:r w:rsidRPr="00DF3703">
                    <w:rPr>
                      <w:rFonts w:ascii="Arial" w:hAnsi="Arial" w:cs="Arial"/>
                      <w:sz w:val="21"/>
                      <w:szCs w:val="21"/>
                    </w:rPr>
                    <w:t>International</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137</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93</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-32%</w:t>
                  </w:r>
                </w:p>
              </w:tc>
            </w:tr>
            <w:tr w:rsidR="005015AA" w:rsidRPr="00DF3703" w:rsidTr="005015AA">
              <w:tc>
                <w:tcPr>
                  <w:tcW w:w="2159" w:type="pct"/>
                </w:tcPr>
                <w:p w:rsidR="005015AA" w:rsidRPr="00DF3703" w:rsidRDefault="006B7D88" w:rsidP="005015AA">
                  <w:pPr>
                    <w:pStyle w:val="TabletextLeft"/>
                    <w:rPr>
                      <w:rFonts w:ascii="Arial" w:hAnsi="Arial" w:cs="Arial"/>
                      <w:sz w:val="21"/>
                      <w:szCs w:val="21"/>
                    </w:rPr>
                  </w:pPr>
                  <w:r w:rsidRPr="00DF3703">
                    <w:rPr>
                      <w:rFonts w:ascii="Arial" w:hAnsi="Arial" w:cs="Arial"/>
                      <w:sz w:val="21"/>
                      <w:szCs w:val="21"/>
                    </w:rPr>
                    <w:t>Domestic overnight</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822</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623</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-24%</w:t>
                  </w:r>
                </w:p>
              </w:tc>
            </w:tr>
            <w:tr w:rsidR="005015AA" w:rsidRPr="00DF3703" w:rsidTr="005015AA">
              <w:tc>
                <w:tcPr>
                  <w:tcW w:w="2159" w:type="pct"/>
                </w:tcPr>
                <w:p w:rsidR="005015AA" w:rsidRPr="00DF3703" w:rsidRDefault="006B7D88" w:rsidP="005015AA">
                  <w:pPr>
                    <w:pStyle w:val="TabletextLeft"/>
                    <w:rPr>
                      <w:rFonts w:ascii="Arial" w:hAnsi="Arial" w:cs="Arial"/>
                      <w:sz w:val="21"/>
                      <w:szCs w:val="21"/>
                    </w:rPr>
                  </w:pPr>
                  <w:r w:rsidRPr="00DF3703">
                    <w:rPr>
                      <w:rFonts w:ascii="Arial" w:hAnsi="Arial" w:cs="Arial"/>
                      <w:sz w:val="21"/>
                      <w:szCs w:val="21"/>
                    </w:rPr>
                    <w:t xml:space="preserve">Domestic day </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79</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30</w:t>
                  </w:r>
                </w:p>
              </w:tc>
              <w:tc>
                <w:tcPr>
                  <w:tcW w:w="947" w:type="pct"/>
                  <w:vAlign w:val="center"/>
                </w:tcPr>
                <w:p w:rsidR="005015AA" w:rsidRPr="00DF3703" w:rsidRDefault="006B7D88" w:rsidP="005015AA">
                  <w:pPr>
                    <w:jc w:val="right"/>
                    <w:rPr>
                      <w:rFonts w:ascii="Arial" w:hAnsi="Arial" w:cs="Arial"/>
                      <w:color w:val="000000"/>
                      <w:sz w:val="21"/>
                      <w:szCs w:val="21"/>
                    </w:rPr>
                  </w:pPr>
                  <w:r w:rsidRPr="00DF3703">
                    <w:rPr>
                      <w:rFonts w:ascii="Arial" w:hAnsi="Arial" w:cs="Arial"/>
                      <w:color w:val="000000"/>
                      <w:sz w:val="21"/>
                      <w:szCs w:val="21"/>
                    </w:rPr>
                    <w:t>-62%</w:t>
                  </w:r>
                </w:p>
              </w:tc>
            </w:tr>
            <w:tr w:rsidR="005015AA" w:rsidRPr="00DF3703" w:rsidTr="005015AA">
              <w:tc>
                <w:tcPr>
                  <w:tcW w:w="2159" w:type="pct"/>
                </w:tcPr>
                <w:p w:rsidR="005015AA" w:rsidRPr="00DF3703" w:rsidRDefault="006B7D88" w:rsidP="005015AA">
                  <w:pPr>
                    <w:pStyle w:val="TableHeadingLeft"/>
                    <w:rPr>
                      <w:rFonts w:ascii="Arial" w:hAnsi="Arial" w:cs="Arial"/>
                    </w:rPr>
                  </w:pPr>
                  <w:r w:rsidRPr="00DF3703">
                    <w:rPr>
                      <w:rFonts w:ascii="Arial" w:hAnsi="Arial" w:cs="Arial"/>
                    </w:rPr>
                    <w:t xml:space="preserve">Total </w:t>
                  </w:r>
                </w:p>
              </w:tc>
              <w:tc>
                <w:tcPr>
                  <w:tcW w:w="947" w:type="pct"/>
                  <w:vAlign w:val="center"/>
                </w:tcPr>
                <w:p w:rsidR="005015AA" w:rsidRPr="00DF3703" w:rsidRDefault="006B7D88" w:rsidP="005015AA">
                  <w:pPr>
                    <w:pStyle w:val="TableHeadingRight"/>
                    <w:rPr>
                      <w:rFonts w:ascii="Arial" w:hAnsi="Arial" w:cs="Arial"/>
                    </w:rPr>
                  </w:pPr>
                  <w:r w:rsidRPr="00DF3703">
                    <w:rPr>
                      <w:rFonts w:ascii="Arial" w:hAnsi="Arial" w:cs="Arial"/>
                    </w:rPr>
                    <w:t>1,038</w:t>
                  </w:r>
                </w:p>
              </w:tc>
              <w:tc>
                <w:tcPr>
                  <w:tcW w:w="947" w:type="pct"/>
                  <w:vAlign w:val="center"/>
                </w:tcPr>
                <w:p w:rsidR="005015AA" w:rsidRPr="00DF3703" w:rsidRDefault="006B7D88" w:rsidP="005015AA">
                  <w:pPr>
                    <w:pStyle w:val="TableHeadingRight"/>
                    <w:rPr>
                      <w:rFonts w:ascii="Arial" w:hAnsi="Arial" w:cs="Arial"/>
                    </w:rPr>
                  </w:pPr>
                  <w:r w:rsidRPr="00DF3703">
                    <w:rPr>
                      <w:rFonts w:ascii="Arial" w:hAnsi="Arial" w:cs="Arial"/>
                    </w:rPr>
                    <w:t>746</w:t>
                  </w:r>
                </w:p>
              </w:tc>
              <w:tc>
                <w:tcPr>
                  <w:tcW w:w="947" w:type="pct"/>
                  <w:vAlign w:val="center"/>
                </w:tcPr>
                <w:p w:rsidR="005015AA" w:rsidRPr="00DF3703" w:rsidRDefault="006B7D88" w:rsidP="005015AA">
                  <w:pPr>
                    <w:pStyle w:val="TableHeadingRight"/>
                    <w:rPr>
                      <w:rFonts w:ascii="Arial" w:hAnsi="Arial" w:cs="Arial"/>
                    </w:rPr>
                  </w:pPr>
                  <w:r w:rsidRPr="00DF3703">
                    <w:rPr>
                      <w:rFonts w:ascii="Arial" w:hAnsi="Arial" w:cs="Arial"/>
                    </w:rPr>
                    <w:t>-28%</w:t>
                  </w:r>
                </w:p>
              </w:tc>
            </w:tr>
          </w:tbl>
          <w:p w:rsidR="005015AA" w:rsidRPr="00DF3703" w:rsidRDefault="006B7D88" w:rsidP="005015AA">
            <w:pPr>
              <w:pStyle w:val="Source"/>
              <w:jc w:val="left"/>
              <w:rPr>
                <w:rFonts w:ascii="Arial" w:hAnsi="Arial"/>
              </w:rPr>
            </w:pPr>
            <w:r w:rsidRPr="00DF3703">
              <w:rPr>
                <w:rFonts w:ascii="Arial" w:hAnsi="Arial"/>
              </w:rPr>
              <w:t>Source: TRA Regional Tourism Profiles 2010-11, Deloitte Access Economics.</w:t>
            </w:r>
          </w:p>
          <w:p w:rsidR="005015AA" w:rsidRPr="00DF3703" w:rsidRDefault="005015AA" w:rsidP="005015AA">
            <w:pPr>
              <w:pStyle w:val="BodyText"/>
              <w:rPr>
                <w:rFonts w:ascii="Arial" w:hAnsi="Arial" w:cs="Arial"/>
              </w:rPr>
            </w:pPr>
          </w:p>
          <w:p w:rsidR="005015AA" w:rsidRPr="00DF3703" w:rsidRDefault="005015AA" w:rsidP="005015AA">
            <w:pPr>
              <w:pStyle w:val="BodyText"/>
              <w:rPr>
                <w:rFonts w:ascii="Arial" w:hAnsi="Arial" w:cs="Arial"/>
              </w:rPr>
            </w:pPr>
          </w:p>
        </w:tc>
      </w:tr>
      <w:tr w:rsidR="001B6420" w:rsidRPr="00DF3703" w:rsidTr="001B6420">
        <w:tc>
          <w:tcPr>
            <w:tcW w:w="8436" w:type="dxa"/>
            <w:shd w:val="pct10" w:color="auto" w:fill="auto"/>
          </w:tcPr>
          <w:p w:rsidR="001B6420" w:rsidRPr="00DF3703" w:rsidRDefault="00285C48" w:rsidP="001B6420">
            <w:pPr>
              <w:pStyle w:val="BSubheading-Bluedk"/>
              <w:jc w:val="left"/>
              <w:rPr>
                <w:rFonts w:cs="Arial"/>
              </w:rPr>
            </w:pPr>
            <w:bookmarkStart w:id="103" w:name="_Toc355700989"/>
            <w:r w:rsidRPr="00DF3703">
              <w:rPr>
                <w:rFonts w:cs="Arial"/>
              </w:rPr>
              <w:lastRenderedPageBreak/>
              <w:t xml:space="preserve">Tourism case Study 2: </w:t>
            </w:r>
            <w:r w:rsidR="006B7D88" w:rsidRPr="00DF3703">
              <w:rPr>
                <w:rFonts w:cs="Arial"/>
              </w:rPr>
              <w:t>Reef-related activity</w:t>
            </w:r>
            <w:bookmarkEnd w:id="103"/>
          </w:p>
          <w:p w:rsidR="001B6420" w:rsidRPr="00DF3703" w:rsidRDefault="006B7D88" w:rsidP="001B6420">
            <w:pPr>
              <w:pStyle w:val="BodyText"/>
              <w:rPr>
                <w:rFonts w:ascii="Arial" w:hAnsi="Arial" w:cs="Arial"/>
              </w:rPr>
            </w:pPr>
            <w:r w:rsidRPr="00DF3703">
              <w:rPr>
                <w:rFonts w:ascii="Arial" w:hAnsi="Arial" w:cs="Arial"/>
              </w:rPr>
              <w:t xml:space="preserve">Although the Reef provides an impetus for travel to the broader </w:t>
            </w:r>
            <w:r w:rsidR="003C4DCF" w:rsidRPr="00DF3703">
              <w:rPr>
                <w:rFonts w:ascii="Arial" w:hAnsi="Arial" w:cs="Arial"/>
              </w:rPr>
              <w:t>catchment</w:t>
            </w:r>
            <w:r w:rsidRPr="00DF3703">
              <w:rPr>
                <w:rFonts w:ascii="Arial" w:hAnsi="Arial" w:cs="Arial"/>
              </w:rPr>
              <w:t xml:space="preserve">, not all visitors to the region actually visit the Reef.  To estimate tourism activity specific to the </w:t>
            </w:r>
            <w:r w:rsidR="00F943D7" w:rsidRPr="00DF3703">
              <w:rPr>
                <w:rFonts w:ascii="Arial" w:hAnsi="Arial" w:cs="Arial"/>
              </w:rPr>
              <w:t>R</w:t>
            </w:r>
            <w:r w:rsidRPr="00DF3703">
              <w:rPr>
                <w:rFonts w:ascii="Arial" w:hAnsi="Arial" w:cs="Arial"/>
              </w:rPr>
              <w:t xml:space="preserve">eef, information provided by GBRMPA on the total number of tourists on the </w:t>
            </w:r>
            <w:r w:rsidR="00F943D7" w:rsidRPr="00DF3703">
              <w:rPr>
                <w:rFonts w:ascii="Arial" w:hAnsi="Arial" w:cs="Arial"/>
              </w:rPr>
              <w:t>R</w:t>
            </w:r>
            <w:r w:rsidR="00FA0D74" w:rsidRPr="00DF3703">
              <w:rPr>
                <w:rFonts w:ascii="Arial" w:hAnsi="Arial" w:cs="Arial"/>
              </w:rPr>
              <w:t xml:space="preserve">eef was used. </w:t>
            </w:r>
            <w:r w:rsidRPr="00DF3703">
              <w:rPr>
                <w:rFonts w:ascii="Arial" w:hAnsi="Arial" w:cs="Arial"/>
              </w:rPr>
              <w:t>These data are based on the logbooks that tourism operators provide when submitting their Environmental Management Charge returns.</w:t>
            </w:r>
          </w:p>
          <w:p w:rsidR="001B6420" w:rsidRPr="00DF3703" w:rsidRDefault="006B7D88" w:rsidP="001B6420">
            <w:pPr>
              <w:pStyle w:val="BodyText"/>
              <w:rPr>
                <w:rFonts w:ascii="Arial" w:hAnsi="Arial" w:cs="Arial"/>
              </w:rPr>
            </w:pPr>
            <w:r w:rsidRPr="00DF3703">
              <w:rPr>
                <w:rFonts w:ascii="Arial" w:hAnsi="Arial" w:cs="Arial"/>
              </w:rPr>
              <w:t xml:space="preserve">In total, there were 1.92 million visitor days spent on the </w:t>
            </w:r>
            <w:r w:rsidR="00F943D7" w:rsidRPr="00DF3703">
              <w:rPr>
                <w:rFonts w:ascii="Arial" w:hAnsi="Arial" w:cs="Arial"/>
              </w:rPr>
              <w:t>R</w:t>
            </w:r>
            <w:r w:rsidRPr="00DF3703">
              <w:rPr>
                <w:rFonts w:ascii="Arial" w:hAnsi="Arial" w:cs="Arial"/>
              </w:rPr>
              <w:t xml:space="preserve">eef in 2012 </w:t>
            </w:r>
            <w:r w:rsidR="00285C48" w:rsidRPr="00DF3703">
              <w:rPr>
                <w:rFonts w:ascii="Arial" w:hAnsi="Arial" w:cs="Arial"/>
              </w:rPr>
              <w:t xml:space="preserve">and </w:t>
            </w:r>
            <w:r w:rsidRPr="00DF3703">
              <w:rPr>
                <w:rFonts w:ascii="Arial" w:hAnsi="Arial" w:cs="Arial"/>
              </w:rPr>
              <w:t>most (87%) of these visits were to Cairns and the Whitsundays (</w:t>
            </w:r>
            <w:fldSimple w:instr=" REF _Ref340761865 \r \h  \* MERGEFORMAT ">
              <w:r w:rsidR="00536D7E" w:rsidRPr="00536D7E">
                <w:rPr>
                  <w:rFonts w:ascii="Arial" w:hAnsi="Arial" w:cs="Arial"/>
                </w:rPr>
                <w:t>Chart 3.7</w:t>
              </w:r>
            </w:fldSimple>
            <w:r w:rsidRPr="00DF3703">
              <w:rPr>
                <w:rFonts w:ascii="Arial" w:hAnsi="Arial" w:cs="Arial"/>
              </w:rPr>
              <w:t xml:space="preserve">). </w:t>
            </w:r>
          </w:p>
          <w:p w:rsidR="001B6420" w:rsidRPr="00DF3703" w:rsidRDefault="006B7D88" w:rsidP="001B6420">
            <w:pPr>
              <w:pStyle w:val="CaptionChart"/>
              <w:rPr>
                <w:rFonts w:ascii="Arial" w:hAnsi="Arial" w:cs="Arial"/>
              </w:rPr>
            </w:pPr>
            <w:bookmarkStart w:id="104" w:name="_Ref340761865"/>
            <w:bookmarkStart w:id="105" w:name="_Toc355701045"/>
            <w:r w:rsidRPr="00DF3703">
              <w:rPr>
                <w:rFonts w:ascii="Arial" w:hAnsi="Arial" w:cs="Arial"/>
              </w:rPr>
              <w:t xml:space="preserve">: Tourists visiting the </w:t>
            </w:r>
            <w:r w:rsidR="00F943D7" w:rsidRPr="00DF3703">
              <w:rPr>
                <w:rFonts w:ascii="Arial" w:hAnsi="Arial" w:cs="Arial"/>
              </w:rPr>
              <w:t>R</w:t>
            </w:r>
            <w:r w:rsidRPr="00DF3703">
              <w:rPr>
                <w:rFonts w:ascii="Arial" w:hAnsi="Arial" w:cs="Arial"/>
              </w:rPr>
              <w:t>eef 2012</w:t>
            </w:r>
            <w:bookmarkEnd w:id="104"/>
            <w:bookmarkEnd w:id="105"/>
          </w:p>
          <w:p w:rsidR="001B6420" w:rsidRPr="00DF3703" w:rsidRDefault="003747D4" w:rsidP="001B6420">
            <w:pPr>
              <w:pStyle w:val="BodyText"/>
              <w:rPr>
                <w:rFonts w:ascii="Arial" w:hAnsi="Arial" w:cs="Arial"/>
              </w:rPr>
            </w:pPr>
            <w:r w:rsidRPr="00DF3703">
              <w:rPr>
                <w:rFonts w:ascii="Arial" w:hAnsi="Arial" w:cs="Arial"/>
                <w:noProof/>
                <w:lang w:eastAsia="en-AU"/>
              </w:rPr>
              <w:drawing>
                <wp:inline distT="0" distB="0" distL="0" distR="0">
                  <wp:extent cx="5244860" cy="3136718"/>
                  <wp:effectExtent l="0" t="0" r="0" b="6985"/>
                  <wp:docPr id="23" name="Picture 23" descr="tourists visiting the reef in 2012 by major towns, with Cairns accounting fo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4860" cy="3136718"/>
                          </a:xfrm>
                          <a:prstGeom prst="rect">
                            <a:avLst/>
                          </a:prstGeom>
                          <a:noFill/>
                          <a:ln>
                            <a:noFill/>
                          </a:ln>
                        </pic:spPr>
                      </pic:pic>
                    </a:graphicData>
                  </a:graphic>
                </wp:inline>
              </w:drawing>
            </w:r>
          </w:p>
          <w:p w:rsidR="001B6420" w:rsidRPr="00DF3703" w:rsidRDefault="006B7D88" w:rsidP="001B6420">
            <w:pPr>
              <w:pStyle w:val="Source"/>
              <w:jc w:val="left"/>
              <w:rPr>
                <w:rFonts w:ascii="Arial" w:hAnsi="Arial"/>
              </w:rPr>
            </w:pPr>
            <w:r w:rsidRPr="00DF3703">
              <w:rPr>
                <w:rFonts w:ascii="Arial" w:hAnsi="Arial"/>
              </w:rPr>
              <w:t>Source: GBRMPA 2012</w:t>
            </w:r>
          </w:p>
          <w:p w:rsidR="001B6420" w:rsidRPr="00DF3703" w:rsidRDefault="006B7D88" w:rsidP="001B6420">
            <w:pPr>
              <w:pStyle w:val="HeadingC"/>
              <w:jc w:val="left"/>
              <w:rPr>
                <w:rFonts w:ascii="Arial" w:hAnsi="Arial" w:cs="Arial"/>
              </w:rPr>
            </w:pPr>
            <w:r w:rsidRPr="00DF3703">
              <w:rPr>
                <w:rFonts w:ascii="Arial" w:hAnsi="Arial" w:cs="Arial"/>
              </w:rPr>
              <w:t>Expenditure</w:t>
            </w:r>
          </w:p>
          <w:p w:rsidR="001B6420" w:rsidRPr="00DF3703" w:rsidRDefault="006B7D88" w:rsidP="001B6420">
            <w:pPr>
              <w:pStyle w:val="BodyText"/>
              <w:rPr>
                <w:rFonts w:ascii="Arial" w:hAnsi="Arial" w:cs="Arial"/>
              </w:rPr>
            </w:pPr>
            <w:r w:rsidRPr="00DF3703">
              <w:rPr>
                <w:rFonts w:ascii="Arial" w:hAnsi="Arial" w:cs="Arial"/>
              </w:rPr>
              <w:t xml:space="preserve">Given the lack of information on Reef-specific expenditure of these tourists, broader TRA data on expenditures while visiting a reef – which includes </w:t>
            </w:r>
            <w:r w:rsidR="00285C48" w:rsidRPr="00DF3703">
              <w:rPr>
                <w:rFonts w:ascii="Arial" w:hAnsi="Arial" w:cs="Arial"/>
              </w:rPr>
              <w:t xml:space="preserve">the GBR and </w:t>
            </w:r>
            <w:r w:rsidRPr="00DF3703">
              <w:rPr>
                <w:rFonts w:ascii="Arial" w:hAnsi="Arial" w:cs="Arial"/>
              </w:rPr>
              <w:t xml:space="preserve">other reefs in Australia such </w:t>
            </w:r>
            <w:r w:rsidR="00285C48" w:rsidRPr="00DF3703">
              <w:rPr>
                <w:rFonts w:ascii="Arial" w:hAnsi="Arial" w:cs="Arial"/>
              </w:rPr>
              <w:t xml:space="preserve">as </w:t>
            </w:r>
            <w:r w:rsidRPr="00DF3703">
              <w:rPr>
                <w:rFonts w:ascii="Arial" w:hAnsi="Arial" w:cs="Arial"/>
              </w:rPr>
              <w:t xml:space="preserve">Ningaloo reef in Western Australia – were used. </w:t>
            </w:r>
          </w:p>
          <w:p w:rsidR="001B6420" w:rsidRPr="00DF3703" w:rsidRDefault="006B7D88" w:rsidP="00285C48">
            <w:pPr>
              <w:pStyle w:val="BodyText"/>
              <w:rPr>
                <w:rFonts w:ascii="Arial" w:hAnsi="Arial" w:cs="Arial"/>
              </w:rPr>
            </w:pPr>
            <w:r w:rsidRPr="00DF3703">
              <w:rPr>
                <w:rFonts w:ascii="Arial" w:hAnsi="Arial" w:cs="Arial"/>
              </w:rPr>
              <w:t xml:space="preserve">The average daily expenditure of domestic overnight visitors to any reef in Australia over 2011 and 2012 was $310 (TRA 2012). There is no information available on the expenditure of international visitors to Australian reefs, so this was estimated by assuming that the same expenditure ratio </w:t>
            </w:r>
            <w:r w:rsidR="00285C48" w:rsidRPr="00DF3703">
              <w:rPr>
                <w:rFonts w:ascii="Arial" w:hAnsi="Arial" w:cs="Arial"/>
              </w:rPr>
              <w:t xml:space="preserve">between </w:t>
            </w:r>
            <w:r w:rsidRPr="00DF3703">
              <w:rPr>
                <w:rFonts w:ascii="Arial" w:hAnsi="Arial" w:cs="Arial"/>
              </w:rPr>
              <w:t xml:space="preserve">the </w:t>
            </w:r>
            <w:r w:rsidR="00285C48" w:rsidRPr="00DF3703">
              <w:rPr>
                <w:rFonts w:ascii="Arial" w:hAnsi="Arial" w:cs="Arial"/>
              </w:rPr>
              <w:t xml:space="preserve">catchment </w:t>
            </w:r>
            <w:r w:rsidRPr="00DF3703">
              <w:rPr>
                <w:rFonts w:ascii="Arial" w:hAnsi="Arial" w:cs="Arial"/>
              </w:rPr>
              <w:t xml:space="preserve">and the Reef observed for domestic visitors applies to international visitors. This resulted in an estimated daily expenditure for international visitors of $200. </w:t>
            </w:r>
          </w:p>
        </w:tc>
      </w:tr>
      <w:tr w:rsidR="001B6420" w:rsidRPr="00DF3703" w:rsidTr="001B6420">
        <w:tc>
          <w:tcPr>
            <w:tcW w:w="8436" w:type="dxa"/>
            <w:shd w:val="pct10" w:color="auto" w:fill="auto"/>
          </w:tcPr>
          <w:p w:rsidR="001B6420" w:rsidRPr="00DF3703" w:rsidRDefault="006B7D88" w:rsidP="001B6420">
            <w:pPr>
              <w:pStyle w:val="BSubheading-Bluedk"/>
              <w:jc w:val="left"/>
              <w:rPr>
                <w:rFonts w:cs="Arial"/>
              </w:rPr>
            </w:pPr>
            <w:bookmarkStart w:id="106" w:name="_Toc355700990"/>
            <w:r w:rsidRPr="00DF3703">
              <w:rPr>
                <w:rFonts w:cs="Arial"/>
              </w:rPr>
              <w:lastRenderedPageBreak/>
              <w:t>Reef-related activity – continued</w:t>
            </w:r>
            <w:bookmarkEnd w:id="106"/>
          </w:p>
          <w:p w:rsidR="001B6420" w:rsidRPr="00DF3703" w:rsidRDefault="006B7D88" w:rsidP="001B6420">
            <w:pPr>
              <w:pStyle w:val="BodyText"/>
              <w:rPr>
                <w:rFonts w:ascii="Arial" w:hAnsi="Arial" w:cs="Arial"/>
              </w:rPr>
            </w:pPr>
            <w:r w:rsidRPr="00DF3703">
              <w:rPr>
                <w:rFonts w:ascii="Arial" w:hAnsi="Arial" w:cs="Arial"/>
              </w:rPr>
              <w:t xml:space="preserve">The proportion of international visitors to the </w:t>
            </w:r>
            <w:r w:rsidR="00F943D7" w:rsidRPr="00DF3703">
              <w:rPr>
                <w:rFonts w:ascii="Arial" w:hAnsi="Arial" w:cs="Arial"/>
              </w:rPr>
              <w:t>R</w:t>
            </w:r>
            <w:r w:rsidRPr="00DF3703">
              <w:rPr>
                <w:rFonts w:ascii="Arial" w:hAnsi="Arial" w:cs="Arial"/>
              </w:rPr>
              <w:t xml:space="preserve">eef was 52% on average, ranging from 60% in Cairns, Cooktown and Townsville to just 19% in the Mackay-Capricorn management area.  </w:t>
            </w:r>
          </w:p>
          <w:p w:rsidR="001B6420" w:rsidRPr="00DF3703" w:rsidRDefault="006B7D88" w:rsidP="001B6420">
            <w:pPr>
              <w:pStyle w:val="BodyText"/>
              <w:rPr>
                <w:rFonts w:ascii="Arial" w:hAnsi="Arial" w:cs="Arial"/>
              </w:rPr>
            </w:pPr>
            <w:r w:rsidRPr="00DF3703">
              <w:rPr>
                <w:rFonts w:ascii="Arial" w:hAnsi="Arial" w:cs="Arial"/>
              </w:rPr>
              <w:t xml:space="preserve">Using these data, total </w:t>
            </w:r>
            <w:r w:rsidR="00F943D7" w:rsidRPr="00DF3703">
              <w:rPr>
                <w:rFonts w:ascii="Arial" w:hAnsi="Arial" w:cs="Arial"/>
              </w:rPr>
              <w:t>R</w:t>
            </w:r>
            <w:r w:rsidRPr="00DF3703">
              <w:rPr>
                <w:rFonts w:ascii="Arial" w:hAnsi="Arial" w:cs="Arial"/>
              </w:rPr>
              <w:t xml:space="preserve">eef related expenditure was estimated to be $481 million in 2012.  Further detail is provided in </w:t>
            </w:r>
            <w:fldSimple w:instr=" REF _Ref336948301 \r \h  \* MERGEFORMAT ">
              <w:r w:rsidR="00536D7E" w:rsidRPr="00536D7E">
                <w:rPr>
                  <w:rFonts w:ascii="Arial" w:hAnsi="Arial" w:cs="Arial"/>
                </w:rPr>
                <w:t>Table 3.13</w:t>
              </w:r>
            </w:fldSimple>
            <w:r w:rsidRPr="00DF3703">
              <w:rPr>
                <w:rFonts w:ascii="Arial" w:hAnsi="Arial" w:cs="Arial"/>
              </w:rPr>
              <w:t>.</w:t>
            </w:r>
          </w:p>
          <w:p w:rsidR="001B6420" w:rsidRPr="00DF3703" w:rsidRDefault="006B7D88" w:rsidP="00E717D2">
            <w:pPr>
              <w:pStyle w:val="CaptionTable"/>
              <w:ind w:left="0"/>
              <w:rPr>
                <w:rFonts w:ascii="Arial" w:hAnsi="Arial" w:cs="Arial"/>
              </w:rPr>
            </w:pPr>
            <w:bookmarkStart w:id="107" w:name="_Ref336948301"/>
            <w:bookmarkStart w:id="108" w:name="_Toc355701061"/>
            <w:r w:rsidRPr="00DF3703">
              <w:rPr>
                <w:rFonts w:ascii="Arial" w:hAnsi="Arial" w:cs="Arial"/>
              </w:rPr>
              <w:t>: Estimated Reef-related tourism expenditure</w:t>
            </w:r>
            <w:bookmarkEnd w:id="107"/>
            <w:r w:rsidRPr="00DF3703">
              <w:rPr>
                <w:rFonts w:ascii="Arial" w:hAnsi="Arial" w:cs="Arial"/>
              </w:rPr>
              <w:t>, 2012</w:t>
            </w:r>
            <w:bookmarkEnd w:id="108"/>
          </w:p>
          <w:tbl>
            <w:tblPr>
              <w:tblStyle w:val="TableAEGrey"/>
              <w:tblW w:w="0" w:type="auto"/>
              <w:tblLook w:val="04A0"/>
            </w:tblPr>
            <w:tblGrid>
              <w:gridCol w:w="2454"/>
              <w:gridCol w:w="1364"/>
              <w:gridCol w:w="1683"/>
              <w:gridCol w:w="1195"/>
              <w:gridCol w:w="1524"/>
            </w:tblGrid>
            <w:tr w:rsidR="00515E90" w:rsidRPr="00DF3703" w:rsidTr="00515E90">
              <w:trPr>
                <w:cnfStyle w:val="100000000000"/>
              </w:trPr>
              <w:tc>
                <w:tcPr>
                  <w:tcW w:w="2454" w:type="dxa"/>
                  <w:vAlign w:val="center"/>
                </w:tcPr>
                <w:p w:rsidR="00515E90" w:rsidRPr="00DF3703" w:rsidRDefault="006B7D88" w:rsidP="001B6420">
                  <w:pPr>
                    <w:jc w:val="center"/>
                    <w:rPr>
                      <w:rFonts w:ascii="Arial" w:hAnsi="Arial" w:cs="Arial"/>
                      <w:b/>
                      <w:bCs/>
                      <w:color w:val="002776"/>
                      <w:sz w:val="20"/>
                    </w:rPr>
                  </w:pPr>
                  <w:r w:rsidRPr="00DF3703">
                    <w:rPr>
                      <w:rFonts w:ascii="Arial" w:hAnsi="Arial" w:cs="Arial"/>
                      <w:b/>
                      <w:bCs/>
                      <w:color w:val="002776"/>
                      <w:sz w:val="20"/>
                    </w:rPr>
                    <w:t> </w:t>
                  </w:r>
                </w:p>
              </w:tc>
              <w:tc>
                <w:tcPr>
                  <w:tcW w:w="1364" w:type="dxa"/>
                  <w:vAlign w:val="center"/>
                </w:tcPr>
                <w:p w:rsidR="00515E90" w:rsidRPr="00DF3703" w:rsidRDefault="006B7D88" w:rsidP="001B6420">
                  <w:pPr>
                    <w:jc w:val="center"/>
                    <w:rPr>
                      <w:rFonts w:ascii="Arial" w:hAnsi="Arial" w:cs="Arial"/>
                      <w:b/>
                      <w:bCs/>
                      <w:color w:val="002776"/>
                      <w:sz w:val="20"/>
                    </w:rPr>
                  </w:pPr>
                  <w:r w:rsidRPr="00DF3703">
                    <w:rPr>
                      <w:rFonts w:ascii="Arial" w:hAnsi="Arial" w:cs="Arial"/>
                      <w:b/>
                      <w:bCs/>
                      <w:color w:val="002776"/>
                      <w:sz w:val="20"/>
                    </w:rPr>
                    <w:t>Visitor days  (‘000s)</w:t>
                  </w:r>
                </w:p>
              </w:tc>
              <w:tc>
                <w:tcPr>
                  <w:tcW w:w="1683" w:type="dxa"/>
                  <w:vAlign w:val="center"/>
                </w:tcPr>
                <w:p w:rsidR="00515E90" w:rsidRPr="00DF3703" w:rsidRDefault="006B7D88" w:rsidP="001B6420">
                  <w:pPr>
                    <w:jc w:val="center"/>
                    <w:rPr>
                      <w:rFonts w:ascii="Arial" w:hAnsi="Arial" w:cs="Arial"/>
                      <w:b/>
                      <w:bCs/>
                      <w:color w:val="002776"/>
                      <w:sz w:val="20"/>
                    </w:rPr>
                  </w:pPr>
                  <w:r w:rsidRPr="00DF3703">
                    <w:rPr>
                      <w:rFonts w:ascii="Arial" w:hAnsi="Arial" w:cs="Arial"/>
                      <w:b/>
                      <w:bCs/>
                      <w:color w:val="002776"/>
                      <w:sz w:val="20"/>
                    </w:rPr>
                    <w:t>International %</w:t>
                  </w:r>
                </w:p>
              </w:tc>
              <w:tc>
                <w:tcPr>
                  <w:tcW w:w="1195" w:type="dxa"/>
                </w:tcPr>
                <w:p w:rsidR="00515E90" w:rsidRPr="00DF3703" w:rsidRDefault="006B7D88" w:rsidP="001B6420">
                  <w:pPr>
                    <w:jc w:val="center"/>
                    <w:rPr>
                      <w:rFonts w:ascii="Arial" w:hAnsi="Arial" w:cs="Arial"/>
                      <w:b/>
                      <w:bCs/>
                      <w:color w:val="002776"/>
                      <w:sz w:val="20"/>
                    </w:rPr>
                  </w:pPr>
                  <w:r w:rsidRPr="00DF3703">
                    <w:rPr>
                      <w:rFonts w:ascii="Arial" w:hAnsi="Arial" w:cs="Arial"/>
                      <w:b/>
                      <w:bCs/>
                      <w:color w:val="002776"/>
                      <w:sz w:val="20"/>
                    </w:rPr>
                    <w:t>Domestic</w:t>
                  </w:r>
                </w:p>
              </w:tc>
              <w:tc>
                <w:tcPr>
                  <w:tcW w:w="1524" w:type="dxa"/>
                  <w:vAlign w:val="center"/>
                </w:tcPr>
                <w:p w:rsidR="00515E90" w:rsidRPr="00DF3703" w:rsidRDefault="006B7D88" w:rsidP="001B6420">
                  <w:pPr>
                    <w:jc w:val="center"/>
                    <w:rPr>
                      <w:rFonts w:ascii="Arial" w:hAnsi="Arial" w:cs="Arial"/>
                      <w:b/>
                      <w:bCs/>
                      <w:color w:val="002776"/>
                      <w:sz w:val="20"/>
                    </w:rPr>
                  </w:pPr>
                  <w:r w:rsidRPr="00DF3703">
                    <w:rPr>
                      <w:rFonts w:ascii="Arial" w:hAnsi="Arial" w:cs="Arial"/>
                      <w:b/>
                      <w:bCs/>
                      <w:color w:val="002776"/>
                      <w:sz w:val="20"/>
                    </w:rPr>
                    <w:t xml:space="preserve">Total expenditure </w:t>
                  </w:r>
                </w:p>
              </w:tc>
            </w:tr>
            <w:tr w:rsidR="00515E90" w:rsidRPr="00DF3703" w:rsidTr="00515E90">
              <w:tc>
                <w:tcPr>
                  <w:tcW w:w="2454" w:type="dxa"/>
                  <w:vAlign w:val="center"/>
                </w:tcPr>
                <w:p w:rsidR="00515E90" w:rsidRPr="00DF3703" w:rsidRDefault="006B7D88" w:rsidP="001B6420">
                  <w:pPr>
                    <w:rPr>
                      <w:rFonts w:ascii="Arial" w:hAnsi="Arial" w:cs="Arial"/>
                      <w:color w:val="000000"/>
                      <w:sz w:val="20"/>
                    </w:rPr>
                  </w:pPr>
                  <w:r w:rsidRPr="00DF3703">
                    <w:rPr>
                      <w:rFonts w:ascii="Arial" w:hAnsi="Arial" w:cs="Arial"/>
                      <w:color w:val="000000"/>
                      <w:sz w:val="20"/>
                    </w:rPr>
                    <w:t xml:space="preserve">Far- Northern </w:t>
                  </w:r>
                </w:p>
              </w:tc>
              <w:tc>
                <w:tcPr>
                  <w:tcW w:w="136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4.8</w:t>
                  </w:r>
                </w:p>
              </w:tc>
              <w:tc>
                <w:tcPr>
                  <w:tcW w:w="1683"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60%</w:t>
                  </w:r>
                </w:p>
              </w:tc>
              <w:tc>
                <w:tcPr>
                  <w:tcW w:w="1195" w:type="dxa"/>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40%</w:t>
                  </w:r>
                </w:p>
              </w:tc>
              <w:tc>
                <w:tcPr>
                  <w:tcW w:w="152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1.2</w:t>
                  </w:r>
                </w:p>
              </w:tc>
            </w:tr>
            <w:tr w:rsidR="00515E90" w:rsidRPr="00DF3703" w:rsidTr="00515E90">
              <w:tc>
                <w:tcPr>
                  <w:tcW w:w="2454" w:type="dxa"/>
                  <w:vAlign w:val="center"/>
                </w:tcPr>
                <w:p w:rsidR="00515E90" w:rsidRPr="00DF3703" w:rsidRDefault="006B7D88" w:rsidP="001B6420">
                  <w:pPr>
                    <w:rPr>
                      <w:rFonts w:ascii="Arial" w:hAnsi="Arial" w:cs="Arial"/>
                      <w:color w:val="000000"/>
                      <w:sz w:val="20"/>
                    </w:rPr>
                  </w:pPr>
                  <w:r w:rsidRPr="00DF3703">
                    <w:rPr>
                      <w:rFonts w:ascii="Arial" w:hAnsi="Arial" w:cs="Arial"/>
                      <w:color w:val="000000"/>
                      <w:sz w:val="20"/>
                    </w:rPr>
                    <w:t>Cairns</w:t>
                  </w:r>
                </w:p>
              </w:tc>
              <w:tc>
                <w:tcPr>
                  <w:tcW w:w="136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966.7</w:t>
                  </w:r>
                </w:p>
              </w:tc>
              <w:tc>
                <w:tcPr>
                  <w:tcW w:w="1683"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60%</w:t>
                  </w:r>
                </w:p>
              </w:tc>
              <w:tc>
                <w:tcPr>
                  <w:tcW w:w="1195" w:type="dxa"/>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40%</w:t>
                  </w:r>
                </w:p>
              </w:tc>
              <w:tc>
                <w:tcPr>
                  <w:tcW w:w="152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235.9</w:t>
                  </w:r>
                </w:p>
              </w:tc>
            </w:tr>
            <w:tr w:rsidR="00515E90" w:rsidRPr="00DF3703" w:rsidTr="00515E90">
              <w:tc>
                <w:tcPr>
                  <w:tcW w:w="2454" w:type="dxa"/>
                  <w:vAlign w:val="center"/>
                </w:tcPr>
                <w:p w:rsidR="00515E90" w:rsidRPr="00DF3703" w:rsidRDefault="006B7D88" w:rsidP="001B6420">
                  <w:pPr>
                    <w:rPr>
                      <w:rFonts w:ascii="Arial" w:hAnsi="Arial" w:cs="Arial"/>
                      <w:color w:val="000000"/>
                      <w:sz w:val="20"/>
                    </w:rPr>
                  </w:pPr>
                  <w:r w:rsidRPr="00DF3703">
                    <w:rPr>
                      <w:rFonts w:ascii="Arial" w:hAnsi="Arial" w:cs="Arial"/>
                      <w:color w:val="000000"/>
                      <w:sz w:val="20"/>
                    </w:rPr>
                    <w:t>Cooktown</w:t>
                  </w:r>
                </w:p>
              </w:tc>
              <w:tc>
                <w:tcPr>
                  <w:tcW w:w="136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36.2</w:t>
                  </w:r>
                </w:p>
              </w:tc>
              <w:tc>
                <w:tcPr>
                  <w:tcW w:w="1683"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60%</w:t>
                  </w:r>
                </w:p>
              </w:tc>
              <w:tc>
                <w:tcPr>
                  <w:tcW w:w="1195" w:type="dxa"/>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40%</w:t>
                  </w:r>
                </w:p>
              </w:tc>
              <w:tc>
                <w:tcPr>
                  <w:tcW w:w="152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8.8</w:t>
                  </w:r>
                </w:p>
              </w:tc>
            </w:tr>
            <w:tr w:rsidR="00515E90" w:rsidRPr="00DF3703" w:rsidTr="00515E90">
              <w:tc>
                <w:tcPr>
                  <w:tcW w:w="2454" w:type="dxa"/>
                  <w:vAlign w:val="center"/>
                </w:tcPr>
                <w:p w:rsidR="00515E90" w:rsidRPr="00DF3703" w:rsidRDefault="006B7D88" w:rsidP="001B6420">
                  <w:pPr>
                    <w:rPr>
                      <w:rFonts w:ascii="Arial" w:hAnsi="Arial" w:cs="Arial"/>
                      <w:color w:val="000000"/>
                      <w:sz w:val="20"/>
                    </w:rPr>
                  </w:pPr>
                  <w:r w:rsidRPr="00DF3703">
                    <w:rPr>
                      <w:rFonts w:ascii="Arial" w:hAnsi="Arial" w:cs="Arial"/>
                      <w:color w:val="000000"/>
                      <w:sz w:val="20"/>
                    </w:rPr>
                    <w:t>Townsville</w:t>
                  </w:r>
                </w:p>
              </w:tc>
              <w:tc>
                <w:tcPr>
                  <w:tcW w:w="136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79.5</w:t>
                  </w:r>
                </w:p>
              </w:tc>
              <w:tc>
                <w:tcPr>
                  <w:tcW w:w="1683"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60%</w:t>
                  </w:r>
                </w:p>
              </w:tc>
              <w:tc>
                <w:tcPr>
                  <w:tcW w:w="1195" w:type="dxa"/>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40%</w:t>
                  </w:r>
                </w:p>
              </w:tc>
              <w:tc>
                <w:tcPr>
                  <w:tcW w:w="152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19.4</w:t>
                  </w:r>
                </w:p>
              </w:tc>
            </w:tr>
            <w:tr w:rsidR="00515E90" w:rsidRPr="00DF3703" w:rsidTr="00515E90">
              <w:tc>
                <w:tcPr>
                  <w:tcW w:w="2454" w:type="dxa"/>
                  <w:vAlign w:val="center"/>
                </w:tcPr>
                <w:p w:rsidR="00515E90" w:rsidRPr="00DF3703" w:rsidRDefault="006B7D88" w:rsidP="001B6420">
                  <w:pPr>
                    <w:rPr>
                      <w:rFonts w:ascii="Arial" w:hAnsi="Arial" w:cs="Arial"/>
                      <w:color w:val="000000"/>
                      <w:sz w:val="20"/>
                    </w:rPr>
                  </w:pPr>
                  <w:r w:rsidRPr="00DF3703">
                    <w:rPr>
                      <w:rFonts w:ascii="Arial" w:hAnsi="Arial" w:cs="Arial"/>
                      <w:color w:val="000000"/>
                      <w:sz w:val="20"/>
                    </w:rPr>
                    <w:t>Whitsundays</w:t>
                  </w:r>
                </w:p>
              </w:tc>
              <w:tc>
                <w:tcPr>
                  <w:tcW w:w="136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706.7</w:t>
                  </w:r>
                </w:p>
              </w:tc>
              <w:tc>
                <w:tcPr>
                  <w:tcW w:w="1683"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50%</w:t>
                  </w:r>
                </w:p>
              </w:tc>
              <w:tc>
                <w:tcPr>
                  <w:tcW w:w="1195" w:type="dxa"/>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50%</w:t>
                  </w:r>
                </w:p>
              </w:tc>
              <w:tc>
                <w:tcPr>
                  <w:tcW w:w="152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179.5</w:t>
                  </w:r>
                </w:p>
              </w:tc>
            </w:tr>
            <w:tr w:rsidR="00515E90" w:rsidRPr="00DF3703" w:rsidTr="00515E90">
              <w:tc>
                <w:tcPr>
                  <w:tcW w:w="2454" w:type="dxa"/>
                  <w:vAlign w:val="center"/>
                </w:tcPr>
                <w:p w:rsidR="00515E90" w:rsidRPr="00DF3703" w:rsidRDefault="006B7D88" w:rsidP="001B6420">
                  <w:pPr>
                    <w:rPr>
                      <w:rFonts w:ascii="Arial" w:hAnsi="Arial" w:cs="Arial"/>
                      <w:color w:val="000000"/>
                      <w:sz w:val="20"/>
                    </w:rPr>
                  </w:pPr>
                  <w:r w:rsidRPr="00DF3703">
                    <w:rPr>
                      <w:rFonts w:ascii="Arial" w:hAnsi="Arial" w:cs="Arial"/>
                      <w:color w:val="000000"/>
                      <w:sz w:val="20"/>
                    </w:rPr>
                    <w:t xml:space="preserve">Mackay-Capricorn </w:t>
                  </w:r>
                </w:p>
              </w:tc>
              <w:tc>
                <w:tcPr>
                  <w:tcW w:w="136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126.4</w:t>
                  </w:r>
                </w:p>
              </w:tc>
              <w:tc>
                <w:tcPr>
                  <w:tcW w:w="1683"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19%</w:t>
                  </w:r>
                </w:p>
              </w:tc>
              <w:tc>
                <w:tcPr>
                  <w:tcW w:w="1195" w:type="dxa"/>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81%</w:t>
                  </w:r>
                </w:p>
              </w:tc>
              <w:tc>
                <w:tcPr>
                  <w:tcW w:w="1524" w:type="dxa"/>
                  <w:vAlign w:val="center"/>
                </w:tcPr>
                <w:p w:rsidR="00515E90" w:rsidRPr="00DF3703" w:rsidRDefault="006B7D88" w:rsidP="001B6420">
                  <w:pPr>
                    <w:jc w:val="right"/>
                    <w:rPr>
                      <w:rFonts w:ascii="Arial" w:hAnsi="Arial" w:cs="Arial"/>
                      <w:color w:val="000000"/>
                      <w:sz w:val="20"/>
                    </w:rPr>
                  </w:pPr>
                  <w:r w:rsidRPr="00DF3703">
                    <w:rPr>
                      <w:rFonts w:ascii="Arial" w:hAnsi="Arial" w:cs="Arial"/>
                      <w:color w:val="000000"/>
                      <w:sz w:val="20"/>
                    </w:rPr>
                    <w:t>36.5</w:t>
                  </w:r>
                </w:p>
              </w:tc>
            </w:tr>
            <w:tr w:rsidR="00515E90" w:rsidRPr="00DF3703" w:rsidTr="00515E90">
              <w:tc>
                <w:tcPr>
                  <w:tcW w:w="2454" w:type="dxa"/>
                  <w:vAlign w:val="center"/>
                </w:tcPr>
                <w:p w:rsidR="00515E90" w:rsidRPr="00DF3703" w:rsidRDefault="006B7D88" w:rsidP="006A23E4">
                  <w:pPr>
                    <w:pStyle w:val="TableHeadingRight"/>
                    <w:jc w:val="left"/>
                    <w:rPr>
                      <w:rFonts w:ascii="Arial" w:hAnsi="Arial" w:cs="Arial"/>
                    </w:rPr>
                  </w:pPr>
                  <w:r w:rsidRPr="00DF3703">
                    <w:rPr>
                      <w:rFonts w:ascii="Arial" w:hAnsi="Arial" w:cs="Arial"/>
                    </w:rPr>
                    <w:t>Total</w:t>
                  </w:r>
                </w:p>
              </w:tc>
              <w:tc>
                <w:tcPr>
                  <w:tcW w:w="1364" w:type="dxa"/>
                  <w:vAlign w:val="center"/>
                </w:tcPr>
                <w:p w:rsidR="00515E90" w:rsidRPr="00DF3703" w:rsidRDefault="006B7D88" w:rsidP="006A23E4">
                  <w:pPr>
                    <w:pStyle w:val="TableHeadingRight"/>
                    <w:rPr>
                      <w:rFonts w:ascii="Arial" w:hAnsi="Arial" w:cs="Arial"/>
                    </w:rPr>
                  </w:pPr>
                  <w:r w:rsidRPr="00DF3703">
                    <w:rPr>
                      <w:rFonts w:ascii="Arial" w:hAnsi="Arial" w:cs="Arial"/>
                    </w:rPr>
                    <w:t>1,920.2</w:t>
                  </w:r>
                </w:p>
              </w:tc>
              <w:tc>
                <w:tcPr>
                  <w:tcW w:w="1683" w:type="dxa"/>
                  <w:vAlign w:val="center"/>
                </w:tcPr>
                <w:p w:rsidR="00515E90" w:rsidRPr="00DF3703" w:rsidRDefault="006B7D88" w:rsidP="006A23E4">
                  <w:pPr>
                    <w:pStyle w:val="TableHeadingRight"/>
                    <w:rPr>
                      <w:rFonts w:ascii="Arial" w:hAnsi="Arial" w:cs="Arial"/>
                    </w:rPr>
                  </w:pPr>
                  <w:r w:rsidRPr="00DF3703">
                    <w:rPr>
                      <w:rFonts w:ascii="Arial" w:hAnsi="Arial" w:cs="Arial"/>
                    </w:rPr>
                    <w:t> </w:t>
                  </w:r>
                </w:p>
              </w:tc>
              <w:tc>
                <w:tcPr>
                  <w:tcW w:w="1195" w:type="dxa"/>
                </w:tcPr>
                <w:p w:rsidR="00515E90" w:rsidRPr="00DF3703" w:rsidRDefault="00515E90" w:rsidP="006A23E4">
                  <w:pPr>
                    <w:pStyle w:val="TableHeadingRight"/>
                    <w:rPr>
                      <w:rFonts w:ascii="Arial" w:hAnsi="Arial" w:cs="Arial"/>
                    </w:rPr>
                  </w:pPr>
                </w:p>
              </w:tc>
              <w:tc>
                <w:tcPr>
                  <w:tcW w:w="1524" w:type="dxa"/>
                  <w:vAlign w:val="center"/>
                </w:tcPr>
                <w:p w:rsidR="00515E90" w:rsidRPr="00DF3703" w:rsidRDefault="006B7D88" w:rsidP="006A23E4">
                  <w:pPr>
                    <w:pStyle w:val="TableHeadingRight"/>
                    <w:rPr>
                      <w:rFonts w:ascii="Arial" w:hAnsi="Arial" w:cs="Arial"/>
                    </w:rPr>
                  </w:pPr>
                  <w:r w:rsidRPr="00DF3703">
                    <w:rPr>
                      <w:rFonts w:ascii="Arial" w:hAnsi="Arial" w:cs="Arial"/>
                    </w:rPr>
                    <w:t>481.4</w:t>
                  </w:r>
                </w:p>
              </w:tc>
            </w:tr>
          </w:tbl>
          <w:p w:rsidR="001B6420" w:rsidRPr="00DF3703" w:rsidRDefault="006B7D88" w:rsidP="001B6420">
            <w:pPr>
              <w:pStyle w:val="Source"/>
              <w:jc w:val="left"/>
              <w:rPr>
                <w:rFonts w:ascii="Arial" w:hAnsi="Arial"/>
              </w:rPr>
            </w:pPr>
            <w:r w:rsidRPr="00DF3703">
              <w:rPr>
                <w:rFonts w:ascii="Arial" w:hAnsi="Arial"/>
              </w:rPr>
              <w:t>Source: Deloitte Access Economics</w:t>
            </w:r>
          </w:p>
          <w:p w:rsidR="001B6420" w:rsidRPr="00DF3703" w:rsidRDefault="006B7D88" w:rsidP="001B6420">
            <w:pPr>
              <w:pStyle w:val="BodyText"/>
              <w:jc w:val="left"/>
              <w:rPr>
                <w:rFonts w:ascii="Arial" w:hAnsi="Arial" w:cs="Arial"/>
              </w:rPr>
            </w:pPr>
            <w:r w:rsidRPr="00DF3703">
              <w:rPr>
                <w:rFonts w:ascii="Arial" w:hAnsi="Arial" w:cs="Arial"/>
              </w:rPr>
              <w:t xml:space="preserve">The </w:t>
            </w:r>
            <w:r w:rsidR="00C84CF6" w:rsidRPr="00DF3703">
              <w:rPr>
                <w:rFonts w:ascii="Arial" w:hAnsi="Arial" w:cs="Arial"/>
              </w:rPr>
              <w:t>R</w:t>
            </w:r>
            <w:r w:rsidRPr="00DF3703">
              <w:rPr>
                <w:rFonts w:ascii="Arial" w:hAnsi="Arial" w:cs="Arial"/>
              </w:rPr>
              <w:t>eef-related expenditure of about $480 million contributed almost $389 million to Australia’s value-added in 2012 and generated employment equivalent to over 4,800 full-time jobs.</w:t>
            </w:r>
          </w:p>
          <w:p w:rsidR="001B6420" w:rsidRPr="00DF3703" w:rsidRDefault="006B7D88" w:rsidP="00E717D2">
            <w:pPr>
              <w:pStyle w:val="CaptionTable"/>
              <w:ind w:left="0"/>
              <w:rPr>
                <w:rFonts w:ascii="Arial" w:hAnsi="Arial" w:cs="Arial"/>
              </w:rPr>
            </w:pPr>
            <w:bookmarkStart w:id="109" w:name="_Toc355701062"/>
            <w:r w:rsidRPr="00DF3703">
              <w:rPr>
                <w:rFonts w:ascii="Arial" w:hAnsi="Arial" w:cs="Arial"/>
              </w:rPr>
              <w:t xml:space="preserve">: Economic contribution of </w:t>
            </w:r>
            <w:r w:rsidR="00C84CF6" w:rsidRPr="00DF3703">
              <w:rPr>
                <w:rFonts w:ascii="Arial" w:hAnsi="Arial" w:cs="Arial"/>
              </w:rPr>
              <w:t>R</w:t>
            </w:r>
            <w:r w:rsidRPr="00DF3703">
              <w:rPr>
                <w:rFonts w:ascii="Arial" w:hAnsi="Arial" w:cs="Arial"/>
              </w:rPr>
              <w:t>eef-specific tourism activity to Australia, 2012</w:t>
            </w:r>
            <w:bookmarkEnd w:id="109"/>
          </w:p>
          <w:tbl>
            <w:tblPr>
              <w:tblStyle w:val="TableAEGrey"/>
              <w:tblW w:w="5000" w:type="pct"/>
              <w:tblLook w:val="04A0"/>
            </w:tblPr>
            <w:tblGrid>
              <w:gridCol w:w="2741"/>
              <w:gridCol w:w="2742"/>
              <w:gridCol w:w="2737"/>
            </w:tblGrid>
            <w:tr w:rsidR="001B6420" w:rsidRPr="00DF3703" w:rsidTr="001B6420">
              <w:trPr>
                <w:cnfStyle w:val="100000000000"/>
              </w:trPr>
              <w:tc>
                <w:tcPr>
                  <w:tcW w:w="1667" w:type="pct"/>
                  <w:shd w:val="clear" w:color="auto" w:fill="auto"/>
                </w:tcPr>
                <w:p w:rsidR="001B6420" w:rsidRPr="00DF3703" w:rsidRDefault="001B6420" w:rsidP="001B6420">
                  <w:pPr>
                    <w:pStyle w:val="TableHeadingRight"/>
                    <w:jc w:val="left"/>
                    <w:rPr>
                      <w:rFonts w:ascii="Arial" w:hAnsi="Arial" w:cs="Arial"/>
                      <w:color w:val="auto"/>
                    </w:rPr>
                  </w:pPr>
                </w:p>
              </w:tc>
              <w:tc>
                <w:tcPr>
                  <w:tcW w:w="1668" w:type="pct"/>
                  <w:shd w:val="clear" w:color="auto" w:fill="auto"/>
                  <w:vAlign w:val="center"/>
                </w:tcPr>
                <w:p w:rsidR="001B6420" w:rsidRPr="00DF3703" w:rsidRDefault="006B7D88" w:rsidP="001B6420">
                  <w:pPr>
                    <w:pStyle w:val="TableHeadingCentre"/>
                    <w:jc w:val="right"/>
                    <w:rPr>
                      <w:rFonts w:ascii="Arial" w:hAnsi="Arial" w:cs="Arial"/>
                    </w:rPr>
                  </w:pPr>
                  <w:r w:rsidRPr="00DF3703">
                    <w:rPr>
                      <w:rFonts w:ascii="Arial" w:hAnsi="Arial" w:cs="Arial"/>
                    </w:rPr>
                    <w:t>Value-added</w:t>
                  </w:r>
                </w:p>
                <w:p w:rsidR="001B6420" w:rsidRPr="00DF3703" w:rsidRDefault="006B7D88" w:rsidP="001B6420">
                  <w:pPr>
                    <w:pStyle w:val="TableHeadingCentre"/>
                    <w:jc w:val="right"/>
                    <w:rPr>
                      <w:rFonts w:ascii="Arial" w:hAnsi="Arial" w:cs="Arial"/>
                    </w:rPr>
                  </w:pPr>
                  <w:r w:rsidRPr="00DF3703">
                    <w:rPr>
                      <w:rFonts w:ascii="Arial" w:hAnsi="Arial" w:cs="Arial"/>
                    </w:rPr>
                    <w:t>($m)</w:t>
                  </w:r>
                </w:p>
              </w:tc>
              <w:tc>
                <w:tcPr>
                  <w:tcW w:w="1665" w:type="pct"/>
                  <w:shd w:val="clear" w:color="auto" w:fill="auto"/>
                  <w:vAlign w:val="center"/>
                </w:tcPr>
                <w:p w:rsidR="001B6420" w:rsidRPr="00DF3703" w:rsidRDefault="006B7D88" w:rsidP="001B6420">
                  <w:pPr>
                    <w:pStyle w:val="TableHeadingCentre"/>
                    <w:jc w:val="right"/>
                    <w:rPr>
                      <w:rFonts w:ascii="Arial" w:hAnsi="Arial" w:cs="Arial"/>
                    </w:rPr>
                  </w:pPr>
                  <w:r w:rsidRPr="00DF3703">
                    <w:rPr>
                      <w:rFonts w:ascii="Arial" w:hAnsi="Arial" w:cs="Arial"/>
                    </w:rPr>
                    <w:t>Employment</w:t>
                  </w:r>
                </w:p>
                <w:p w:rsidR="001B6420" w:rsidRPr="00DF3703" w:rsidRDefault="006B7D88" w:rsidP="001B6420">
                  <w:pPr>
                    <w:pStyle w:val="TableHeadingCentre"/>
                    <w:jc w:val="right"/>
                    <w:rPr>
                      <w:rFonts w:ascii="Arial" w:hAnsi="Arial" w:cs="Arial"/>
                    </w:rPr>
                  </w:pPr>
                  <w:r w:rsidRPr="00DF3703">
                    <w:rPr>
                      <w:rFonts w:ascii="Arial" w:hAnsi="Arial" w:cs="Arial"/>
                    </w:rPr>
                    <w:t>(FTE)</w:t>
                  </w:r>
                </w:p>
              </w:tc>
            </w:tr>
            <w:tr w:rsidR="001B6420" w:rsidRPr="00DF3703" w:rsidTr="001B6420">
              <w:tc>
                <w:tcPr>
                  <w:tcW w:w="1667" w:type="pct"/>
                </w:tcPr>
                <w:p w:rsidR="001B6420" w:rsidRPr="00DF3703" w:rsidRDefault="006B7D88" w:rsidP="006A23E4">
                  <w:pPr>
                    <w:pStyle w:val="TabletextLeft"/>
                    <w:spacing w:before="0"/>
                    <w:rPr>
                      <w:rFonts w:ascii="Arial" w:hAnsi="Arial" w:cs="Arial"/>
                      <w:sz w:val="21"/>
                      <w:szCs w:val="21"/>
                    </w:rPr>
                  </w:pPr>
                  <w:r w:rsidRPr="00DF3703">
                    <w:rPr>
                      <w:rFonts w:ascii="Arial" w:hAnsi="Arial" w:cs="Arial"/>
                      <w:sz w:val="21"/>
                      <w:szCs w:val="21"/>
                    </w:rPr>
                    <w:t>Direct</w:t>
                  </w:r>
                </w:p>
              </w:tc>
              <w:tc>
                <w:tcPr>
                  <w:tcW w:w="1668" w:type="pct"/>
                  <w:vAlign w:val="center"/>
                </w:tcPr>
                <w:p w:rsidR="001B6420" w:rsidRPr="00DF3703" w:rsidRDefault="006B7D88" w:rsidP="006A23E4">
                  <w:pPr>
                    <w:jc w:val="right"/>
                    <w:rPr>
                      <w:rFonts w:ascii="Arial" w:hAnsi="Arial" w:cs="Arial"/>
                      <w:sz w:val="21"/>
                      <w:szCs w:val="21"/>
                    </w:rPr>
                  </w:pPr>
                  <w:r w:rsidRPr="00DF3703">
                    <w:rPr>
                      <w:rFonts w:ascii="Arial" w:hAnsi="Arial" w:cs="Arial"/>
                      <w:sz w:val="21"/>
                      <w:szCs w:val="21"/>
                    </w:rPr>
                    <w:t>218</w:t>
                  </w:r>
                </w:p>
              </w:tc>
              <w:tc>
                <w:tcPr>
                  <w:tcW w:w="1665" w:type="pct"/>
                  <w:vAlign w:val="center"/>
                </w:tcPr>
                <w:p w:rsidR="001B6420" w:rsidRPr="00DF3703" w:rsidRDefault="006B7D88" w:rsidP="006A23E4">
                  <w:pPr>
                    <w:jc w:val="right"/>
                    <w:rPr>
                      <w:rFonts w:ascii="Arial" w:hAnsi="Arial" w:cs="Arial"/>
                      <w:sz w:val="21"/>
                      <w:szCs w:val="21"/>
                    </w:rPr>
                  </w:pPr>
                  <w:r w:rsidRPr="00DF3703">
                    <w:rPr>
                      <w:rFonts w:ascii="Arial" w:hAnsi="Arial" w:cs="Arial"/>
                      <w:sz w:val="21"/>
                      <w:szCs w:val="21"/>
                    </w:rPr>
                    <w:t>3,368</w:t>
                  </w:r>
                </w:p>
              </w:tc>
            </w:tr>
            <w:tr w:rsidR="001B6420" w:rsidRPr="00DF3703" w:rsidTr="001B6420">
              <w:tc>
                <w:tcPr>
                  <w:tcW w:w="1667" w:type="pct"/>
                </w:tcPr>
                <w:p w:rsidR="001B6420" w:rsidRPr="00DF3703" w:rsidRDefault="006B7D88" w:rsidP="006A23E4">
                  <w:pPr>
                    <w:pStyle w:val="TabletextLeft"/>
                    <w:spacing w:before="0"/>
                    <w:rPr>
                      <w:rFonts w:ascii="Arial" w:hAnsi="Arial" w:cs="Arial"/>
                      <w:sz w:val="21"/>
                      <w:szCs w:val="21"/>
                    </w:rPr>
                  </w:pPr>
                  <w:r w:rsidRPr="00DF3703">
                    <w:rPr>
                      <w:rFonts w:ascii="Arial" w:hAnsi="Arial" w:cs="Arial"/>
                      <w:sz w:val="21"/>
                      <w:szCs w:val="21"/>
                    </w:rPr>
                    <w:t>Indirect</w:t>
                  </w:r>
                </w:p>
              </w:tc>
              <w:tc>
                <w:tcPr>
                  <w:tcW w:w="1668" w:type="pct"/>
                  <w:vAlign w:val="center"/>
                </w:tcPr>
                <w:p w:rsidR="001B6420" w:rsidRPr="00DF3703" w:rsidRDefault="006B7D88" w:rsidP="006A23E4">
                  <w:pPr>
                    <w:jc w:val="right"/>
                    <w:rPr>
                      <w:rFonts w:ascii="Arial" w:hAnsi="Arial" w:cs="Arial"/>
                      <w:sz w:val="21"/>
                      <w:szCs w:val="21"/>
                    </w:rPr>
                  </w:pPr>
                  <w:r w:rsidRPr="00DF3703">
                    <w:rPr>
                      <w:rFonts w:ascii="Arial" w:hAnsi="Arial" w:cs="Arial"/>
                      <w:sz w:val="21"/>
                      <w:szCs w:val="21"/>
                    </w:rPr>
                    <w:t>171</w:t>
                  </w:r>
                </w:p>
              </w:tc>
              <w:tc>
                <w:tcPr>
                  <w:tcW w:w="1665" w:type="pct"/>
                  <w:vAlign w:val="center"/>
                </w:tcPr>
                <w:p w:rsidR="001B6420" w:rsidRPr="00DF3703" w:rsidRDefault="006B7D88" w:rsidP="006A23E4">
                  <w:pPr>
                    <w:jc w:val="right"/>
                    <w:rPr>
                      <w:rFonts w:ascii="Arial" w:hAnsi="Arial" w:cs="Arial"/>
                      <w:sz w:val="21"/>
                      <w:szCs w:val="21"/>
                    </w:rPr>
                  </w:pPr>
                  <w:r w:rsidRPr="00DF3703">
                    <w:rPr>
                      <w:rFonts w:ascii="Arial" w:hAnsi="Arial" w:cs="Arial"/>
                      <w:sz w:val="21"/>
                      <w:szCs w:val="21"/>
                    </w:rPr>
                    <w:t>1,463</w:t>
                  </w:r>
                </w:p>
              </w:tc>
            </w:tr>
            <w:tr w:rsidR="001B6420" w:rsidRPr="00DF3703" w:rsidTr="001B6420">
              <w:tc>
                <w:tcPr>
                  <w:tcW w:w="1667" w:type="pct"/>
                </w:tcPr>
                <w:p w:rsidR="001B6420" w:rsidRPr="00DF3703" w:rsidRDefault="006B7D88" w:rsidP="001B6420">
                  <w:pPr>
                    <w:pStyle w:val="TableHeadingRight"/>
                    <w:jc w:val="left"/>
                    <w:rPr>
                      <w:rFonts w:ascii="Arial" w:hAnsi="Arial" w:cs="Arial"/>
                    </w:rPr>
                  </w:pPr>
                  <w:r w:rsidRPr="00DF3703">
                    <w:rPr>
                      <w:rFonts w:ascii="Arial" w:hAnsi="Arial" w:cs="Arial"/>
                    </w:rPr>
                    <w:t>Total</w:t>
                  </w:r>
                </w:p>
              </w:tc>
              <w:tc>
                <w:tcPr>
                  <w:tcW w:w="1668" w:type="pct"/>
                  <w:vAlign w:val="center"/>
                </w:tcPr>
                <w:p w:rsidR="001B6420" w:rsidRPr="00DF3703" w:rsidRDefault="006B7D88" w:rsidP="001B6420">
                  <w:pPr>
                    <w:pStyle w:val="TableHeadingRight"/>
                    <w:rPr>
                      <w:rFonts w:ascii="Arial" w:hAnsi="Arial" w:cs="Arial"/>
                    </w:rPr>
                  </w:pPr>
                  <w:r w:rsidRPr="00DF3703">
                    <w:rPr>
                      <w:rFonts w:ascii="Arial" w:hAnsi="Arial" w:cs="Arial"/>
                    </w:rPr>
                    <w:t>389</w:t>
                  </w:r>
                </w:p>
              </w:tc>
              <w:tc>
                <w:tcPr>
                  <w:tcW w:w="1665" w:type="pct"/>
                  <w:vAlign w:val="center"/>
                </w:tcPr>
                <w:p w:rsidR="001B6420" w:rsidRPr="00DF3703" w:rsidRDefault="006B7D88" w:rsidP="001B6420">
                  <w:pPr>
                    <w:pStyle w:val="TableHeadingRight"/>
                    <w:rPr>
                      <w:rFonts w:ascii="Arial" w:hAnsi="Arial" w:cs="Arial"/>
                    </w:rPr>
                  </w:pPr>
                  <w:r w:rsidRPr="00DF3703">
                    <w:rPr>
                      <w:rFonts w:ascii="Arial" w:hAnsi="Arial" w:cs="Arial"/>
                    </w:rPr>
                    <w:t>4,831</w:t>
                  </w:r>
                </w:p>
              </w:tc>
            </w:tr>
          </w:tbl>
          <w:p w:rsidR="001B6420" w:rsidRPr="00DF3703" w:rsidRDefault="006B7D88" w:rsidP="001B6420">
            <w:pPr>
              <w:pStyle w:val="Source"/>
              <w:jc w:val="left"/>
              <w:rPr>
                <w:rFonts w:ascii="Arial" w:hAnsi="Arial"/>
              </w:rPr>
            </w:pPr>
            <w:r w:rsidRPr="00DF3703">
              <w:rPr>
                <w:rFonts w:ascii="Arial" w:hAnsi="Arial"/>
              </w:rPr>
              <w:t>Source: Deloitte Access Economics estimates</w:t>
            </w:r>
          </w:p>
          <w:p w:rsidR="00C9149F" w:rsidRPr="00DF3703" w:rsidRDefault="006B7D88" w:rsidP="00285C48">
            <w:pPr>
              <w:pStyle w:val="BodyText"/>
              <w:jc w:val="left"/>
              <w:rPr>
                <w:rFonts w:ascii="Arial" w:hAnsi="Arial" w:cs="Arial"/>
              </w:rPr>
            </w:pPr>
            <w:r w:rsidRPr="00DF3703">
              <w:rPr>
                <w:rFonts w:ascii="Arial" w:hAnsi="Arial" w:cs="Arial"/>
              </w:rPr>
              <w:t>The analysis outlined above only includes that activity subject to the EMC.  Information provided by GBRMPA estimates there is a further 2.3 million in passenger transfers to islands.  Further analysis of these transfers could be included in subsequent studies where further information on their activity is forthcoming</w:t>
            </w:r>
            <w:r w:rsidR="00285C48" w:rsidRPr="00DF3703">
              <w:rPr>
                <w:rFonts w:ascii="Arial" w:hAnsi="Arial" w:cs="Arial"/>
              </w:rPr>
              <w:t>.</w:t>
            </w:r>
            <w:r w:rsidRPr="00DF3703">
              <w:rPr>
                <w:rFonts w:ascii="Arial" w:hAnsi="Arial" w:cs="Arial"/>
              </w:rPr>
              <w:t xml:space="preserve"> </w:t>
            </w:r>
            <w:r w:rsidR="00285C48" w:rsidRPr="00DF3703">
              <w:rPr>
                <w:rFonts w:ascii="Arial" w:hAnsi="Arial" w:cs="Arial"/>
              </w:rPr>
              <w:t>D</w:t>
            </w:r>
            <w:r w:rsidRPr="00DF3703">
              <w:rPr>
                <w:rFonts w:ascii="Arial" w:hAnsi="Arial" w:cs="Arial"/>
              </w:rPr>
              <w:t xml:space="preserve">iscussion on this is provided in </w:t>
            </w:r>
            <w:r w:rsidR="00285C48" w:rsidRPr="00DF3703">
              <w:rPr>
                <w:rFonts w:ascii="Arial" w:hAnsi="Arial" w:cs="Arial"/>
              </w:rPr>
              <w:t xml:space="preserve">the </w:t>
            </w:r>
            <w:r w:rsidRPr="00DF3703">
              <w:rPr>
                <w:rFonts w:ascii="Arial" w:hAnsi="Arial" w:cs="Arial"/>
              </w:rPr>
              <w:t xml:space="preserve">road map </w:t>
            </w:r>
            <w:r w:rsidR="00285C48" w:rsidRPr="00DF3703">
              <w:rPr>
                <w:rFonts w:ascii="Arial" w:hAnsi="Arial" w:cs="Arial"/>
              </w:rPr>
              <w:t>for future</w:t>
            </w:r>
            <w:r w:rsidRPr="00DF3703">
              <w:rPr>
                <w:rFonts w:ascii="Arial" w:hAnsi="Arial" w:cs="Arial"/>
              </w:rPr>
              <w:t xml:space="preserve"> analysis in Chapter </w:t>
            </w:r>
            <w:fldSimple w:instr=" REF _Ref340911545 \r \h  \* MERGEFORMAT ">
              <w:r w:rsidR="00536D7E">
                <w:t>7</w:t>
              </w:r>
            </w:fldSimple>
            <w:r w:rsidRPr="00DF3703">
              <w:rPr>
                <w:rFonts w:ascii="Arial" w:hAnsi="Arial" w:cs="Arial"/>
              </w:rPr>
              <w:t>.</w:t>
            </w:r>
          </w:p>
        </w:tc>
      </w:tr>
    </w:tbl>
    <w:p w:rsidR="009B7073" w:rsidRPr="00DF3703" w:rsidRDefault="006B7D88" w:rsidP="006D0525">
      <w:pPr>
        <w:pStyle w:val="Heading1"/>
        <w:ind w:left="0" w:firstLine="0"/>
        <w:rPr>
          <w:rFonts w:ascii="Segoe UI" w:hAnsi="Segoe UI" w:cs="Segoe UI"/>
        </w:rPr>
      </w:pPr>
      <w:bookmarkStart w:id="110" w:name="_Toc355700991"/>
      <w:r w:rsidRPr="00DF3703">
        <w:rPr>
          <w:rFonts w:ascii="Segoe UI" w:hAnsi="Segoe UI" w:cs="Segoe UI"/>
        </w:rPr>
        <w:lastRenderedPageBreak/>
        <w:t>Commercial fishing and aquaculture</w:t>
      </w:r>
      <w:bookmarkEnd w:id="110"/>
    </w:p>
    <w:p w:rsidR="0001350A" w:rsidRPr="00DF3703" w:rsidRDefault="006B7D88" w:rsidP="00C31B23">
      <w:pPr>
        <w:pStyle w:val="BodyText"/>
        <w:rPr>
          <w:rFonts w:ascii="Arial" w:hAnsi="Arial" w:cs="Arial"/>
        </w:rPr>
      </w:pPr>
      <w:r w:rsidRPr="00DF3703">
        <w:rPr>
          <w:rFonts w:ascii="Arial" w:hAnsi="Arial" w:cs="Arial"/>
        </w:rPr>
        <w:t xml:space="preserve">Commercial fishing and aquaculture are important industries for the Queensland and Australian economies. </w:t>
      </w:r>
      <w:r w:rsidR="005D7808" w:rsidRPr="00DF3703">
        <w:rPr>
          <w:rFonts w:ascii="Arial" w:hAnsi="Arial" w:cs="Arial"/>
        </w:rPr>
        <w:t xml:space="preserve"> </w:t>
      </w:r>
      <w:r w:rsidRPr="00DF3703">
        <w:rPr>
          <w:rFonts w:ascii="Arial" w:hAnsi="Arial" w:cs="Arial"/>
        </w:rPr>
        <w:t xml:space="preserve">Commercial fishing refers to the catching of fish that have not been supported, while aquaculture refers to the catching of fish that have been farmed or supported with </w:t>
      </w:r>
      <w:r w:rsidR="009656BB" w:rsidRPr="00DF3703">
        <w:rPr>
          <w:rFonts w:ascii="Arial" w:hAnsi="Arial" w:cs="Arial"/>
        </w:rPr>
        <w:t>human</w:t>
      </w:r>
      <w:r w:rsidRPr="00DF3703">
        <w:rPr>
          <w:rFonts w:ascii="Arial" w:hAnsi="Arial" w:cs="Arial"/>
        </w:rPr>
        <w:t xml:space="preserve"> inte</w:t>
      </w:r>
      <w:r w:rsidR="005D7808" w:rsidRPr="00DF3703">
        <w:rPr>
          <w:rFonts w:ascii="Arial" w:hAnsi="Arial" w:cs="Arial"/>
        </w:rPr>
        <w:t>rvention to enhance production.</w:t>
      </w:r>
    </w:p>
    <w:p w:rsidR="00EB23E0" w:rsidRPr="00DF3703" w:rsidRDefault="006B7D88" w:rsidP="00C31B23">
      <w:pPr>
        <w:pStyle w:val="BodyText"/>
        <w:rPr>
          <w:rFonts w:ascii="Arial" w:hAnsi="Arial" w:cs="Arial"/>
        </w:rPr>
      </w:pPr>
      <w:r w:rsidRPr="00DF3703">
        <w:rPr>
          <w:rFonts w:ascii="Arial" w:hAnsi="Arial" w:cs="Arial"/>
        </w:rPr>
        <w:t xml:space="preserve">Within each of these classifications, commercial fishing is often further disaggregated according to the types of species being caught, their final use and/ or the gear that is used to catch them. </w:t>
      </w:r>
    </w:p>
    <w:p w:rsidR="00FC782D" w:rsidRPr="00DF3703" w:rsidRDefault="006B7D88" w:rsidP="00DF25FB">
      <w:pPr>
        <w:pStyle w:val="BodyText"/>
        <w:rPr>
          <w:rFonts w:ascii="Arial" w:hAnsi="Arial" w:cs="Arial"/>
        </w:rPr>
      </w:pPr>
      <w:r w:rsidRPr="00DF3703">
        <w:rPr>
          <w:rFonts w:ascii="Arial" w:hAnsi="Arial" w:cs="Arial"/>
        </w:rPr>
        <w:t xml:space="preserve">The total value revenue from </w:t>
      </w:r>
      <w:r w:rsidR="00145CF9" w:rsidRPr="00DF3703">
        <w:rPr>
          <w:rFonts w:ascii="Arial" w:hAnsi="Arial" w:cs="Arial"/>
        </w:rPr>
        <w:t xml:space="preserve">all </w:t>
      </w:r>
      <w:r w:rsidRPr="00DF3703">
        <w:rPr>
          <w:rFonts w:ascii="Arial" w:hAnsi="Arial" w:cs="Arial"/>
        </w:rPr>
        <w:t>commercial fishing</w:t>
      </w:r>
      <w:r w:rsidR="00145CF9" w:rsidRPr="00DF3703">
        <w:rPr>
          <w:rFonts w:ascii="Arial" w:hAnsi="Arial" w:cs="Arial"/>
        </w:rPr>
        <w:t xml:space="preserve"> (including aquaculture)</w:t>
      </w:r>
      <w:r w:rsidRPr="00DF3703">
        <w:rPr>
          <w:rFonts w:ascii="Arial" w:hAnsi="Arial" w:cs="Arial"/>
        </w:rPr>
        <w:t xml:space="preserve"> in the </w:t>
      </w:r>
      <w:r w:rsidR="00036279" w:rsidRPr="00DF3703">
        <w:rPr>
          <w:rFonts w:ascii="Arial" w:hAnsi="Arial" w:cs="Arial"/>
        </w:rPr>
        <w:t>World Heritage Area</w:t>
      </w:r>
      <w:r w:rsidRPr="00DF3703">
        <w:rPr>
          <w:rFonts w:ascii="Arial" w:hAnsi="Arial" w:cs="Arial"/>
        </w:rPr>
        <w:t xml:space="preserve"> in 2010-11</w:t>
      </w:r>
      <w:r w:rsidR="004311B9" w:rsidRPr="00DF3703">
        <w:rPr>
          <w:rStyle w:val="FootnoteReference"/>
          <w:rFonts w:cs="Arial"/>
        </w:rPr>
        <w:footnoteReference w:id="7"/>
      </w:r>
      <w:r w:rsidRPr="00DF3703">
        <w:rPr>
          <w:rFonts w:ascii="Arial" w:hAnsi="Arial" w:cs="Arial"/>
        </w:rPr>
        <w:t xml:space="preserve"> is estimated to be around $193 million (</w:t>
      </w:r>
      <w:fldSimple w:instr=" REF _Ref340156377 \r \h  \* MERGEFORMAT ">
        <w:r w:rsidR="00536D7E" w:rsidRPr="00536D7E">
          <w:rPr>
            <w:rFonts w:ascii="Arial" w:hAnsi="Arial" w:cs="Arial"/>
          </w:rPr>
          <w:t>Table 4.1</w:t>
        </w:r>
      </w:fldSimple>
      <w:r w:rsidRPr="00DF3703">
        <w:rPr>
          <w:rFonts w:ascii="Arial" w:hAnsi="Arial" w:cs="Arial"/>
        </w:rPr>
        <w:t xml:space="preserve">). </w:t>
      </w:r>
    </w:p>
    <w:p w:rsidR="00FC782D" w:rsidRPr="00DF3703" w:rsidRDefault="006B7D88" w:rsidP="006D0525">
      <w:pPr>
        <w:pStyle w:val="CaptionTable"/>
        <w:ind w:left="0"/>
        <w:rPr>
          <w:rFonts w:ascii="Arial" w:hAnsi="Arial" w:cs="Arial"/>
        </w:rPr>
      </w:pPr>
      <w:bookmarkStart w:id="111" w:name="_Ref340156377"/>
      <w:bookmarkStart w:id="112" w:name="_Toc355701063"/>
      <w:r w:rsidRPr="00DF3703">
        <w:rPr>
          <w:rFonts w:ascii="Arial" w:hAnsi="Arial" w:cs="Arial"/>
        </w:rPr>
        <w:t xml:space="preserve">: Gross value product of </w:t>
      </w:r>
      <w:r w:rsidR="00145CF9" w:rsidRPr="00DF3703">
        <w:rPr>
          <w:rFonts w:ascii="Arial" w:hAnsi="Arial" w:cs="Arial"/>
        </w:rPr>
        <w:t xml:space="preserve">all </w:t>
      </w:r>
      <w:r w:rsidRPr="00DF3703">
        <w:rPr>
          <w:rFonts w:ascii="Arial" w:hAnsi="Arial" w:cs="Arial"/>
        </w:rPr>
        <w:t>commercial fishing 2010-11</w:t>
      </w:r>
      <w:bookmarkEnd w:id="111"/>
      <w:r w:rsidRPr="00DF3703">
        <w:rPr>
          <w:rFonts w:ascii="Arial" w:hAnsi="Arial" w:cs="Arial"/>
        </w:rPr>
        <w:t>, $m</w:t>
      </w:r>
      <w:bookmarkEnd w:id="112"/>
    </w:p>
    <w:tbl>
      <w:tblPr>
        <w:tblStyle w:val="TableAE"/>
        <w:tblW w:w="0" w:type="auto"/>
        <w:tblLayout w:type="fixed"/>
        <w:tblLook w:val="04A0"/>
      </w:tblPr>
      <w:tblGrid>
        <w:gridCol w:w="1687"/>
        <w:gridCol w:w="1687"/>
        <w:gridCol w:w="1687"/>
        <w:gridCol w:w="1687"/>
        <w:gridCol w:w="1688"/>
      </w:tblGrid>
      <w:tr w:rsidR="00043465" w:rsidRPr="00DF3703" w:rsidTr="00043465">
        <w:trPr>
          <w:cnfStyle w:val="100000000000"/>
        </w:trPr>
        <w:tc>
          <w:tcPr>
            <w:tcW w:w="1687" w:type="dxa"/>
          </w:tcPr>
          <w:p w:rsidR="00043465" w:rsidRPr="00DF3703" w:rsidRDefault="009656BB" w:rsidP="00043465">
            <w:pPr>
              <w:pStyle w:val="TableHeadingCentre"/>
              <w:rPr>
                <w:rFonts w:ascii="Arial" w:hAnsi="Arial" w:cs="Arial"/>
              </w:rPr>
            </w:pPr>
            <w:r w:rsidRPr="00DF3703">
              <w:rPr>
                <w:rFonts w:ascii="Arial" w:hAnsi="Arial" w:cs="Arial"/>
              </w:rPr>
              <w:t>NRM Region</w:t>
            </w:r>
          </w:p>
        </w:tc>
        <w:tc>
          <w:tcPr>
            <w:tcW w:w="1687" w:type="dxa"/>
          </w:tcPr>
          <w:p w:rsidR="00043465" w:rsidRPr="00DF3703" w:rsidRDefault="006B7D88" w:rsidP="00043465">
            <w:pPr>
              <w:pStyle w:val="TableHeadingCentre"/>
              <w:rPr>
                <w:rFonts w:ascii="Arial" w:hAnsi="Arial" w:cs="Arial"/>
              </w:rPr>
            </w:pPr>
            <w:r w:rsidRPr="00DF3703">
              <w:rPr>
                <w:rFonts w:ascii="Arial" w:hAnsi="Arial" w:cs="Arial"/>
              </w:rPr>
              <w:t>Line, net, pot and trawl</w:t>
            </w:r>
          </w:p>
        </w:tc>
        <w:tc>
          <w:tcPr>
            <w:tcW w:w="1687" w:type="dxa"/>
          </w:tcPr>
          <w:p w:rsidR="00043465" w:rsidRPr="00DF3703" w:rsidRDefault="006B7D88" w:rsidP="00043465">
            <w:pPr>
              <w:pStyle w:val="TableHeadingCentre"/>
              <w:rPr>
                <w:rFonts w:ascii="Arial" w:hAnsi="Arial" w:cs="Arial"/>
              </w:rPr>
            </w:pPr>
            <w:r w:rsidRPr="00DF3703">
              <w:rPr>
                <w:rFonts w:ascii="Arial" w:hAnsi="Arial" w:cs="Arial"/>
              </w:rPr>
              <w:t>Harvest</w:t>
            </w:r>
          </w:p>
        </w:tc>
        <w:tc>
          <w:tcPr>
            <w:tcW w:w="1687" w:type="dxa"/>
          </w:tcPr>
          <w:p w:rsidR="00043465" w:rsidRPr="00DF3703" w:rsidRDefault="006D0525" w:rsidP="00043465">
            <w:pPr>
              <w:pStyle w:val="TableHeadingCentre"/>
              <w:rPr>
                <w:rFonts w:ascii="Arial" w:hAnsi="Arial" w:cs="Arial"/>
              </w:rPr>
            </w:pPr>
            <w:r w:rsidRPr="00DF3703">
              <w:rPr>
                <w:rFonts w:ascii="Arial" w:hAnsi="Arial" w:cs="Arial"/>
              </w:rPr>
              <w:t>Aquaculture</w:t>
            </w:r>
          </w:p>
        </w:tc>
        <w:tc>
          <w:tcPr>
            <w:tcW w:w="1688" w:type="dxa"/>
          </w:tcPr>
          <w:p w:rsidR="00043465" w:rsidRPr="00DF3703" w:rsidRDefault="006B7D88" w:rsidP="00043465">
            <w:pPr>
              <w:pStyle w:val="TableHeadingCentre"/>
              <w:rPr>
                <w:rFonts w:ascii="Arial" w:hAnsi="Arial" w:cs="Arial"/>
              </w:rPr>
            </w:pPr>
            <w:r w:rsidRPr="00DF3703">
              <w:rPr>
                <w:rFonts w:ascii="Arial" w:hAnsi="Arial" w:cs="Arial"/>
              </w:rPr>
              <w:t xml:space="preserve">Total </w:t>
            </w:r>
          </w:p>
        </w:tc>
      </w:tr>
      <w:tr w:rsidR="00043465" w:rsidRPr="00DF3703" w:rsidTr="00043465">
        <w:tc>
          <w:tcPr>
            <w:tcW w:w="1687" w:type="dxa"/>
          </w:tcPr>
          <w:p w:rsidR="00043465" w:rsidRPr="00DF3703" w:rsidRDefault="006B7D88" w:rsidP="00043465">
            <w:pPr>
              <w:pStyle w:val="TabletextLeft"/>
              <w:rPr>
                <w:rFonts w:ascii="Arial" w:hAnsi="Arial" w:cs="Arial"/>
              </w:rPr>
            </w:pPr>
            <w:r w:rsidRPr="00DF3703">
              <w:rPr>
                <w:rFonts w:ascii="Arial" w:hAnsi="Arial" w:cs="Arial"/>
                <w:lang w:eastAsia="en-AU"/>
              </w:rPr>
              <w:t>Torres Strait</w:t>
            </w:r>
          </w:p>
        </w:tc>
        <w:tc>
          <w:tcPr>
            <w:tcW w:w="1687" w:type="dxa"/>
          </w:tcPr>
          <w:p w:rsidR="00043465" w:rsidRPr="00DF3703" w:rsidRDefault="00043465" w:rsidP="00043465">
            <w:pPr>
              <w:pStyle w:val="TabletextLeft"/>
              <w:rPr>
                <w:rFonts w:ascii="Arial" w:hAnsi="Arial" w:cs="Arial"/>
              </w:rPr>
            </w:pPr>
          </w:p>
        </w:tc>
        <w:tc>
          <w:tcPr>
            <w:tcW w:w="1687" w:type="dxa"/>
          </w:tcPr>
          <w:p w:rsidR="00043465" w:rsidRPr="00DF3703" w:rsidRDefault="00043465" w:rsidP="00043465">
            <w:pPr>
              <w:pStyle w:val="TabletextLeft"/>
              <w:rPr>
                <w:rFonts w:ascii="Arial" w:hAnsi="Arial" w:cs="Arial"/>
              </w:rPr>
            </w:pPr>
          </w:p>
        </w:tc>
        <w:tc>
          <w:tcPr>
            <w:tcW w:w="1687" w:type="dxa"/>
          </w:tcPr>
          <w:p w:rsidR="00043465" w:rsidRPr="00DF3703" w:rsidRDefault="00043465" w:rsidP="00043465">
            <w:pPr>
              <w:pStyle w:val="TabletextLeft"/>
              <w:rPr>
                <w:rFonts w:ascii="Arial" w:hAnsi="Arial" w:cs="Arial"/>
              </w:rPr>
            </w:pPr>
          </w:p>
        </w:tc>
        <w:tc>
          <w:tcPr>
            <w:tcW w:w="1688" w:type="dxa"/>
          </w:tcPr>
          <w:p w:rsidR="00043465" w:rsidRPr="00DF3703" w:rsidRDefault="00043465" w:rsidP="00043465">
            <w:pPr>
              <w:pStyle w:val="TabletextLeft"/>
              <w:rPr>
                <w:rFonts w:ascii="Arial" w:hAnsi="Arial" w:cs="Arial"/>
              </w:rPr>
            </w:pPr>
          </w:p>
        </w:tc>
      </w:tr>
      <w:tr w:rsidR="00043465" w:rsidRPr="00DF3703" w:rsidTr="00043465">
        <w:tc>
          <w:tcPr>
            <w:tcW w:w="1687"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Cape York</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25.2</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6.6</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13.2</w:t>
            </w:r>
          </w:p>
        </w:tc>
        <w:tc>
          <w:tcPr>
            <w:tcW w:w="1688" w:type="dxa"/>
            <w:vAlign w:val="center"/>
          </w:tcPr>
          <w:p w:rsidR="00043465" w:rsidRPr="00DF3703" w:rsidRDefault="006B7D88" w:rsidP="00043465">
            <w:pPr>
              <w:jc w:val="center"/>
              <w:rPr>
                <w:rFonts w:ascii="Arial" w:hAnsi="Arial" w:cs="Arial"/>
                <w:sz w:val="20"/>
              </w:rPr>
            </w:pPr>
            <w:r w:rsidRPr="00DF3703">
              <w:rPr>
                <w:rFonts w:ascii="Arial" w:hAnsi="Arial" w:cs="Arial"/>
                <w:sz w:val="20"/>
              </w:rPr>
              <w:t>45.0</w:t>
            </w:r>
          </w:p>
        </w:tc>
      </w:tr>
      <w:tr w:rsidR="00043465" w:rsidRPr="00DF3703" w:rsidTr="00043465">
        <w:tc>
          <w:tcPr>
            <w:tcW w:w="1687"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Wet Tropics</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12.0</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3.1</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6.2</w:t>
            </w:r>
          </w:p>
        </w:tc>
        <w:tc>
          <w:tcPr>
            <w:tcW w:w="1688" w:type="dxa"/>
            <w:vAlign w:val="center"/>
          </w:tcPr>
          <w:p w:rsidR="00043465" w:rsidRPr="00DF3703" w:rsidRDefault="006B7D88" w:rsidP="00043465">
            <w:pPr>
              <w:jc w:val="center"/>
              <w:rPr>
                <w:rFonts w:ascii="Arial" w:hAnsi="Arial" w:cs="Arial"/>
                <w:sz w:val="20"/>
              </w:rPr>
            </w:pPr>
            <w:r w:rsidRPr="00DF3703">
              <w:rPr>
                <w:rFonts w:ascii="Arial" w:hAnsi="Arial" w:cs="Arial"/>
                <w:sz w:val="20"/>
              </w:rPr>
              <w:t>21.3</w:t>
            </w:r>
          </w:p>
        </w:tc>
      </w:tr>
      <w:tr w:rsidR="00043465" w:rsidRPr="00DF3703" w:rsidTr="00043465">
        <w:tc>
          <w:tcPr>
            <w:tcW w:w="1687"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Burdekin</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12.4</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3.2</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34.7</w:t>
            </w:r>
          </w:p>
        </w:tc>
        <w:tc>
          <w:tcPr>
            <w:tcW w:w="1688" w:type="dxa"/>
            <w:vAlign w:val="center"/>
          </w:tcPr>
          <w:p w:rsidR="00043465" w:rsidRPr="00DF3703" w:rsidRDefault="006B7D88" w:rsidP="00043465">
            <w:pPr>
              <w:jc w:val="center"/>
              <w:rPr>
                <w:rFonts w:ascii="Arial" w:hAnsi="Arial" w:cs="Arial"/>
                <w:sz w:val="20"/>
              </w:rPr>
            </w:pPr>
            <w:r w:rsidRPr="00DF3703">
              <w:rPr>
                <w:rFonts w:ascii="Arial" w:hAnsi="Arial" w:cs="Arial"/>
                <w:sz w:val="20"/>
              </w:rPr>
              <w:t>50.3</w:t>
            </w:r>
          </w:p>
        </w:tc>
      </w:tr>
      <w:tr w:rsidR="00043465" w:rsidRPr="00DF3703" w:rsidTr="00043465">
        <w:tc>
          <w:tcPr>
            <w:tcW w:w="1687"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Mackay Whitsunday</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16.4</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4.3</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8.0</w:t>
            </w:r>
          </w:p>
        </w:tc>
        <w:tc>
          <w:tcPr>
            <w:tcW w:w="1688" w:type="dxa"/>
            <w:vAlign w:val="center"/>
          </w:tcPr>
          <w:p w:rsidR="00043465" w:rsidRPr="00DF3703" w:rsidRDefault="006B7D88" w:rsidP="00043465">
            <w:pPr>
              <w:jc w:val="center"/>
              <w:rPr>
                <w:rFonts w:ascii="Arial" w:hAnsi="Arial" w:cs="Arial"/>
                <w:sz w:val="20"/>
              </w:rPr>
            </w:pPr>
            <w:r w:rsidRPr="00DF3703">
              <w:rPr>
                <w:rFonts w:ascii="Arial" w:hAnsi="Arial" w:cs="Arial"/>
                <w:sz w:val="20"/>
              </w:rPr>
              <w:t>28.7</w:t>
            </w:r>
          </w:p>
        </w:tc>
      </w:tr>
      <w:tr w:rsidR="00043465" w:rsidRPr="00DF3703" w:rsidTr="00043465">
        <w:tc>
          <w:tcPr>
            <w:tcW w:w="1687"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Fitzroy</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27.8</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7.3</w:t>
            </w:r>
          </w:p>
        </w:tc>
        <w:tc>
          <w:tcPr>
            <w:tcW w:w="1687" w:type="dxa"/>
            <w:vAlign w:val="center"/>
          </w:tcPr>
          <w:p w:rsidR="00043465" w:rsidRPr="00DF3703" w:rsidRDefault="006B7D88" w:rsidP="00043465">
            <w:pPr>
              <w:jc w:val="center"/>
              <w:rPr>
                <w:rFonts w:ascii="Arial" w:hAnsi="Arial" w:cs="Arial"/>
                <w:sz w:val="20"/>
              </w:rPr>
            </w:pPr>
            <w:r w:rsidRPr="00DF3703">
              <w:rPr>
                <w:rFonts w:ascii="Arial" w:hAnsi="Arial" w:cs="Arial"/>
                <w:sz w:val="20"/>
              </w:rPr>
              <w:t>0.3</w:t>
            </w:r>
          </w:p>
        </w:tc>
        <w:tc>
          <w:tcPr>
            <w:tcW w:w="1688" w:type="dxa"/>
            <w:vAlign w:val="center"/>
          </w:tcPr>
          <w:p w:rsidR="00043465" w:rsidRPr="00DF3703" w:rsidRDefault="006B7D88" w:rsidP="00043465">
            <w:pPr>
              <w:jc w:val="center"/>
              <w:rPr>
                <w:rFonts w:ascii="Arial" w:hAnsi="Arial" w:cs="Arial"/>
                <w:sz w:val="20"/>
              </w:rPr>
            </w:pPr>
            <w:r w:rsidRPr="00DF3703">
              <w:rPr>
                <w:rFonts w:ascii="Arial" w:hAnsi="Arial" w:cs="Arial"/>
                <w:sz w:val="20"/>
              </w:rPr>
              <w:t>35.3</w:t>
            </w:r>
          </w:p>
        </w:tc>
      </w:tr>
      <w:tr w:rsidR="00043465" w:rsidRPr="00DF3703" w:rsidTr="00043465">
        <w:tc>
          <w:tcPr>
            <w:tcW w:w="1687" w:type="dxa"/>
            <w:tcBorders>
              <w:bottom w:val="single" w:sz="12" w:space="0" w:color="002776"/>
            </w:tcBorders>
          </w:tcPr>
          <w:p w:rsidR="00043465" w:rsidRPr="00DF3703" w:rsidRDefault="006B7D88" w:rsidP="00043465">
            <w:pPr>
              <w:rPr>
                <w:rFonts w:ascii="Arial" w:hAnsi="Arial" w:cs="Arial"/>
                <w:sz w:val="20"/>
                <w:lang w:eastAsia="en-AU"/>
              </w:rPr>
            </w:pPr>
            <w:r w:rsidRPr="00DF3703">
              <w:rPr>
                <w:rFonts w:ascii="Arial" w:hAnsi="Arial" w:cs="Arial"/>
                <w:sz w:val="20"/>
                <w:lang w:eastAsia="en-AU"/>
              </w:rPr>
              <w:t>Burnett Mary</w:t>
            </w:r>
          </w:p>
        </w:tc>
        <w:tc>
          <w:tcPr>
            <w:tcW w:w="1687" w:type="dxa"/>
            <w:tcBorders>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3.6</w:t>
            </w:r>
          </w:p>
        </w:tc>
        <w:tc>
          <w:tcPr>
            <w:tcW w:w="1687" w:type="dxa"/>
            <w:tcBorders>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1.0</w:t>
            </w:r>
          </w:p>
        </w:tc>
        <w:tc>
          <w:tcPr>
            <w:tcW w:w="1687" w:type="dxa"/>
            <w:tcBorders>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7.2</w:t>
            </w:r>
          </w:p>
        </w:tc>
        <w:tc>
          <w:tcPr>
            <w:tcW w:w="1688" w:type="dxa"/>
            <w:tcBorders>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11.8</w:t>
            </w:r>
          </w:p>
        </w:tc>
      </w:tr>
      <w:tr w:rsidR="00043465" w:rsidRPr="00DF3703" w:rsidTr="00043465">
        <w:tc>
          <w:tcPr>
            <w:tcW w:w="1687" w:type="dxa"/>
            <w:tcBorders>
              <w:top w:val="single" w:sz="12" w:space="0" w:color="002776"/>
              <w:bottom w:val="single" w:sz="12" w:space="0" w:color="002776"/>
            </w:tcBorders>
          </w:tcPr>
          <w:p w:rsidR="00043465" w:rsidRPr="00DF3703" w:rsidRDefault="006B7D88" w:rsidP="00043465">
            <w:pPr>
              <w:pStyle w:val="TabletextLeft"/>
              <w:rPr>
                <w:rFonts w:ascii="Arial" w:hAnsi="Arial" w:cs="Arial"/>
              </w:rPr>
            </w:pPr>
            <w:r w:rsidRPr="00DF3703">
              <w:rPr>
                <w:rFonts w:ascii="Arial" w:hAnsi="Arial" w:cs="Arial"/>
              </w:rPr>
              <w:t>Total</w:t>
            </w:r>
          </w:p>
        </w:tc>
        <w:tc>
          <w:tcPr>
            <w:tcW w:w="1687" w:type="dxa"/>
            <w:tcBorders>
              <w:top w:val="single" w:sz="12" w:space="0" w:color="002776"/>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97.4</w:t>
            </w:r>
          </w:p>
        </w:tc>
        <w:tc>
          <w:tcPr>
            <w:tcW w:w="1687" w:type="dxa"/>
            <w:tcBorders>
              <w:top w:val="single" w:sz="12" w:space="0" w:color="002776"/>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25.5</w:t>
            </w:r>
          </w:p>
        </w:tc>
        <w:tc>
          <w:tcPr>
            <w:tcW w:w="1687" w:type="dxa"/>
            <w:tcBorders>
              <w:top w:val="single" w:sz="12" w:space="0" w:color="002776"/>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69.6</w:t>
            </w:r>
          </w:p>
        </w:tc>
        <w:tc>
          <w:tcPr>
            <w:tcW w:w="1688" w:type="dxa"/>
            <w:tcBorders>
              <w:top w:val="single" w:sz="12" w:space="0" w:color="002776"/>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192.5</w:t>
            </w:r>
          </w:p>
        </w:tc>
      </w:tr>
    </w:tbl>
    <w:p w:rsidR="003B452B" w:rsidRPr="00DF3703" w:rsidRDefault="006B7D88" w:rsidP="00043465">
      <w:pPr>
        <w:pStyle w:val="Source"/>
        <w:rPr>
          <w:rFonts w:ascii="Arial" w:hAnsi="Arial"/>
        </w:rPr>
      </w:pPr>
      <w:r w:rsidRPr="00DF3703">
        <w:rPr>
          <w:rFonts w:ascii="Arial" w:hAnsi="Arial"/>
        </w:rPr>
        <w:t>Source: DAFF, 2012a; DAFF, 2012b; Queensland Government, various years</w:t>
      </w:r>
    </w:p>
    <w:p w:rsidR="00AD77F9" w:rsidRPr="00DF3703" w:rsidRDefault="006B7D88" w:rsidP="00DF25FB">
      <w:pPr>
        <w:pStyle w:val="BodyText"/>
        <w:rPr>
          <w:rFonts w:ascii="Arial" w:hAnsi="Arial" w:cs="Arial"/>
        </w:rPr>
      </w:pPr>
      <w:r w:rsidRPr="00DF3703">
        <w:rPr>
          <w:rFonts w:ascii="Arial" w:hAnsi="Arial" w:cs="Arial"/>
        </w:rPr>
        <w:t xml:space="preserve">This estimate is based on the gross value product (GVP) of each of the fishing methods, which have each been estimated as described below: </w:t>
      </w:r>
    </w:p>
    <w:p w:rsidR="00E13AA0" w:rsidRPr="00DF3703" w:rsidRDefault="006B7D88" w:rsidP="00AD77F9">
      <w:pPr>
        <w:pStyle w:val="Bullet1"/>
        <w:rPr>
          <w:rFonts w:ascii="Arial" w:hAnsi="Arial"/>
        </w:rPr>
      </w:pPr>
      <w:r w:rsidRPr="00DF3703">
        <w:rPr>
          <w:rFonts w:ascii="Arial" w:hAnsi="Arial"/>
        </w:rPr>
        <w:t xml:space="preserve">For </w:t>
      </w:r>
      <w:r w:rsidRPr="00DF3703">
        <w:rPr>
          <w:rFonts w:ascii="Arial" w:hAnsi="Arial"/>
          <w:b/>
          <w:color w:val="002776"/>
        </w:rPr>
        <w:t>line, net, pot and trawl fishing</w:t>
      </w:r>
      <w:r w:rsidRPr="00DF3703">
        <w:rPr>
          <w:rFonts w:ascii="Arial" w:hAnsi="Arial"/>
        </w:rPr>
        <w:t xml:space="preserve">, logbook data on commercial catch by grid reference for 2010-11 has been used, compiled by the Department of Agriculture, Forestry and Fishing. </w:t>
      </w:r>
    </w:p>
    <w:p w:rsidR="00DF25FB" w:rsidRPr="00DF3703" w:rsidRDefault="006B7D88" w:rsidP="00AD77F9">
      <w:pPr>
        <w:pStyle w:val="Bullet1"/>
        <w:rPr>
          <w:rFonts w:ascii="Arial" w:hAnsi="Arial"/>
        </w:rPr>
      </w:pPr>
      <w:r w:rsidRPr="00DF3703">
        <w:rPr>
          <w:rFonts w:ascii="Arial" w:hAnsi="Arial"/>
          <w:b/>
          <w:color w:val="002776"/>
        </w:rPr>
        <w:t>Harvest data</w:t>
      </w:r>
      <w:r w:rsidRPr="00DF3703">
        <w:rPr>
          <w:rFonts w:ascii="Arial" w:hAnsi="Arial"/>
          <w:color w:val="002776"/>
        </w:rPr>
        <w:t xml:space="preserve"> </w:t>
      </w:r>
      <w:r w:rsidRPr="00DF3703">
        <w:rPr>
          <w:rFonts w:ascii="Arial" w:hAnsi="Arial"/>
        </w:rPr>
        <w:t xml:space="preserve">has been aggregated from the gross value product of catches for each of Queensland’s harvest fisheries, reported in their sustainability reports to government. </w:t>
      </w:r>
      <w:r w:rsidR="005D7808" w:rsidRPr="00DF3703">
        <w:rPr>
          <w:rFonts w:ascii="Arial" w:hAnsi="Arial"/>
        </w:rPr>
        <w:t xml:space="preserve"> </w:t>
      </w:r>
      <w:r w:rsidRPr="00DF3703">
        <w:rPr>
          <w:rFonts w:ascii="Arial" w:hAnsi="Arial"/>
        </w:rPr>
        <w:t xml:space="preserve">These GVPs refer to various years. As such, where necessary, dollar figures have been scaled to reflect inflation. </w:t>
      </w:r>
    </w:p>
    <w:p w:rsidR="008D4EA5" w:rsidRPr="00DF3703" w:rsidRDefault="006B7D88" w:rsidP="008D4EA5">
      <w:pPr>
        <w:pStyle w:val="Bullet1"/>
        <w:rPr>
          <w:rFonts w:ascii="Arial" w:hAnsi="Arial"/>
        </w:rPr>
      </w:pPr>
      <w:r w:rsidRPr="00DF3703">
        <w:rPr>
          <w:rFonts w:ascii="Arial" w:hAnsi="Arial"/>
        </w:rPr>
        <w:t xml:space="preserve">Finally, the gross value product of </w:t>
      </w:r>
      <w:r w:rsidRPr="00DF3703">
        <w:rPr>
          <w:rFonts w:ascii="Arial" w:hAnsi="Arial"/>
          <w:b/>
          <w:color w:val="002776"/>
        </w:rPr>
        <w:t>aquaculture</w:t>
      </w:r>
      <w:r w:rsidRPr="00DF3703">
        <w:rPr>
          <w:rFonts w:ascii="Arial" w:hAnsi="Arial"/>
        </w:rPr>
        <w:t xml:space="preserve"> in the </w:t>
      </w:r>
      <w:r w:rsidR="009656BB" w:rsidRPr="00DF3703">
        <w:rPr>
          <w:rFonts w:ascii="Arial" w:hAnsi="Arial"/>
        </w:rPr>
        <w:t>catchment</w:t>
      </w:r>
      <w:r w:rsidR="005D7808" w:rsidRPr="00DF3703">
        <w:rPr>
          <w:rFonts w:ascii="Arial" w:hAnsi="Arial"/>
        </w:rPr>
        <w:t xml:space="preserve"> </w:t>
      </w:r>
      <w:r w:rsidRPr="00DF3703">
        <w:rPr>
          <w:rFonts w:ascii="Arial" w:hAnsi="Arial"/>
        </w:rPr>
        <w:t>is sourced from the farm gate values reported in the 2011 Ross Lobegeiger Report to Farmers (</w:t>
      </w:r>
      <w:r w:rsidR="009656BB" w:rsidRPr="00DF3703">
        <w:rPr>
          <w:rFonts w:ascii="Arial" w:hAnsi="Arial"/>
        </w:rPr>
        <w:t xml:space="preserve">agricultural production survey, prepared by Queensland Department of Employment, Economic Development and Innovation, </w:t>
      </w:r>
      <w:r w:rsidRPr="00DF3703">
        <w:rPr>
          <w:rFonts w:ascii="Arial" w:hAnsi="Arial"/>
        </w:rPr>
        <w:t xml:space="preserve">yet to be published). As </w:t>
      </w:r>
      <w:r w:rsidRPr="00DF3703">
        <w:rPr>
          <w:rFonts w:ascii="Arial" w:hAnsi="Arial"/>
        </w:rPr>
        <w:lastRenderedPageBreak/>
        <w:t xml:space="preserve">the report’s highest level of geographical disaggregation is by statistical division, the assignment of values to NRM </w:t>
      </w:r>
      <w:r w:rsidR="009656BB" w:rsidRPr="00DF3703">
        <w:rPr>
          <w:rFonts w:ascii="Arial" w:hAnsi="Arial"/>
        </w:rPr>
        <w:t>regions</w:t>
      </w:r>
      <w:r w:rsidRPr="00DF3703">
        <w:rPr>
          <w:rFonts w:ascii="Arial" w:hAnsi="Arial"/>
        </w:rPr>
        <w:t xml:space="preserve"> is approximate.</w:t>
      </w:r>
    </w:p>
    <w:p w:rsidR="008D4EA5" w:rsidRPr="00DF3703" w:rsidRDefault="00EB023D" w:rsidP="008D4EA5">
      <w:pPr>
        <w:pStyle w:val="BodyText"/>
        <w:rPr>
          <w:rFonts w:ascii="Arial" w:hAnsi="Arial" w:cs="Arial"/>
        </w:rPr>
      </w:pPr>
      <w:fldSimple w:instr=" REF _Ref340917234 \r \h  \* MERGEFORMAT ">
        <w:r w:rsidR="00536D7E" w:rsidRPr="00536D7E">
          <w:rPr>
            <w:rFonts w:ascii="Arial" w:hAnsi="Arial" w:cs="Arial"/>
          </w:rPr>
          <w:t>Figure 4.1</w:t>
        </w:r>
      </w:fldSimple>
      <w:r w:rsidR="006B7D88" w:rsidRPr="00DF3703">
        <w:rPr>
          <w:rFonts w:ascii="Arial" w:hAnsi="Arial" w:cs="Arial"/>
        </w:rPr>
        <w:t xml:space="preserve"> shows the distribution of wild catch within the </w:t>
      </w:r>
      <w:r w:rsidR="00036279" w:rsidRPr="00DF3703">
        <w:rPr>
          <w:rFonts w:ascii="Arial" w:hAnsi="Arial" w:cs="Arial"/>
        </w:rPr>
        <w:t>World Heritage Area</w:t>
      </w:r>
      <w:r w:rsidR="006B7D88" w:rsidRPr="00DF3703">
        <w:rPr>
          <w:rFonts w:ascii="Arial" w:hAnsi="Arial" w:cs="Arial"/>
        </w:rPr>
        <w:t>.  The figure shows that commercial fishing is spread evenly throughout the WHA with some pockets of concentration along the coast, including an area just to the north of Gladstone.</w:t>
      </w:r>
    </w:p>
    <w:p w:rsidR="008D4EA5" w:rsidRPr="00DF3703" w:rsidRDefault="006B7D88" w:rsidP="008D4EA5">
      <w:pPr>
        <w:pStyle w:val="CaptionFigure"/>
        <w:rPr>
          <w:rFonts w:ascii="Arial" w:hAnsi="Arial" w:cs="Arial"/>
        </w:rPr>
      </w:pPr>
      <w:bookmarkStart w:id="113" w:name="_Ref340917234"/>
      <w:bookmarkStart w:id="114" w:name="_Toc355701072"/>
      <w:r w:rsidRPr="00DF3703">
        <w:rPr>
          <w:rFonts w:ascii="Arial" w:hAnsi="Arial" w:cs="Arial"/>
        </w:rPr>
        <w:t>: GVP, for Wild catch by region distribution</w:t>
      </w:r>
      <w:bookmarkEnd w:id="113"/>
      <w:bookmarkEnd w:id="114"/>
    </w:p>
    <w:p w:rsidR="008D4EA5" w:rsidRPr="00DF3703" w:rsidRDefault="003747D4" w:rsidP="008D4EA5">
      <w:pPr>
        <w:pStyle w:val="HeadingB"/>
        <w:jc w:val="center"/>
        <w:rPr>
          <w:rFonts w:ascii="Arial" w:hAnsi="Arial" w:cs="Arial"/>
        </w:rPr>
      </w:pPr>
      <w:r w:rsidRPr="00DF3703">
        <w:rPr>
          <w:rFonts w:ascii="Arial" w:hAnsi="Arial" w:cs="Arial"/>
          <w:noProof/>
          <w:lang w:eastAsia="en-AU"/>
        </w:rPr>
        <w:drawing>
          <wp:anchor distT="0" distB="0" distL="114300" distR="114300" simplePos="0" relativeHeight="251685376" behindDoc="0" locked="0" layoutInCell="1" allowOverlap="1">
            <wp:simplePos x="0" y="0"/>
            <wp:positionH relativeFrom="column">
              <wp:posOffset>2898902</wp:posOffset>
            </wp:positionH>
            <wp:positionV relativeFrom="paragraph">
              <wp:posOffset>-432</wp:posOffset>
            </wp:positionV>
            <wp:extent cx="1837487" cy="1089965"/>
            <wp:effectExtent l="0" t="0" r="0" b="0"/>
            <wp:wrapNone/>
            <wp:docPr id="33" name="Picture 33" descr="Key for figure 4.1 showing the total commercial fishing categories (Gross value of Production). Ranging from 3,000,000 to 50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951" t="14920" r="4232" b="73515"/>
                    <a:stretch/>
                  </pic:blipFill>
                  <pic:spPr bwMode="auto">
                    <a:xfrm>
                      <a:off x="0" y="0"/>
                      <a:ext cx="1834710" cy="10883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F3703">
        <w:rPr>
          <w:rFonts w:ascii="Arial" w:hAnsi="Arial" w:cs="Arial"/>
          <w:noProof/>
          <w:lang w:eastAsia="en-AU"/>
        </w:rPr>
        <w:drawing>
          <wp:inline distT="0" distB="0" distL="0" distR="0">
            <wp:extent cx="4257675" cy="5416712"/>
            <wp:effectExtent l="0" t="0" r="0" b="0"/>
            <wp:docPr id="31" name="Picture 31" descr="Gross value of production for wild catch by region. pockets of high value near Cooktown, Townsivlle, and between Rockhamption and Gla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43210" t="14261" r="25044" b="19090"/>
                    <a:stretch/>
                  </pic:blipFill>
                  <pic:spPr bwMode="auto">
                    <a:xfrm>
                      <a:off x="0" y="0"/>
                      <a:ext cx="4257175" cy="54160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4EA5" w:rsidRPr="00DF3703" w:rsidRDefault="006B7D88" w:rsidP="00D03A0C">
      <w:pPr>
        <w:pStyle w:val="Source"/>
        <w:rPr>
          <w:rFonts w:ascii="Arial" w:hAnsi="Arial"/>
        </w:rPr>
      </w:pPr>
      <w:r w:rsidRPr="00DF3703">
        <w:rPr>
          <w:rFonts w:ascii="Arial" w:hAnsi="Arial"/>
        </w:rPr>
        <w:t>Source: DAFF, 2012a; DAFF, 2012b; Queensland Government</w:t>
      </w:r>
    </w:p>
    <w:p w:rsidR="00160F54" w:rsidRPr="00DF3703" w:rsidRDefault="006B7D88" w:rsidP="00160F54">
      <w:pPr>
        <w:pStyle w:val="Heading2"/>
        <w:rPr>
          <w:rFonts w:ascii="Arial" w:hAnsi="Arial" w:cs="Arial"/>
          <w:sz w:val="32"/>
          <w:szCs w:val="32"/>
        </w:rPr>
      </w:pPr>
      <w:bookmarkStart w:id="115" w:name="_Toc355700992"/>
      <w:r w:rsidRPr="00DF3703">
        <w:rPr>
          <w:rFonts w:ascii="Arial" w:hAnsi="Arial" w:cs="Arial"/>
          <w:sz w:val="32"/>
          <w:szCs w:val="32"/>
        </w:rPr>
        <w:t xml:space="preserve">Economic contribution </w:t>
      </w:r>
      <w:r w:rsidR="009656BB" w:rsidRPr="00DF3703">
        <w:rPr>
          <w:rFonts w:ascii="Arial" w:hAnsi="Arial" w:cs="Arial"/>
          <w:sz w:val="32"/>
          <w:szCs w:val="32"/>
        </w:rPr>
        <w:t xml:space="preserve">of </w:t>
      </w:r>
      <w:r w:rsidRPr="00DF3703">
        <w:rPr>
          <w:rFonts w:ascii="Arial" w:hAnsi="Arial" w:cs="Arial"/>
          <w:sz w:val="32"/>
          <w:szCs w:val="32"/>
        </w:rPr>
        <w:t xml:space="preserve">commercial fishing </w:t>
      </w:r>
      <w:r w:rsidR="009656BB" w:rsidRPr="00DF3703">
        <w:rPr>
          <w:rFonts w:ascii="Arial" w:hAnsi="Arial" w:cs="Arial"/>
          <w:sz w:val="32"/>
          <w:szCs w:val="32"/>
        </w:rPr>
        <w:t>and aquaculture</w:t>
      </w:r>
      <w:bookmarkEnd w:id="115"/>
    </w:p>
    <w:p w:rsidR="009656BB" w:rsidRPr="00DF3703" w:rsidRDefault="006B7D88" w:rsidP="00043465">
      <w:pPr>
        <w:pStyle w:val="BodyText"/>
        <w:rPr>
          <w:rFonts w:ascii="Arial" w:hAnsi="Arial" w:cs="Arial"/>
        </w:rPr>
      </w:pPr>
      <w:r w:rsidRPr="00DF3703">
        <w:rPr>
          <w:rFonts w:ascii="Arial" w:hAnsi="Arial" w:cs="Arial"/>
        </w:rPr>
        <w:t xml:space="preserve">The $193 million generated through commercial fishing </w:t>
      </w:r>
      <w:r w:rsidR="00C84CF6" w:rsidRPr="00DF3703">
        <w:rPr>
          <w:rFonts w:ascii="Arial" w:hAnsi="Arial" w:cs="Arial"/>
        </w:rPr>
        <w:t xml:space="preserve">and aquaculture </w:t>
      </w:r>
      <w:r w:rsidRPr="00DF3703">
        <w:rPr>
          <w:rFonts w:ascii="Arial" w:hAnsi="Arial" w:cs="Arial"/>
        </w:rPr>
        <w:t xml:space="preserve">in the </w:t>
      </w:r>
      <w:r w:rsidR="00C84CF6" w:rsidRPr="00DF3703">
        <w:rPr>
          <w:rFonts w:ascii="Arial" w:hAnsi="Arial" w:cs="Arial"/>
        </w:rPr>
        <w:t>R</w:t>
      </w:r>
      <w:r w:rsidRPr="00DF3703">
        <w:rPr>
          <w:rFonts w:ascii="Arial" w:hAnsi="Arial" w:cs="Arial"/>
        </w:rPr>
        <w:t>egion in 2012 contributed $160 million to Australia’s total value added and generated employment equivalent to 975 full-time jobs (</w:t>
      </w:r>
      <w:fldSimple w:instr=" REF _Ref340779653 \r \h  \* MERGEFORMAT ">
        <w:r w:rsidR="00536D7E" w:rsidRPr="00536D7E">
          <w:rPr>
            <w:rFonts w:ascii="Arial" w:hAnsi="Arial" w:cs="Arial"/>
          </w:rPr>
          <w:t>Table 4.2</w:t>
        </w:r>
      </w:fldSimple>
      <w:r w:rsidRPr="00DF3703">
        <w:rPr>
          <w:rFonts w:ascii="Arial" w:hAnsi="Arial" w:cs="Arial"/>
        </w:rPr>
        <w:t xml:space="preserve">).  Again, most </w:t>
      </w:r>
      <w:r w:rsidRPr="00DF3703">
        <w:rPr>
          <w:rFonts w:ascii="Arial" w:hAnsi="Arial" w:cs="Arial"/>
        </w:rPr>
        <w:lastRenderedPageBreak/>
        <w:t>(about 60%) of this value-added was generated in the catchmen</w:t>
      </w:r>
      <w:r w:rsidR="009656BB" w:rsidRPr="00DF3703">
        <w:rPr>
          <w:rFonts w:ascii="Arial" w:hAnsi="Arial" w:cs="Arial"/>
        </w:rPr>
        <w:t>t</w:t>
      </w:r>
      <w:r w:rsidR="00C24C33" w:rsidRPr="00DF3703">
        <w:rPr>
          <w:rFonts w:ascii="Arial" w:hAnsi="Arial" w:cs="Arial"/>
        </w:rPr>
        <w:t xml:space="preserve">. </w:t>
      </w:r>
      <w:r w:rsidRPr="00DF3703">
        <w:rPr>
          <w:rFonts w:ascii="Arial" w:hAnsi="Arial" w:cs="Arial"/>
        </w:rPr>
        <w:t xml:space="preserve">The gross value of production by NRM region was then converted into value added and employment using multipliers derived from ABS Input-Output tables.  </w:t>
      </w:r>
    </w:p>
    <w:p w:rsidR="00043465" w:rsidRPr="00DF3703" w:rsidRDefault="006B7D88" w:rsidP="00043465">
      <w:pPr>
        <w:pStyle w:val="BodyText"/>
        <w:rPr>
          <w:rFonts w:ascii="Arial" w:hAnsi="Arial" w:cs="Arial"/>
        </w:rPr>
      </w:pPr>
      <w:r w:rsidRPr="00DF3703">
        <w:rPr>
          <w:rFonts w:ascii="Arial" w:hAnsi="Arial" w:cs="Arial"/>
        </w:rPr>
        <w:t>The direct economic contribution of commercial</w:t>
      </w:r>
      <w:r w:rsidR="005D7808" w:rsidRPr="00DF3703">
        <w:rPr>
          <w:rFonts w:ascii="Arial" w:hAnsi="Arial" w:cs="Arial"/>
        </w:rPr>
        <w:t xml:space="preserve"> fishing </w:t>
      </w:r>
      <w:r w:rsidR="00C84CF6" w:rsidRPr="00DF3703">
        <w:rPr>
          <w:rFonts w:ascii="Arial" w:hAnsi="Arial" w:cs="Arial"/>
        </w:rPr>
        <w:t xml:space="preserve">(including aquaculture) </w:t>
      </w:r>
      <w:r w:rsidR="005D7808" w:rsidRPr="00DF3703">
        <w:rPr>
          <w:rFonts w:ascii="Arial" w:hAnsi="Arial" w:cs="Arial"/>
        </w:rPr>
        <w:t>was estimated to be $92.5</w:t>
      </w:r>
      <w:r w:rsidRPr="00DF3703">
        <w:rPr>
          <w:rFonts w:ascii="Arial" w:hAnsi="Arial" w:cs="Arial"/>
        </w:rPr>
        <w:t xml:space="preserve"> million with the total economic contribution being $160 million. </w:t>
      </w:r>
    </w:p>
    <w:p w:rsidR="00160F54" w:rsidRPr="00DF3703" w:rsidRDefault="006B7D88" w:rsidP="00160F54">
      <w:pPr>
        <w:pStyle w:val="BodyText"/>
        <w:rPr>
          <w:rFonts w:ascii="Arial" w:hAnsi="Arial" w:cs="Arial"/>
        </w:rPr>
      </w:pPr>
      <w:r w:rsidRPr="00DF3703">
        <w:rPr>
          <w:rFonts w:ascii="Arial" w:hAnsi="Arial" w:cs="Arial"/>
        </w:rPr>
        <w:t xml:space="preserve">Commercial fishing </w:t>
      </w:r>
      <w:r w:rsidR="00C84CF6" w:rsidRPr="00DF3703">
        <w:rPr>
          <w:rFonts w:ascii="Arial" w:hAnsi="Arial" w:cs="Arial"/>
        </w:rPr>
        <w:t xml:space="preserve">and aquaculture were </w:t>
      </w:r>
      <w:r w:rsidRPr="00DF3703">
        <w:rPr>
          <w:rFonts w:ascii="Arial" w:hAnsi="Arial" w:cs="Arial"/>
        </w:rPr>
        <w:t xml:space="preserve">estimated to contribute to the employment of 975 individuals on a full-time equivalent basis, about 530 directly and 440 indirectly. In the </w:t>
      </w:r>
      <w:r w:rsidR="009656BB" w:rsidRPr="00DF3703">
        <w:rPr>
          <w:rFonts w:ascii="Arial" w:hAnsi="Arial" w:cs="Arial"/>
        </w:rPr>
        <w:t>catchment</w:t>
      </w:r>
      <w:r w:rsidRPr="00DF3703">
        <w:rPr>
          <w:rFonts w:ascii="Arial" w:hAnsi="Arial" w:cs="Arial"/>
        </w:rPr>
        <w:t xml:space="preserve">, commercial fishing was estimated to contribute to the employment of just over 700 individuals on a FTE basis. </w:t>
      </w:r>
    </w:p>
    <w:p w:rsidR="00160F54" w:rsidRPr="00DF3703" w:rsidRDefault="006B7D88" w:rsidP="005D7808">
      <w:pPr>
        <w:pStyle w:val="CaptionTable"/>
        <w:ind w:left="0"/>
        <w:rPr>
          <w:rFonts w:ascii="Arial" w:hAnsi="Arial" w:cs="Arial"/>
        </w:rPr>
      </w:pPr>
      <w:bookmarkStart w:id="116" w:name="_Ref340779653"/>
      <w:bookmarkStart w:id="117" w:name="_Toc355701064"/>
      <w:r w:rsidRPr="00DF3703">
        <w:rPr>
          <w:rFonts w:ascii="Arial" w:hAnsi="Arial" w:cs="Arial"/>
        </w:rPr>
        <w:t>: Economic contributions of commercial fishing and aquaculture, by region, 2012</w:t>
      </w:r>
      <w:bookmarkEnd w:id="116"/>
      <w:bookmarkEnd w:id="117"/>
    </w:p>
    <w:tbl>
      <w:tblPr>
        <w:tblStyle w:val="TableAE"/>
        <w:tblW w:w="0" w:type="auto"/>
        <w:tblLayout w:type="fixed"/>
        <w:tblLook w:val="04A0"/>
      </w:tblPr>
      <w:tblGrid>
        <w:gridCol w:w="2109"/>
        <w:gridCol w:w="2109"/>
        <w:gridCol w:w="2109"/>
        <w:gridCol w:w="2109"/>
      </w:tblGrid>
      <w:tr w:rsidR="00043465" w:rsidRPr="00DF3703" w:rsidTr="00043465">
        <w:trPr>
          <w:cnfStyle w:val="100000000000"/>
        </w:trPr>
        <w:tc>
          <w:tcPr>
            <w:tcW w:w="2109" w:type="dxa"/>
          </w:tcPr>
          <w:p w:rsidR="00043465" w:rsidRPr="00DF3703" w:rsidRDefault="00043465" w:rsidP="00043465">
            <w:pPr>
              <w:pStyle w:val="TableHeadingCentre"/>
              <w:rPr>
                <w:rFonts w:ascii="Arial" w:hAnsi="Arial" w:cs="Arial"/>
              </w:rPr>
            </w:pPr>
          </w:p>
        </w:tc>
        <w:tc>
          <w:tcPr>
            <w:tcW w:w="2109" w:type="dxa"/>
          </w:tcPr>
          <w:p w:rsidR="00043465" w:rsidRPr="00DF3703" w:rsidRDefault="006B7D88" w:rsidP="00043465">
            <w:pPr>
              <w:pStyle w:val="TableHeadingCentre"/>
              <w:rPr>
                <w:rFonts w:ascii="Arial" w:hAnsi="Arial" w:cs="Arial"/>
              </w:rPr>
            </w:pPr>
            <w:r w:rsidRPr="00DF3703">
              <w:rPr>
                <w:rFonts w:ascii="Arial" w:hAnsi="Arial" w:cs="Arial"/>
              </w:rPr>
              <w:t xml:space="preserve">Expenditure </w:t>
            </w:r>
          </w:p>
        </w:tc>
        <w:tc>
          <w:tcPr>
            <w:tcW w:w="2109" w:type="dxa"/>
          </w:tcPr>
          <w:p w:rsidR="00043465" w:rsidRPr="00DF3703" w:rsidRDefault="006B7D88" w:rsidP="00043465">
            <w:pPr>
              <w:pStyle w:val="TableHeadingCentre"/>
              <w:rPr>
                <w:rFonts w:ascii="Arial" w:hAnsi="Arial" w:cs="Arial"/>
              </w:rPr>
            </w:pPr>
            <w:r w:rsidRPr="00DF3703">
              <w:rPr>
                <w:rFonts w:ascii="Arial" w:hAnsi="Arial" w:cs="Arial"/>
              </w:rPr>
              <w:t>Value added</w:t>
            </w:r>
          </w:p>
        </w:tc>
        <w:tc>
          <w:tcPr>
            <w:tcW w:w="2109" w:type="dxa"/>
          </w:tcPr>
          <w:p w:rsidR="00043465" w:rsidRPr="00DF3703" w:rsidRDefault="006B7D88" w:rsidP="00043465">
            <w:pPr>
              <w:pStyle w:val="TableHeadingCentre"/>
              <w:rPr>
                <w:rFonts w:ascii="Arial" w:hAnsi="Arial" w:cs="Arial"/>
              </w:rPr>
            </w:pPr>
            <w:r w:rsidRPr="00DF3703">
              <w:rPr>
                <w:rFonts w:ascii="Arial" w:hAnsi="Arial" w:cs="Arial"/>
              </w:rPr>
              <w:t>Employment</w:t>
            </w:r>
          </w:p>
        </w:tc>
      </w:tr>
      <w:tr w:rsidR="00043465" w:rsidRPr="00DF3703" w:rsidTr="00043465">
        <w:tc>
          <w:tcPr>
            <w:tcW w:w="2109" w:type="dxa"/>
          </w:tcPr>
          <w:p w:rsidR="00043465" w:rsidRPr="00DF3703" w:rsidRDefault="006B7D88" w:rsidP="00043465">
            <w:pPr>
              <w:pStyle w:val="TabletextLeft"/>
              <w:rPr>
                <w:rFonts w:ascii="Arial" w:hAnsi="Arial" w:cs="Arial"/>
              </w:rPr>
            </w:pPr>
            <w:r w:rsidRPr="00DF3703">
              <w:rPr>
                <w:rFonts w:ascii="Arial" w:hAnsi="Arial" w:cs="Arial"/>
                <w:lang w:eastAsia="en-AU"/>
              </w:rPr>
              <w:t>Torres Strait</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w:t>
            </w:r>
          </w:p>
        </w:tc>
      </w:tr>
      <w:tr w:rsidR="00043465" w:rsidRPr="00DF3703" w:rsidTr="00043465">
        <w:tc>
          <w:tcPr>
            <w:tcW w:w="2109"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Cape York</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45.0</w:t>
            </w:r>
          </w:p>
        </w:tc>
        <w:tc>
          <w:tcPr>
            <w:tcW w:w="2109" w:type="dxa"/>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21.6</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125</w:t>
            </w:r>
          </w:p>
        </w:tc>
      </w:tr>
      <w:tr w:rsidR="00043465" w:rsidRPr="00DF3703" w:rsidTr="00043465">
        <w:tc>
          <w:tcPr>
            <w:tcW w:w="2109"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Wet Tropics</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21.3</w:t>
            </w:r>
          </w:p>
        </w:tc>
        <w:tc>
          <w:tcPr>
            <w:tcW w:w="2109" w:type="dxa"/>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10.3</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59</w:t>
            </w:r>
          </w:p>
        </w:tc>
      </w:tr>
      <w:tr w:rsidR="00043465" w:rsidRPr="00DF3703" w:rsidTr="00043465">
        <w:tc>
          <w:tcPr>
            <w:tcW w:w="2109"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Burdekin</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50.3</w:t>
            </w:r>
          </w:p>
        </w:tc>
        <w:tc>
          <w:tcPr>
            <w:tcW w:w="2109" w:type="dxa"/>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24.2</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139</w:t>
            </w:r>
          </w:p>
        </w:tc>
      </w:tr>
      <w:tr w:rsidR="00043465" w:rsidRPr="00DF3703" w:rsidTr="00043465">
        <w:tc>
          <w:tcPr>
            <w:tcW w:w="2109"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Mackay Whitsunday</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28.7</w:t>
            </w:r>
          </w:p>
        </w:tc>
        <w:tc>
          <w:tcPr>
            <w:tcW w:w="2109" w:type="dxa"/>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13.8</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80</w:t>
            </w:r>
          </w:p>
        </w:tc>
      </w:tr>
      <w:tr w:rsidR="00043465" w:rsidRPr="00DF3703" w:rsidTr="00043465">
        <w:tc>
          <w:tcPr>
            <w:tcW w:w="2109" w:type="dxa"/>
          </w:tcPr>
          <w:p w:rsidR="00043465" w:rsidRPr="00DF3703" w:rsidRDefault="006B7D88" w:rsidP="00043465">
            <w:pPr>
              <w:rPr>
                <w:rFonts w:ascii="Arial" w:hAnsi="Arial" w:cs="Arial"/>
                <w:sz w:val="20"/>
                <w:lang w:eastAsia="en-AU"/>
              </w:rPr>
            </w:pPr>
            <w:r w:rsidRPr="00DF3703">
              <w:rPr>
                <w:rFonts w:ascii="Arial" w:hAnsi="Arial" w:cs="Arial"/>
                <w:sz w:val="20"/>
                <w:lang w:eastAsia="en-AU"/>
              </w:rPr>
              <w:t>Fitzroy</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35.3</w:t>
            </w:r>
          </w:p>
        </w:tc>
        <w:tc>
          <w:tcPr>
            <w:tcW w:w="2109" w:type="dxa"/>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17.0</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98</w:t>
            </w:r>
          </w:p>
        </w:tc>
      </w:tr>
      <w:tr w:rsidR="00043465" w:rsidRPr="00DF3703" w:rsidTr="00043465">
        <w:tc>
          <w:tcPr>
            <w:tcW w:w="2109" w:type="dxa"/>
            <w:tcBorders>
              <w:bottom w:val="single" w:sz="12" w:space="0" w:color="002776"/>
            </w:tcBorders>
          </w:tcPr>
          <w:p w:rsidR="00043465" w:rsidRPr="00DF3703" w:rsidRDefault="006B7D88" w:rsidP="00043465">
            <w:pPr>
              <w:rPr>
                <w:rFonts w:ascii="Arial" w:hAnsi="Arial" w:cs="Arial"/>
                <w:sz w:val="20"/>
                <w:lang w:eastAsia="en-AU"/>
              </w:rPr>
            </w:pPr>
            <w:r w:rsidRPr="00DF3703">
              <w:rPr>
                <w:rFonts w:ascii="Arial" w:hAnsi="Arial" w:cs="Arial"/>
                <w:sz w:val="20"/>
                <w:lang w:eastAsia="en-AU"/>
              </w:rPr>
              <w:t>Burnett Mary</w:t>
            </w:r>
          </w:p>
        </w:tc>
        <w:tc>
          <w:tcPr>
            <w:tcW w:w="2109" w:type="dxa"/>
            <w:tcBorders>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11.8</w:t>
            </w:r>
          </w:p>
        </w:tc>
        <w:tc>
          <w:tcPr>
            <w:tcW w:w="2109" w:type="dxa"/>
            <w:tcBorders>
              <w:bottom w:val="single" w:sz="12" w:space="0" w:color="002776"/>
            </w:tcBorders>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5.7</w:t>
            </w:r>
          </w:p>
        </w:tc>
        <w:tc>
          <w:tcPr>
            <w:tcW w:w="2109" w:type="dxa"/>
            <w:tcBorders>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33</w:t>
            </w:r>
          </w:p>
        </w:tc>
      </w:tr>
      <w:tr w:rsidR="00043465" w:rsidRPr="00DF3703" w:rsidTr="00043465">
        <w:tc>
          <w:tcPr>
            <w:tcW w:w="2109" w:type="dxa"/>
            <w:tcBorders>
              <w:top w:val="single" w:sz="12" w:space="0" w:color="002776"/>
              <w:bottom w:val="single" w:sz="12" w:space="0" w:color="002776"/>
            </w:tcBorders>
          </w:tcPr>
          <w:p w:rsidR="00043465" w:rsidRPr="00DF3703" w:rsidRDefault="006B7D88" w:rsidP="00043465">
            <w:pPr>
              <w:pStyle w:val="TabletextLeft"/>
              <w:rPr>
                <w:rFonts w:ascii="Arial" w:hAnsi="Arial" w:cs="Arial"/>
              </w:rPr>
            </w:pPr>
            <w:r w:rsidRPr="00DF3703">
              <w:rPr>
                <w:rFonts w:ascii="Arial" w:hAnsi="Arial" w:cs="Arial"/>
              </w:rPr>
              <w:t>Total direct</w:t>
            </w:r>
          </w:p>
        </w:tc>
        <w:tc>
          <w:tcPr>
            <w:tcW w:w="2109" w:type="dxa"/>
            <w:tcBorders>
              <w:top w:val="single" w:sz="12" w:space="0" w:color="002776"/>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192.5</w:t>
            </w:r>
          </w:p>
        </w:tc>
        <w:tc>
          <w:tcPr>
            <w:tcW w:w="2109" w:type="dxa"/>
            <w:tcBorders>
              <w:top w:val="single" w:sz="12" w:space="0" w:color="002776"/>
              <w:bottom w:val="single" w:sz="12" w:space="0" w:color="002776"/>
            </w:tcBorders>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92.5</w:t>
            </w:r>
          </w:p>
        </w:tc>
        <w:tc>
          <w:tcPr>
            <w:tcW w:w="2109" w:type="dxa"/>
            <w:tcBorders>
              <w:top w:val="single" w:sz="12" w:space="0" w:color="002776"/>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533</w:t>
            </w:r>
          </w:p>
        </w:tc>
      </w:tr>
      <w:tr w:rsidR="00043465" w:rsidRPr="00DF3703" w:rsidTr="00043465">
        <w:tc>
          <w:tcPr>
            <w:tcW w:w="2109" w:type="dxa"/>
            <w:tcBorders>
              <w:top w:val="single" w:sz="12" w:space="0" w:color="002776"/>
            </w:tcBorders>
          </w:tcPr>
          <w:p w:rsidR="00043465" w:rsidRPr="00DF3703" w:rsidRDefault="006B7D88" w:rsidP="009656BB">
            <w:pPr>
              <w:pStyle w:val="TabletextLeft"/>
              <w:rPr>
                <w:rFonts w:ascii="Arial" w:hAnsi="Arial" w:cs="Arial"/>
              </w:rPr>
            </w:pPr>
            <w:r w:rsidRPr="00DF3703">
              <w:rPr>
                <w:rFonts w:ascii="Arial" w:hAnsi="Arial" w:cs="Arial"/>
              </w:rPr>
              <w:t xml:space="preserve">Indirect </w:t>
            </w:r>
            <w:r w:rsidR="009656BB" w:rsidRPr="00DF3703">
              <w:rPr>
                <w:rFonts w:ascii="Arial" w:hAnsi="Arial" w:cs="Arial"/>
              </w:rPr>
              <w:t>Catchment</w:t>
            </w:r>
          </w:p>
        </w:tc>
        <w:tc>
          <w:tcPr>
            <w:tcW w:w="2109" w:type="dxa"/>
            <w:tcBorders>
              <w:top w:val="single" w:sz="12" w:space="0" w:color="002776"/>
            </w:tcBorders>
            <w:vAlign w:val="center"/>
          </w:tcPr>
          <w:p w:rsidR="00043465" w:rsidRPr="00DF3703" w:rsidRDefault="00043465" w:rsidP="00043465">
            <w:pPr>
              <w:jc w:val="center"/>
              <w:rPr>
                <w:rFonts w:ascii="Arial" w:hAnsi="Arial" w:cs="Arial"/>
                <w:sz w:val="20"/>
              </w:rPr>
            </w:pPr>
          </w:p>
        </w:tc>
        <w:tc>
          <w:tcPr>
            <w:tcW w:w="2109" w:type="dxa"/>
            <w:tcBorders>
              <w:top w:val="single" w:sz="12" w:space="0" w:color="002776"/>
            </w:tcBorders>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30.3</w:t>
            </w:r>
          </w:p>
        </w:tc>
        <w:tc>
          <w:tcPr>
            <w:tcW w:w="2109" w:type="dxa"/>
            <w:tcBorders>
              <w:top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171</w:t>
            </w:r>
          </w:p>
        </w:tc>
      </w:tr>
      <w:tr w:rsidR="00043465" w:rsidRPr="00DF3703" w:rsidTr="00043465">
        <w:tc>
          <w:tcPr>
            <w:tcW w:w="2109" w:type="dxa"/>
          </w:tcPr>
          <w:p w:rsidR="00043465" w:rsidRPr="00DF3703" w:rsidRDefault="006B7D88" w:rsidP="00043465">
            <w:pPr>
              <w:pStyle w:val="TabletextLeft"/>
              <w:rPr>
                <w:rFonts w:ascii="Arial" w:hAnsi="Arial" w:cs="Arial"/>
              </w:rPr>
            </w:pPr>
            <w:r w:rsidRPr="00DF3703">
              <w:rPr>
                <w:rFonts w:ascii="Arial" w:hAnsi="Arial" w:cs="Arial"/>
              </w:rPr>
              <w:t>Indirect Rest of Qld</w:t>
            </w:r>
          </w:p>
        </w:tc>
        <w:tc>
          <w:tcPr>
            <w:tcW w:w="2109" w:type="dxa"/>
            <w:vAlign w:val="center"/>
          </w:tcPr>
          <w:p w:rsidR="00043465" w:rsidRPr="00DF3703" w:rsidRDefault="00043465" w:rsidP="00043465">
            <w:pPr>
              <w:jc w:val="center"/>
              <w:rPr>
                <w:rFonts w:ascii="Arial" w:hAnsi="Arial" w:cs="Arial"/>
                <w:sz w:val="20"/>
              </w:rPr>
            </w:pPr>
          </w:p>
        </w:tc>
        <w:tc>
          <w:tcPr>
            <w:tcW w:w="2109" w:type="dxa"/>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4.4</w:t>
            </w:r>
          </w:p>
        </w:tc>
        <w:tc>
          <w:tcPr>
            <w:tcW w:w="2109" w:type="dxa"/>
            <w:vAlign w:val="center"/>
          </w:tcPr>
          <w:p w:rsidR="00043465" w:rsidRPr="00DF3703" w:rsidRDefault="006B7D88" w:rsidP="00043465">
            <w:pPr>
              <w:jc w:val="center"/>
              <w:rPr>
                <w:rFonts w:ascii="Arial" w:hAnsi="Arial" w:cs="Arial"/>
                <w:sz w:val="20"/>
              </w:rPr>
            </w:pPr>
            <w:r w:rsidRPr="00DF3703">
              <w:rPr>
                <w:rFonts w:ascii="Arial" w:hAnsi="Arial" w:cs="Arial"/>
                <w:sz w:val="20"/>
              </w:rPr>
              <w:t>29</w:t>
            </w:r>
          </w:p>
        </w:tc>
      </w:tr>
      <w:tr w:rsidR="00043465" w:rsidRPr="00DF3703" w:rsidTr="00043465">
        <w:tc>
          <w:tcPr>
            <w:tcW w:w="2109" w:type="dxa"/>
            <w:tcBorders>
              <w:bottom w:val="single" w:sz="12" w:space="0" w:color="002776"/>
            </w:tcBorders>
          </w:tcPr>
          <w:p w:rsidR="00043465" w:rsidRPr="00DF3703" w:rsidRDefault="006B7D88" w:rsidP="00043465">
            <w:pPr>
              <w:pStyle w:val="TabletextLeft"/>
              <w:rPr>
                <w:rFonts w:ascii="Arial" w:hAnsi="Arial" w:cs="Arial"/>
              </w:rPr>
            </w:pPr>
            <w:r w:rsidRPr="00DF3703">
              <w:rPr>
                <w:rFonts w:ascii="Arial" w:hAnsi="Arial" w:cs="Arial"/>
              </w:rPr>
              <w:t>Indirect Rest of Australia</w:t>
            </w:r>
          </w:p>
        </w:tc>
        <w:tc>
          <w:tcPr>
            <w:tcW w:w="2109" w:type="dxa"/>
            <w:tcBorders>
              <w:bottom w:val="single" w:sz="12" w:space="0" w:color="002776"/>
            </w:tcBorders>
            <w:vAlign w:val="center"/>
          </w:tcPr>
          <w:p w:rsidR="00043465" w:rsidRPr="00DF3703" w:rsidRDefault="00043465" w:rsidP="00043465">
            <w:pPr>
              <w:jc w:val="center"/>
              <w:rPr>
                <w:rFonts w:ascii="Arial" w:hAnsi="Arial" w:cs="Arial"/>
                <w:sz w:val="20"/>
              </w:rPr>
            </w:pPr>
          </w:p>
        </w:tc>
        <w:tc>
          <w:tcPr>
            <w:tcW w:w="2109" w:type="dxa"/>
            <w:tcBorders>
              <w:bottom w:val="single" w:sz="12" w:space="0" w:color="002776"/>
            </w:tcBorders>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33.2</w:t>
            </w:r>
          </w:p>
        </w:tc>
        <w:tc>
          <w:tcPr>
            <w:tcW w:w="2109" w:type="dxa"/>
            <w:tcBorders>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242</w:t>
            </w:r>
          </w:p>
        </w:tc>
      </w:tr>
      <w:tr w:rsidR="00043465" w:rsidRPr="00DF3703" w:rsidTr="00043465">
        <w:tc>
          <w:tcPr>
            <w:tcW w:w="2109" w:type="dxa"/>
            <w:tcBorders>
              <w:top w:val="single" w:sz="12" w:space="0" w:color="002776"/>
              <w:bottom w:val="single" w:sz="12" w:space="0" w:color="002776"/>
            </w:tcBorders>
          </w:tcPr>
          <w:p w:rsidR="00043465" w:rsidRPr="00DF3703" w:rsidRDefault="006B7D88" w:rsidP="00043465">
            <w:pPr>
              <w:pStyle w:val="TabletextLeft"/>
              <w:rPr>
                <w:rFonts w:ascii="Arial" w:hAnsi="Arial" w:cs="Arial"/>
              </w:rPr>
            </w:pPr>
            <w:r w:rsidRPr="00DF3703">
              <w:rPr>
                <w:rFonts w:ascii="Arial" w:hAnsi="Arial" w:cs="Arial"/>
              </w:rPr>
              <w:t>Australia</w:t>
            </w:r>
          </w:p>
        </w:tc>
        <w:tc>
          <w:tcPr>
            <w:tcW w:w="2109" w:type="dxa"/>
            <w:tcBorders>
              <w:top w:val="single" w:sz="12" w:space="0" w:color="002776"/>
              <w:bottom w:val="single" w:sz="12" w:space="0" w:color="002776"/>
            </w:tcBorders>
            <w:vAlign w:val="center"/>
          </w:tcPr>
          <w:p w:rsidR="00043465" w:rsidRPr="00DF3703" w:rsidRDefault="00043465" w:rsidP="00043465">
            <w:pPr>
              <w:jc w:val="center"/>
              <w:rPr>
                <w:rFonts w:ascii="Arial" w:hAnsi="Arial" w:cs="Arial"/>
                <w:sz w:val="20"/>
              </w:rPr>
            </w:pPr>
          </w:p>
        </w:tc>
        <w:tc>
          <w:tcPr>
            <w:tcW w:w="2109" w:type="dxa"/>
            <w:tcBorders>
              <w:top w:val="single" w:sz="12" w:space="0" w:color="002776"/>
              <w:bottom w:val="single" w:sz="12" w:space="0" w:color="002776"/>
            </w:tcBorders>
            <w:vAlign w:val="bottom"/>
          </w:tcPr>
          <w:p w:rsidR="00043465" w:rsidRPr="00DF3703" w:rsidRDefault="006B7D88" w:rsidP="00043465">
            <w:pPr>
              <w:jc w:val="center"/>
              <w:rPr>
                <w:rFonts w:ascii="Arial" w:hAnsi="Arial" w:cs="Arial"/>
                <w:sz w:val="21"/>
                <w:szCs w:val="21"/>
              </w:rPr>
            </w:pPr>
            <w:r w:rsidRPr="00DF3703">
              <w:rPr>
                <w:rFonts w:ascii="Arial" w:hAnsi="Arial" w:cs="Arial"/>
                <w:sz w:val="21"/>
                <w:szCs w:val="21"/>
              </w:rPr>
              <w:t>160.3</w:t>
            </w:r>
          </w:p>
        </w:tc>
        <w:tc>
          <w:tcPr>
            <w:tcW w:w="2109" w:type="dxa"/>
            <w:tcBorders>
              <w:top w:val="single" w:sz="12" w:space="0" w:color="002776"/>
              <w:bottom w:val="single" w:sz="12" w:space="0" w:color="002776"/>
            </w:tcBorders>
            <w:vAlign w:val="center"/>
          </w:tcPr>
          <w:p w:rsidR="00043465" w:rsidRPr="00DF3703" w:rsidRDefault="006B7D88" w:rsidP="00043465">
            <w:pPr>
              <w:jc w:val="center"/>
              <w:rPr>
                <w:rFonts w:ascii="Arial" w:hAnsi="Arial" w:cs="Arial"/>
                <w:sz w:val="20"/>
              </w:rPr>
            </w:pPr>
            <w:r w:rsidRPr="00DF3703">
              <w:rPr>
                <w:rFonts w:ascii="Arial" w:hAnsi="Arial" w:cs="Arial"/>
                <w:sz w:val="20"/>
              </w:rPr>
              <w:t>975</w:t>
            </w:r>
          </w:p>
        </w:tc>
      </w:tr>
    </w:tbl>
    <w:p w:rsidR="00160F54" w:rsidRPr="00DF3703" w:rsidRDefault="006B7D88" w:rsidP="00160F54">
      <w:pPr>
        <w:pStyle w:val="Source"/>
        <w:rPr>
          <w:rFonts w:ascii="Arial" w:hAnsi="Arial"/>
        </w:rPr>
      </w:pPr>
      <w:r w:rsidRPr="00DF3703">
        <w:rPr>
          <w:rFonts w:ascii="Arial" w:hAnsi="Arial"/>
        </w:rPr>
        <w:t>Source: Deloitte Access Economics estimates</w:t>
      </w:r>
    </w:p>
    <w:p w:rsidR="00043465" w:rsidRPr="00DF3703" w:rsidRDefault="006B7D88" w:rsidP="00160F54">
      <w:pPr>
        <w:pStyle w:val="BodyText"/>
        <w:rPr>
          <w:rFonts w:ascii="Arial" w:hAnsi="Arial" w:cs="Arial"/>
        </w:rPr>
      </w:pPr>
      <w:r w:rsidRPr="00DF3703">
        <w:rPr>
          <w:rFonts w:ascii="Arial" w:hAnsi="Arial" w:cs="Arial"/>
        </w:rPr>
        <w:t xml:space="preserve">In contrast to tourism, the largest share of the contribution of commercial fishing </w:t>
      </w:r>
      <w:r w:rsidR="00C84CF6" w:rsidRPr="00DF3703">
        <w:rPr>
          <w:rFonts w:ascii="Arial" w:hAnsi="Arial" w:cs="Arial"/>
        </w:rPr>
        <w:t xml:space="preserve">and aquaculture </w:t>
      </w:r>
      <w:r w:rsidRPr="00DF3703">
        <w:rPr>
          <w:rFonts w:ascii="Arial" w:hAnsi="Arial" w:cs="Arial"/>
        </w:rPr>
        <w:t xml:space="preserve">was generated in the </w:t>
      </w:r>
      <w:r w:rsidR="004F322F" w:rsidRPr="00DF3703">
        <w:rPr>
          <w:rFonts w:ascii="Arial" w:hAnsi="Arial" w:cs="Arial"/>
        </w:rPr>
        <w:t>southern NRM regions</w:t>
      </w:r>
      <w:r w:rsidRPr="00DF3703">
        <w:rPr>
          <w:rFonts w:ascii="Arial" w:hAnsi="Arial" w:cs="Arial"/>
        </w:rPr>
        <w:t xml:space="preserve"> (</w:t>
      </w:r>
      <w:fldSimple w:instr=" REF _Ref340780185 \r \h  \* MERGEFORMAT ">
        <w:r w:rsidR="00536D7E" w:rsidRPr="00536D7E">
          <w:rPr>
            <w:rFonts w:ascii="Arial" w:hAnsi="Arial" w:cs="Arial"/>
          </w:rPr>
          <w:t>Chart 4.1</w:t>
        </w:r>
      </w:fldSimple>
      <w:r w:rsidRPr="00DF3703">
        <w:rPr>
          <w:rFonts w:ascii="Arial" w:hAnsi="Arial" w:cs="Arial"/>
        </w:rPr>
        <w:t xml:space="preserve">). </w:t>
      </w:r>
    </w:p>
    <w:p w:rsidR="00160F54" w:rsidRPr="00DF3703" w:rsidRDefault="006B7D88" w:rsidP="00160F54">
      <w:pPr>
        <w:pStyle w:val="CaptionChart"/>
        <w:rPr>
          <w:rFonts w:ascii="Arial" w:hAnsi="Arial" w:cs="Arial"/>
        </w:rPr>
      </w:pPr>
      <w:bookmarkStart w:id="118" w:name="_Ref340780185"/>
      <w:bookmarkStart w:id="119" w:name="_Toc355701046"/>
      <w:r w:rsidRPr="00DF3703">
        <w:rPr>
          <w:rFonts w:ascii="Arial" w:hAnsi="Arial" w:cs="Arial"/>
        </w:rPr>
        <w:lastRenderedPageBreak/>
        <w:t xml:space="preserve">: Share of economic contribution of commercial fishing to Australia by </w:t>
      </w:r>
      <w:r w:rsidR="004F322F" w:rsidRPr="00DF3703">
        <w:rPr>
          <w:rFonts w:ascii="Arial" w:hAnsi="Arial" w:cs="Arial"/>
        </w:rPr>
        <w:t>NRM</w:t>
      </w:r>
      <w:r w:rsidRPr="00DF3703">
        <w:rPr>
          <w:rFonts w:ascii="Arial" w:hAnsi="Arial" w:cs="Arial"/>
        </w:rPr>
        <w:t xml:space="preserve"> region</w:t>
      </w:r>
      <w:bookmarkEnd w:id="118"/>
      <w:bookmarkEnd w:id="119"/>
    </w:p>
    <w:p w:rsidR="00160F54" w:rsidRPr="00DF3703" w:rsidRDefault="003747D4" w:rsidP="00160F54">
      <w:pPr>
        <w:pStyle w:val="BodyText"/>
        <w:rPr>
          <w:rFonts w:ascii="Arial" w:hAnsi="Arial" w:cs="Arial"/>
        </w:rPr>
      </w:pPr>
      <w:r w:rsidRPr="00DF3703">
        <w:rPr>
          <w:rFonts w:ascii="Arial" w:hAnsi="Arial" w:cs="Arial"/>
          <w:noProof/>
          <w:lang w:eastAsia="en-AU"/>
        </w:rPr>
        <w:drawing>
          <wp:inline distT="0" distB="0" distL="0" distR="0">
            <wp:extent cx="4572000" cy="2735580"/>
            <wp:effectExtent l="0" t="0" r="0" b="7620"/>
            <wp:docPr id="32" name="Picture 32" descr="share of economic contribution of commercial fishing to Australia by natural resource management region, with Burdekin contributing the most a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35580"/>
                    </a:xfrm>
                    <a:prstGeom prst="rect">
                      <a:avLst/>
                    </a:prstGeom>
                    <a:noFill/>
                    <a:ln>
                      <a:noFill/>
                    </a:ln>
                  </pic:spPr>
                </pic:pic>
              </a:graphicData>
            </a:graphic>
          </wp:inline>
        </w:drawing>
      </w:r>
    </w:p>
    <w:p w:rsidR="00160F54" w:rsidRPr="00DF3703" w:rsidRDefault="006B7D88" w:rsidP="00160F54">
      <w:pPr>
        <w:pStyle w:val="Source"/>
        <w:rPr>
          <w:rFonts w:ascii="Arial" w:hAnsi="Arial"/>
        </w:rPr>
      </w:pPr>
      <w:r w:rsidRPr="00DF3703">
        <w:rPr>
          <w:rFonts w:ascii="Arial" w:hAnsi="Arial"/>
        </w:rPr>
        <w:t>Source: Fisheries Queensland, Deloitte Access Economics estimates</w:t>
      </w:r>
    </w:p>
    <w:p w:rsidR="009B7073" w:rsidRPr="00DF3703" w:rsidRDefault="006B7D88" w:rsidP="005D7808">
      <w:pPr>
        <w:pStyle w:val="Heading1"/>
        <w:ind w:left="0" w:firstLine="0"/>
        <w:rPr>
          <w:rFonts w:ascii="Segoe UI" w:hAnsi="Segoe UI" w:cs="Segoe UI"/>
        </w:rPr>
      </w:pPr>
      <w:bookmarkStart w:id="120" w:name="_Toc355700993"/>
      <w:r w:rsidRPr="00DF3703">
        <w:rPr>
          <w:rFonts w:ascii="Segoe UI" w:hAnsi="Segoe UI" w:cs="Segoe UI"/>
        </w:rPr>
        <w:lastRenderedPageBreak/>
        <w:t>Recreation</w:t>
      </w:r>
      <w:bookmarkEnd w:id="120"/>
    </w:p>
    <w:p w:rsidR="00AD77F9" w:rsidRPr="00DF3703" w:rsidRDefault="006B7D88" w:rsidP="00AD77F9">
      <w:pPr>
        <w:pStyle w:val="BodyText"/>
        <w:rPr>
          <w:rFonts w:ascii="Arial" w:hAnsi="Arial" w:cs="Arial"/>
        </w:rPr>
      </w:pPr>
      <w:r w:rsidRPr="00DF3703">
        <w:rPr>
          <w:rFonts w:ascii="Arial" w:hAnsi="Arial" w:cs="Arial"/>
        </w:rPr>
        <w:t xml:space="preserve">Recreational activities in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can be broadly classified into the following activities: </w:t>
      </w:r>
    </w:p>
    <w:p w:rsidR="00AD77F9" w:rsidRPr="00DF3703" w:rsidRDefault="006B7D88" w:rsidP="00AD77F9">
      <w:pPr>
        <w:pStyle w:val="Bullet1"/>
        <w:rPr>
          <w:rFonts w:ascii="Arial" w:hAnsi="Arial"/>
        </w:rPr>
      </w:pPr>
      <w:r w:rsidRPr="00DF3703">
        <w:rPr>
          <w:rFonts w:ascii="Arial" w:hAnsi="Arial"/>
        </w:rPr>
        <w:t>fishing;</w:t>
      </w:r>
    </w:p>
    <w:p w:rsidR="00AD77F9" w:rsidRPr="00DF3703" w:rsidRDefault="006B7D88" w:rsidP="00AD77F9">
      <w:pPr>
        <w:pStyle w:val="Bullet1"/>
        <w:rPr>
          <w:rFonts w:ascii="Arial" w:hAnsi="Arial"/>
        </w:rPr>
      </w:pPr>
      <w:r w:rsidRPr="00DF3703">
        <w:rPr>
          <w:rFonts w:ascii="Arial" w:hAnsi="Arial"/>
        </w:rPr>
        <w:t>boating;</w:t>
      </w:r>
    </w:p>
    <w:p w:rsidR="00AD77F9" w:rsidRPr="00DF3703" w:rsidRDefault="006B7D88" w:rsidP="00AD77F9">
      <w:pPr>
        <w:pStyle w:val="Bullet1"/>
        <w:rPr>
          <w:rFonts w:ascii="Arial" w:hAnsi="Arial"/>
        </w:rPr>
      </w:pPr>
      <w:r w:rsidRPr="00DF3703">
        <w:rPr>
          <w:rFonts w:ascii="Arial" w:hAnsi="Arial"/>
        </w:rPr>
        <w:t>sailing; and</w:t>
      </w:r>
    </w:p>
    <w:p w:rsidR="00AD77F9" w:rsidRPr="00DF3703" w:rsidRDefault="006B7D88" w:rsidP="00AD77F9">
      <w:pPr>
        <w:pStyle w:val="Bullet1"/>
        <w:rPr>
          <w:rFonts w:ascii="Arial" w:hAnsi="Arial"/>
        </w:rPr>
      </w:pPr>
      <w:r w:rsidRPr="00DF3703">
        <w:rPr>
          <w:rFonts w:ascii="Arial" w:hAnsi="Arial"/>
        </w:rPr>
        <w:t xml:space="preserve">visiting an island. </w:t>
      </w:r>
    </w:p>
    <w:p w:rsidR="00133D66" w:rsidRPr="00DF3703" w:rsidRDefault="006B7D88" w:rsidP="00133D66">
      <w:pPr>
        <w:pStyle w:val="BodyText"/>
        <w:rPr>
          <w:rFonts w:ascii="Arial" w:hAnsi="Arial" w:cs="Arial"/>
        </w:rPr>
      </w:pPr>
      <w:r w:rsidRPr="00DF3703">
        <w:rPr>
          <w:rFonts w:ascii="Arial" w:hAnsi="Arial" w:cs="Arial"/>
        </w:rPr>
        <w:t xml:space="preserve">All of these activities stimulate economic activity through the trip-related expenditure they induce (on things such as travel to and from the activity and on personal items while on the trip), and also through expenditure on equipment used for the activities. </w:t>
      </w:r>
    </w:p>
    <w:p w:rsidR="005D7808" w:rsidRPr="00DF3703" w:rsidRDefault="006B7D88" w:rsidP="00AD77F9">
      <w:pPr>
        <w:pStyle w:val="BodyText"/>
        <w:rPr>
          <w:rFonts w:ascii="Arial" w:hAnsi="Arial" w:cs="Arial"/>
        </w:rPr>
      </w:pPr>
      <w:r w:rsidRPr="00DF3703">
        <w:rPr>
          <w:rFonts w:ascii="Arial" w:hAnsi="Arial" w:cs="Arial"/>
        </w:rPr>
        <w:t xml:space="preserve">Activities are only classified as “recreation” when they are undertaken by locals.  </w:t>
      </w:r>
      <w:r w:rsidR="005D7808" w:rsidRPr="00DF3703">
        <w:rPr>
          <w:rFonts w:ascii="Arial" w:hAnsi="Arial" w:cs="Arial"/>
        </w:rPr>
        <w:t>It could be the case that t</w:t>
      </w:r>
      <w:r w:rsidRPr="00DF3703">
        <w:rPr>
          <w:rFonts w:ascii="Arial" w:hAnsi="Arial" w:cs="Arial"/>
        </w:rPr>
        <w:t>he</w:t>
      </w:r>
      <w:r w:rsidR="005D7808" w:rsidRPr="00DF3703">
        <w:rPr>
          <w:rFonts w:ascii="Arial" w:hAnsi="Arial" w:cs="Arial"/>
        </w:rPr>
        <w:t>se</w:t>
      </w:r>
      <w:r w:rsidRPr="00DF3703">
        <w:rPr>
          <w:rFonts w:ascii="Arial" w:hAnsi="Arial" w:cs="Arial"/>
        </w:rPr>
        <w:t xml:space="preserve"> same activities undertaken by visitors to the regio</w:t>
      </w:r>
      <w:r w:rsidR="005D7808" w:rsidRPr="00DF3703">
        <w:rPr>
          <w:rFonts w:ascii="Arial" w:hAnsi="Arial" w:cs="Arial"/>
        </w:rPr>
        <w:t>n are classified as “tourism”.</w:t>
      </w:r>
    </w:p>
    <w:p w:rsidR="004672A3" w:rsidRPr="00DF3703" w:rsidRDefault="006B7D88" w:rsidP="00AD77F9">
      <w:pPr>
        <w:pStyle w:val="BodyText"/>
        <w:rPr>
          <w:rFonts w:ascii="Arial" w:hAnsi="Arial" w:cs="Arial"/>
        </w:rPr>
      </w:pPr>
      <w:r w:rsidRPr="00DF3703">
        <w:rPr>
          <w:rFonts w:ascii="Arial" w:hAnsi="Arial" w:cs="Arial"/>
        </w:rPr>
        <w:t xml:space="preserve">For this analysis, locals have been defined as households within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other than those in the following </w:t>
      </w:r>
      <w:r w:rsidR="004F322F" w:rsidRPr="00DF3703">
        <w:rPr>
          <w:rFonts w:ascii="Arial" w:hAnsi="Arial" w:cs="Arial"/>
        </w:rPr>
        <w:t>LGAs</w:t>
      </w:r>
      <w:r w:rsidRPr="00DF3703">
        <w:rPr>
          <w:rFonts w:ascii="Arial" w:hAnsi="Arial" w:cs="Arial"/>
        </w:rPr>
        <w:t>, which were deemed as far enough away from the Reef to be classified as tourists:</w:t>
      </w:r>
    </w:p>
    <w:p w:rsidR="00D57C09" w:rsidRPr="00DF3703" w:rsidRDefault="006B7D88" w:rsidP="00D57C09">
      <w:pPr>
        <w:pStyle w:val="Bullet1"/>
        <w:rPr>
          <w:rFonts w:ascii="Arial" w:hAnsi="Arial"/>
        </w:rPr>
      </w:pPr>
      <w:r w:rsidRPr="00DF3703">
        <w:rPr>
          <w:rFonts w:ascii="Arial" w:hAnsi="Arial"/>
        </w:rPr>
        <w:t>Central highlands;</w:t>
      </w:r>
    </w:p>
    <w:p w:rsidR="00D57C09" w:rsidRPr="00DF3703" w:rsidRDefault="006B7D88" w:rsidP="00D57C09">
      <w:pPr>
        <w:pStyle w:val="Bullet1"/>
        <w:rPr>
          <w:rFonts w:ascii="Arial" w:hAnsi="Arial"/>
        </w:rPr>
      </w:pPr>
      <w:r w:rsidRPr="00DF3703">
        <w:rPr>
          <w:rFonts w:ascii="Arial" w:hAnsi="Arial"/>
        </w:rPr>
        <w:t>Banana;</w:t>
      </w:r>
    </w:p>
    <w:p w:rsidR="00D57C09" w:rsidRPr="00DF3703" w:rsidRDefault="006B7D88" w:rsidP="00D57C09">
      <w:pPr>
        <w:pStyle w:val="Bullet1"/>
        <w:rPr>
          <w:rFonts w:ascii="Arial" w:hAnsi="Arial"/>
        </w:rPr>
      </w:pPr>
      <w:r w:rsidRPr="00DF3703">
        <w:rPr>
          <w:rFonts w:ascii="Arial" w:hAnsi="Arial"/>
        </w:rPr>
        <w:t>North Burnett;</w:t>
      </w:r>
    </w:p>
    <w:p w:rsidR="00D57C09" w:rsidRPr="00DF3703" w:rsidRDefault="006B7D88" w:rsidP="00D57C09">
      <w:pPr>
        <w:pStyle w:val="Bullet1"/>
        <w:rPr>
          <w:rFonts w:ascii="Arial" w:hAnsi="Arial"/>
        </w:rPr>
      </w:pPr>
      <w:r w:rsidRPr="00DF3703">
        <w:rPr>
          <w:rFonts w:ascii="Arial" w:hAnsi="Arial"/>
        </w:rPr>
        <w:t>Cherbourg; and</w:t>
      </w:r>
    </w:p>
    <w:p w:rsidR="00D57C09" w:rsidRPr="00DF3703" w:rsidRDefault="006B7D88" w:rsidP="00D57C09">
      <w:pPr>
        <w:pStyle w:val="Bullet1"/>
        <w:rPr>
          <w:rFonts w:ascii="Arial" w:hAnsi="Arial"/>
        </w:rPr>
      </w:pPr>
      <w:r w:rsidRPr="00DF3703">
        <w:rPr>
          <w:rFonts w:ascii="Arial" w:hAnsi="Arial"/>
        </w:rPr>
        <w:t xml:space="preserve">South Burnett. </w:t>
      </w:r>
    </w:p>
    <w:p w:rsidR="00306105" w:rsidRPr="00DF3703" w:rsidRDefault="006B7D88" w:rsidP="00423B5C">
      <w:pPr>
        <w:pStyle w:val="BodyText"/>
        <w:rPr>
          <w:rFonts w:ascii="Arial" w:hAnsi="Arial" w:cs="Arial"/>
        </w:rPr>
      </w:pPr>
      <w:r w:rsidRPr="00DF3703">
        <w:rPr>
          <w:rFonts w:ascii="Arial" w:hAnsi="Arial" w:cs="Arial"/>
        </w:rPr>
        <w:t xml:space="preserve">Using this </w:t>
      </w:r>
      <w:r w:rsidR="008D02A5" w:rsidRPr="00DF3703">
        <w:rPr>
          <w:rFonts w:ascii="Arial" w:hAnsi="Arial" w:cs="Arial"/>
        </w:rPr>
        <w:t>method</w:t>
      </w:r>
      <w:r w:rsidRPr="00DF3703">
        <w:rPr>
          <w:rFonts w:ascii="Arial" w:hAnsi="Arial" w:cs="Arial"/>
        </w:rPr>
        <w:t>, there were 1.04 million local residents in the catchment, across 462,653 households.  Almost 87,000 people living in the regions above were defined as out-of scope for the recreational activity and were assumed to be included in tourists f</w:t>
      </w:r>
      <w:r w:rsidR="006D0525" w:rsidRPr="00DF3703">
        <w:rPr>
          <w:rFonts w:ascii="Arial" w:hAnsi="Arial" w:cs="Arial"/>
        </w:rPr>
        <w:t>rom other parts of Queensland.</w:t>
      </w:r>
    </w:p>
    <w:p w:rsidR="00515E90" w:rsidRPr="00DF3703" w:rsidRDefault="006B7D88" w:rsidP="00423B5C">
      <w:pPr>
        <w:pStyle w:val="BodyText"/>
        <w:rPr>
          <w:rFonts w:ascii="Arial" w:hAnsi="Arial" w:cs="Arial"/>
        </w:rPr>
      </w:pPr>
      <w:r w:rsidRPr="00DF3703">
        <w:rPr>
          <w:rFonts w:ascii="Arial" w:hAnsi="Arial" w:cs="Arial"/>
        </w:rPr>
        <w:t xml:space="preserve">The </w:t>
      </w:r>
      <w:r w:rsidR="008D02A5" w:rsidRPr="00DF3703">
        <w:rPr>
          <w:rFonts w:ascii="Arial" w:hAnsi="Arial" w:cs="Arial"/>
        </w:rPr>
        <w:t>method</w:t>
      </w:r>
      <w:r w:rsidRPr="00DF3703">
        <w:rPr>
          <w:rFonts w:ascii="Arial" w:hAnsi="Arial" w:cs="Arial"/>
        </w:rPr>
        <w:t xml:space="preserve"> used to measure recreational activity in this report has changed from the 2007 analysis, largely due to the availability of superior data. The 2007 analysis was based on information from Fisheries Queensland State-wide Recreational Fishing Survey and as a result, it focused heavily on recreational fishing.</w:t>
      </w:r>
      <w:r w:rsidR="00A772C5" w:rsidRPr="00DF3703">
        <w:rPr>
          <w:rFonts w:ascii="Arial" w:hAnsi="Arial" w:cs="Arial"/>
        </w:rPr>
        <w:t xml:space="preserve"> Moreover advice was provided by Fisheries Queensland that the survey used for the previous study including a high proportion of active fishers.</w:t>
      </w:r>
    </w:p>
    <w:p w:rsidR="004672A3" w:rsidRPr="00DF3703" w:rsidRDefault="006B7D88" w:rsidP="00423B5C">
      <w:pPr>
        <w:pStyle w:val="BodyText"/>
        <w:rPr>
          <w:rFonts w:ascii="Arial" w:hAnsi="Arial" w:cs="Arial"/>
        </w:rPr>
      </w:pPr>
      <w:r w:rsidRPr="00DF3703">
        <w:rPr>
          <w:rFonts w:ascii="Arial" w:hAnsi="Arial" w:cs="Arial"/>
        </w:rPr>
        <w:t xml:space="preserve">This current report draws on a more recent survey of recreation in the </w:t>
      </w:r>
      <w:r w:rsidR="00036279" w:rsidRPr="00DF3703">
        <w:rPr>
          <w:rFonts w:ascii="Arial" w:hAnsi="Arial" w:cs="Arial"/>
        </w:rPr>
        <w:t>Reef</w:t>
      </w:r>
      <w:r w:rsidRPr="00DF3703">
        <w:rPr>
          <w:rFonts w:ascii="Arial" w:hAnsi="Arial" w:cs="Arial"/>
        </w:rPr>
        <w:t xml:space="preserve"> (Rolfe et al. 2011), which has enabled a broader scope of recreational activities to be included in the analysis as described above.  </w:t>
      </w:r>
    </w:p>
    <w:p w:rsidR="00423B5C" w:rsidRPr="00DF3703" w:rsidRDefault="006B7D88" w:rsidP="00423B5C">
      <w:pPr>
        <w:pStyle w:val="BodyText"/>
        <w:rPr>
          <w:rFonts w:ascii="Arial" w:hAnsi="Arial" w:cs="Arial"/>
        </w:rPr>
      </w:pPr>
      <w:r w:rsidRPr="00DF3703">
        <w:rPr>
          <w:rFonts w:ascii="Arial" w:hAnsi="Arial" w:cs="Arial"/>
        </w:rPr>
        <w:t>Information contained in Rolfe et al (2011) was used to measure trip-related expenditure for households within the World Heritage Area, namely:</w:t>
      </w:r>
    </w:p>
    <w:p w:rsidR="00423B5C" w:rsidRPr="00DF3703" w:rsidRDefault="006B7D88" w:rsidP="00423B5C">
      <w:pPr>
        <w:pStyle w:val="Bullet1"/>
        <w:rPr>
          <w:rFonts w:ascii="Arial" w:hAnsi="Arial"/>
        </w:rPr>
      </w:pPr>
      <w:r w:rsidRPr="00DF3703">
        <w:rPr>
          <w:rFonts w:ascii="Arial" w:hAnsi="Arial"/>
        </w:rPr>
        <w:t xml:space="preserve">the proportion of the population that undertake the activities outlined above; </w:t>
      </w:r>
    </w:p>
    <w:p w:rsidR="00423B5C" w:rsidRPr="00DF3703" w:rsidRDefault="006B7D88" w:rsidP="00423B5C">
      <w:pPr>
        <w:pStyle w:val="Bullet1"/>
        <w:rPr>
          <w:rFonts w:ascii="Arial" w:hAnsi="Arial"/>
        </w:rPr>
      </w:pPr>
      <w:r w:rsidRPr="00DF3703">
        <w:rPr>
          <w:rFonts w:ascii="Arial" w:hAnsi="Arial"/>
        </w:rPr>
        <w:t>the frequency with which they undertake these activities; and</w:t>
      </w:r>
    </w:p>
    <w:p w:rsidR="00423B5C" w:rsidRPr="00DF3703" w:rsidRDefault="006B7D88" w:rsidP="00423B5C">
      <w:pPr>
        <w:pStyle w:val="Bullet1"/>
        <w:rPr>
          <w:rFonts w:ascii="Arial" w:hAnsi="Arial"/>
        </w:rPr>
      </w:pPr>
      <w:r w:rsidRPr="00DF3703">
        <w:rPr>
          <w:rFonts w:ascii="Arial" w:hAnsi="Arial"/>
        </w:rPr>
        <w:t xml:space="preserve">the expenditure associated with each trip. </w:t>
      </w:r>
    </w:p>
    <w:p w:rsidR="00046480" w:rsidRPr="00DF3703" w:rsidRDefault="006B7D88" w:rsidP="00AD77F9">
      <w:pPr>
        <w:pStyle w:val="BodyText"/>
        <w:rPr>
          <w:rFonts w:ascii="Arial" w:hAnsi="Arial" w:cs="Arial"/>
        </w:rPr>
      </w:pPr>
      <w:r w:rsidRPr="00DF3703">
        <w:rPr>
          <w:rFonts w:ascii="Arial" w:hAnsi="Arial" w:cs="Arial"/>
        </w:rPr>
        <w:lastRenderedPageBreak/>
        <w:t xml:space="preserve">To measure the expenditure on recreational equipment, Australian Bureau of Statistics </w:t>
      </w:r>
      <w:r w:rsidRPr="00DF3703">
        <w:rPr>
          <w:rFonts w:ascii="Arial" w:hAnsi="Arial" w:cs="Arial"/>
          <w:i/>
        </w:rPr>
        <w:t>Household Expenditure Survey 2009-10 (ABS cat. no. 6530.0)</w:t>
      </w:r>
      <w:r w:rsidRPr="00DF3703">
        <w:rPr>
          <w:rFonts w:ascii="Arial" w:hAnsi="Arial" w:cs="Arial"/>
        </w:rPr>
        <w:t xml:space="preserve"> data were used.</w:t>
      </w:r>
    </w:p>
    <w:p w:rsidR="00FB5201" w:rsidRPr="00DF3703" w:rsidRDefault="006B7D88" w:rsidP="00FB5201">
      <w:pPr>
        <w:pStyle w:val="HeadingC"/>
        <w:rPr>
          <w:rFonts w:ascii="Arial" w:hAnsi="Arial" w:cs="Arial"/>
        </w:rPr>
      </w:pPr>
      <w:r w:rsidRPr="00DF3703">
        <w:rPr>
          <w:rFonts w:ascii="Arial" w:hAnsi="Arial" w:cs="Arial"/>
        </w:rPr>
        <w:t>Recreational expenditure</w:t>
      </w:r>
    </w:p>
    <w:p w:rsidR="00A6009D" w:rsidRPr="00DF3703" w:rsidRDefault="00EB023D" w:rsidP="00AD77F9">
      <w:pPr>
        <w:pStyle w:val="BodyText"/>
        <w:rPr>
          <w:rFonts w:ascii="Arial" w:hAnsi="Arial" w:cs="Arial"/>
        </w:rPr>
      </w:pPr>
      <w:fldSimple w:instr=" REF _Ref340584790 \r \h  \* MERGEFORMAT ">
        <w:r w:rsidR="00536D7E" w:rsidRPr="00536D7E">
          <w:rPr>
            <w:rFonts w:ascii="Arial" w:hAnsi="Arial" w:cs="Arial"/>
          </w:rPr>
          <w:t>Table 5.1</w:t>
        </w:r>
      </w:fldSimple>
      <w:r w:rsidR="006B7D88" w:rsidRPr="00DF3703">
        <w:rPr>
          <w:rFonts w:ascii="Arial" w:hAnsi="Arial" w:cs="Arial"/>
        </w:rPr>
        <w:t xml:space="preserve"> shows recreational expenditure by NRM region on equipment, fishing, boating, sailing and also visiting an island.  Total expenditure was estimated to be $332.4 million with the largest recreational expenditure occurring in the Burnett Mary NRM region, which includes t</w:t>
      </w:r>
      <w:r w:rsidR="00A6009D" w:rsidRPr="00DF3703">
        <w:rPr>
          <w:rFonts w:ascii="Arial" w:hAnsi="Arial" w:cs="Arial"/>
        </w:rPr>
        <w:t>he Fraser Coast and Gladstone.</w:t>
      </w:r>
    </w:p>
    <w:p w:rsidR="00FB5201" w:rsidRPr="00DF3703" w:rsidRDefault="006B7D88" w:rsidP="00AD77F9">
      <w:pPr>
        <w:pStyle w:val="BodyText"/>
        <w:rPr>
          <w:rFonts w:ascii="Arial" w:hAnsi="Arial" w:cs="Arial"/>
        </w:rPr>
      </w:pPr>
      <w:r w:rsidRPr="00DF3703">
        <w:rPr>
          <w:rFonts w:ascii="Arial" w:hAnsi="Arial" w:cs="Arial"/>
        </w:rPr>
        <w:t>A relatively large proportion of recreational expenditure (</w:t>
      </w:r>
      <w:r w:rsidR="00A6009D" w:rsidRPr="00DF3703">
        <w:rPr>
          <w:rFonts w:ascii="Arial" w:hAnsi="Arial" w:cs="Arial"/>
        </w:rPr>
        <w:t>about 62</w:t>
      </w:r>
      <w:r w:rsidRPr="00DF3703">
        <w:rPr>
          <w:rFonts w:ascii="Arial" w:hAnsi="Arial" w:cs="Arial"/>
        </w:rPr>
        <w:t>%) consisted of purchases of recreational equipment</w:t>
      </w:r>
      <w:r w:rsidR="00877BF0" w:rsidRPr="00DF3703">
        <w:rPr>
          <w:rFonts w:ascii="Arial" w:hAnsi="Arial" w:cs="Arial"/>
        </w:rPr>
        <w:t xml:space="preserve"> such as the purchase, registration and insurance of boats, including parts and operations, fishing equipment, water sports equipment and repair.</w:t>
      </w:r>
    </w:p>
    <w:p w:rsidR="00C54D94" w:rsidRPr="00DF3703" w:rsidRDefault="006B7D88" w:rsidP="00A6009D">
      <w:pPr>
        <w:pStyle w:val="CaptionTable"/>
        <w:ind w:left="0"/>
        <w:rPr>
          <w:rFonts w:ascii="Arial" w:hAnsi="Arial" w:cs="Arial"/>
        </w:rPr>
      </w:pPr>
      <w:bookmarkStart w:id="121" w:name="_Ref340584790"/>
      <w:bookmarkStart w:id="122" w:name="_Toc355701065"/>
      <w:r w:rsidRPr="00DF3703">
        <w:rPr>
          <w:rFonts w:ascii="Arial" w:hAnsi="Arial" w:cs="Arial"/>
        </w:rPr>
        <w:t>: Recreational expenditure in the catchment, 2011-12, $m</w:t>
      </w:r>
      <w:bookmarkEnd w:id="121"/>
      <w:bookmarkEnd w:id="122"/>
    </w:p>
    <w:tbl>
      <w:tblPr>
        <w:tblStyle w:val="TableAE"/>
        <w:tblW w:w="0" w:type="auto"/>
        <w:tblLayout w:type="fixed"/>
        <w:tblLook w:val="04A0"/>
      </w:tblPr>
      <w:tblGrid>
        <w:gridCol w:w="1524"/>
        <w:gridCol w:w="1313"/>
        <w:gridCol w:w="992"/>
        <w:gridCol w:w="1082"/>
        <w:gridCol w:w="1072"/>
        <w:gridCol w:w="1205"/>
        <w:gridCol w:w="997"/>
      </w:tblGrid>
      <w:tr w:rsidR="00FB5201" w:rsidRPr="00DF3703" w:rsidTr="00FB5201">
        <w:trPr>
          <w:cnfStyle w:val="100000000000"/>
        </w:trPr>
        <w:tc>
          <w:tcPr>
            <w:tcW w:w="1524" w:type="dxa"/>
          </w:tcPr>
          <w:p w:rsidR="00FB5201" w:rsidRPr="00DF3703" w:rsidRDefault="00FB5201" w:rsidP="00FB5201">
            <w:pPr>
              <w:pStyle w:val="TableHeadingCentre"/>
              <w:rPr>
                <w:rFonts w:ascii="Arial" w:hAnsi="Arial" w:cs="Arial"/>
              </w:rPr>
            </w:pPr>
          </w:p>
        </w:tc>
        <w:tc>
          <w:tcPr>
            <w:tcW w:w="1313" w:type="dxa"/>
          </w:tcPr>
          <w:p w:rsidR="00FB5201" w:rsidRPr="00DF3703" w:rsidRDefault="006B7D88" w:rsidP="00A6009D">
            <w:pPr>
              <w:pStyle w:val="TableHeadingCentre"/>
              <w:ind w:left="-89"/>
              <w:rPr>
                <w:rFonts w:ascii="Arial" w:hAnsi="Arial" w:cs="Arial"/>
              </w:rPr>
            </w:pPr>
            <w:r w:rsidRPr="00DF3703">
              <w:rPr>
                <w:rFonts w:ascii="Arial" w:hAnsi="Arial" w:cs="Arial"/>
              </w:rPr>
              <w:t>Equipment</w:t>
            </w:r>
          </w:p>
        </w:tc>
        <w:tc>
          <w:tcPr>
            <w:tcW w:w="992" w:type="dxa"/>
          </w:tcPr>
          <w:p w:rsidR="00FB5201" w:rsidRPr="00DF3703" w:rsidRDefault="006B7D88" w:rsidP="00A6009D">
            <w:pPr>
              <w:pStyle w:val="TableHeadingCentre"/>
              <w:ind w:left="-127"/>
              <w:rPr>
                <w:rFonts w:ascii="Arial" w:hAnsi="Arial" w:cs="Arial"/>
              </w:rPr>
            </w:pPr>
            <w:r w:rsidRPr="00DF3703">
              <w:rPr>
                <w:rFonts w:ascii="Arial" w:hAnsi="Arial" w:cs="Arial"/>
              </w:rPr>
              <w:t>Fishing</w:t>
            </w:r>
          </w:p>
        </w:tc>
        <w:tc>
          <w:tcPr>
            <w:tcW w:w="1082" w:type="dxa"/>
          </w:tcPr>
          <w:p w:rsidR="00FB5201" w:rsidRPr="00DF3703" w:rsidRDefault="006B7D88" w:rsidP="00FB5201">
            <w:pPr>
              <w:pStyle w:val="TableHeadingCentre"/>
              <w:rPr>
                <w:rFonts w:ascii="Arial" w:hAnsi="Arial" w:cs="Arial"/>
              </w:rPr>
            </w:pPr>
            <w:r w:rsidRPr="00DF3703">
              <w:rPr>
                <w:rFonts w:ascii="Arial" w:hAnsi="Arial" w:cs="Arial"/>
              </w:rPr>
              <w:t>Boating</w:t>
            </w:r>
          </w:p>
        </w:tc>
        <w:tc>
          <w:tcPr>
            <w:tcW w:w="1072" w:type="dxa"/>
          </w:tcPr>
          <w:p w:rsidR="00FB5201" w:rsidRPr="00DF3703" w:rsidRDefault="006B7D88" w:rsidP="00FB5201">
            <w:pPr>
              <w:pStyle w:val="TableHeadingCentre"/>
              <w:rPr>
                <w:rFonts w:ascii="Arial" w:hAnsi="Arial" w:cs="Arial"/>
              </w:rPr>
            </w:pPr>
            <w:r w:rsidRPr="00DF3703">
              <w:rPr>
                <w:rFonts w:ascii="Arial" w:hAnsi="Arial" w:cs="Arial"/>
              </w:rPr>
              <w:t>Sailing</w:t>
            </w:r>
          </w:p>
        </w:tc>
        <w:tc>
          <w:tcPr>
            <w:tcW w:w="1205" w:type="dxa"/>
          </w:tcPr>
          <w:p w:rsidR="00FB5201" w:rsidRPr="00DF3703" w:rsidRDefault="006B7D88" w:rsidP="00FB5201">
            <w:pPr>
              <w:pStyle w:val="TableHeadingCentre"/>
              <w:rPr>
                <w:rFonts w:ascii="Arial" w:hAnsi="Arial" w:cs="Arial"/>
              </w:rPr>
            </w:pPr>
            <w:r w:rsidRPr="00DF3703">
              <w:rPr>
                <w:rFonts w:ascii="Arial" w:hAnsi="Arial" w:cs="Arial"/>
              </w:rPr>
              <w:t>Visiting an Island</w:t>
            </w:r>
          </w:p>
        </w:tc>
        <w:tc>
          <w:tcPr>
            <w:tcW w:w="997" w:type="dxa"/>
          </w:tcPr>
          <w:p w:rsidR="00FB5201" w:rsidRPr="00DF3703" w:rsidRDefault="006B7D88" w:rsidP="00FB5201">
            <w:pPr>
              <w:pStyle w:val="TableHeadingCentre"/>
              <w:rPr>
                <w:rFonts w:ascii="Arial" w:hAnsi="Arial" w:cs="Arial"/>
              </w:rPr>
            </w:pPr>
            <w:r w:rsidRPr="00DF3703">
              <w:rPr>
                <w:rFonts w:ascii="Arial" w:hAnsi="Arial" w:cs="Arial"/>
              </w:rPr>
              <w:t>Total</w:t>
            </w:r>
          </w:p>
        </w:tc>
      </w:tr>
      <w:tr w:rsidR="00FB5201" w:rsidRPr="00DF3703" w:rsidTr="00FB5201">
        <w:tc>
          <w:tcPr>
            <w:tcW w:w="1524" w:type="dxa"/>
          </w:tcPr>
          <w:p w:rsidR="00FB5201" w:rsidRPr="00DF3703" w:rsidRDefault="006B7D88" w:rsidP="00FB5201">
            <w:pPr>
              <w:pStyle w:val="TabletextLeft"/>
              <w:rPr>
                <w:rFonts w:ascii="Arial" w:hAnsi="Arial" w:cs="Arial"/>
              </w:rPr>
            </w:pPr>
            <w:r w:rsidRPr="00DF3703">
              <w:rPr>
                <w:rFonts w:ascii="Arial" w:hAnsi="Arial" w:cs="Arial"/>
                <w:lang w:eastAsia="en-AU"/>
              </w:rPr>
              <w:t>Torres Strait</w:t>
            </w:r>
          </w:p>
        </w:tc>
        <w:tc>
          <w:tcPr>
            <w:tcW w:w="1313" w:type="dxa"/>
            <w:vAlign w:val="center"/>
          </w:tcPr>
          <w:p w:rsidR="00FB5201" w:rsidRPr="00DF3703" w:rsidRDefault="006B7D88" w:rsidP="00FB5201">
            <w:pPr>
              <w:jc w:val="center"/>
              <w:rPr>
                <w:rFonts w:ascii="Arial" w:hAnsi="Arial" w:cs="Arial"/>
                <w:sz w:val="20"/>
              </w:rPr>
            </w:pPr>
            <w:r w:rsidRPr="00DF3703">
              <w:rPr>
                <w:rFonts w:ascii="Arial" w:hAnsi="Arial" w:cs="Arial"/>
                <w:sz w:val="20"/>
              </w:rPr>
              <w:t>1.0</w:t>
            </w:r>
          </w:p>
        </w:tc>
        <w:tc>
          <w:tcPr>
            <w:tcW w:w="992" w:type="dxa"/>
            <w:vAlign w:val="center"/>
          </w:tcPr>
          <w:p w:rsidR="00FB5201" w:rsidRPr="00DF3703" w:rsidRDefault="006B7D88" w:rsidP="00FB5201">
            <w:pPr>
              <w:jc w:val="center"/>
              <w:rPr>
                <w:rFonts w:ascii="Arial" w:hAnsi="Arial" w:cs="Arial"/>
                <w:sz w:val="20"/>
              </w:rPr>
            </w:pPr>
            <w:r w:rsidRPr="00DF3703">
              <w:rPr>
                <w:rFonts w:ascii="Arial" w:hAnsi="Arial" w:cs="Arial"/>
                <w:sz w:val="20"/>
              </w:rPr>
              <w:t>0.1</w:t>
            </w:r>
          </w:p>
        </w:tc>
        <w:tc>
          <w:tcPr>
            <w:tcW w:w="1082" w:type="dxa"/>
            <w:vAlign w:val="center"/>
          </w:tcPr>
          <w:p w:rsidR="00FB5201" w:rsidRPr="00DF3703" w:rsidRDefault="006B7D88" w:rsidP="00FB5201">
            <w:pPr>
              <w:jc w:val="center"/>
              <w:rPr>
                <w:rFonts w:ascii="Arial" w:hAnsi="Arial" w:cs="Arial"/>
                <w:sz w:val="20"/>
              </w:rPr>
            </w:pPr>
            <w:r w:rsidRPr="00DF3703">
              <w:rPr>
                <w:rFonts w:ascii="Arial" w:hAnsi="Arial" w:cs="Arial"/>
                <w:sz w:val="20"/>
              </w:rPr>
              <w:t>0.1</w:t>
            </w:r>
          </w:p>
        </w:tc>
        <w:tc>
          <w:tcPr>
            <w:tcW w:w="1072" w:type="dxa"/>
            <w:vAlign w:val="center"/>
          </w:tcPr>
          <w:p w:rsidR="00FB5201" w:rsidRPr="00DF3703" w:rsidRDefault="006B7D88" w:rsidP="00FB5201">
            <w:pPr>
              <w:jc w:val="center"/>
              <w:rPr>
                <w:rFonts w:ascii="Arial" w:hAnsi="Arial" w:cs="Arial"/>
                <w:sz w:val="20"/>
              </w:rPr>
            </w:pPr>
            <w:r w:rsidRPr="00DF3703">
              <w:rPr>
                <w:rFonts w:ascii="Arial" w:hAnsi="Arial" w:cs="Arial"/>
                <w:sz w:val="20"/>
              </w:rPr>
              <w:t>0.1</w:t>
            </w:r>
          </w:p>
        </w:tc>
        <w:tc>
          <w:tcPr>
            <w:tcW w:w="1205" w:type="dxa"/>
            <w:vAlign w:val="center"/>
          </w:tcPr>
          <w:p w:rsidR="00FB5201" w:rsidRPr="00DF3703" w:rsidRDefault="006B7D88" w:rsidP="00FB5201">
            <w:pPr>
              <w:jc w:val="center"/>
              <w:rPr>
                <w:rFonts w:ascii="Arial" w:hAnsi="Arial" w:cs="Arial"/>
                <w:sz w:val="20"/>
              </w:rPr>
            </w:pPr>
            <w:r w:rsidRPr="00DF3703">
              <w:rPr>
                <w:rFonts w:ascii="Arial" w:hAnsi="Arial" w:cs="Arial"/>
                <w:sz w:val="20"/>
              </w:rPr>
              <w:t>0.3</w:t>
            </w:r>
          </w:p>
        </w:tc>
        <w:tc>
          <w:tcPr>
            <w:tcW w:w="997" w:type="dxa"/>
            <w:vAlign w:val="center"/>
          </w:tcPr>
          <w:p w:rsidR="00FB5201" w:rsidRPr="00DF3703" w:rsidRDefault="006B7D88" w:rsidP="00FB5201">
            <w:pPr>
              <w:jc w:val="center"/>
              <w:rPr>
                <w:rFonts w:ascii="Arial" w:hAnsi="Arial" w:cs="Arial"/>
                <w:sz w:val="20"/>
              </w:rPr>
            </w:pPr>
            <w:r w:rsidRPr="00DF3703">
              <w:rPr>
                <w:rFonts w:ascii="Arial" w:hAnsi="Arial" w:cs="Arial"/>
                <w:sz w:val="20"/>
              </w:rPr>
              <w:t>1.7</w:t>
            </w:r>
          </w:p>
        </w:tc>
      </w:tr>
      <w:tr w:rsidR="00FB5201" w:rsidRPr="00DF3703" w:rsidTr="00FB5201">
        <w:tc>
          <w:tcPr>
            <w:tcW w:w="1524" w:type="dxa"/>
          </w:tcPr>
          <w:p w:rsidR="00FB5201" w:rsidRPr="00DF3703" w:rsidRDefault="006B7D88" w:rsidP="00FB5201">
            <w:pPr>
              <w:rPr>
                <w:rFonts w:ascii="Arial" w:hAnsi="Arial" w:cs="Arial"/>
                <w:sz w:val="20"/>
                <w:lang w:eastAsia="en-AU"/>
              </w:rPr>
            </w:pPr>
            <w:r w:rsidRPr="00DF3703">
              <w:rPr>
                <w:rFonts w:ascii="Arial" w:hAnsi="Arial" w:cs="Arial"/>
                <w:sz w:val="20"/>
                <w:lang w:eastAsia="en-AU"/>
              </w:rPr>
              <w:t>Cape York</w:t>
            </w:r>
          </w:p>
        </w:tc>
        <w:tc>
          <w:tcPr>
            <w:tcW w:w="1313" w:type="dxa"/>
            <w:vAlign w:val="center"/>
          </w:tcPr>
          <w:p w:rsidR="00FB5201" w:rsidRPr="00DF3703" w:rsidRDefault="006B7D88" w:rsidP="00FB5201">
            <w:pPr>
              <w:jc w:val="center"/>
              <w:rPr>
                <w:rFonts w:ascii="Arial" w:hAnsi="Arial" w:cs="Arial"/>
                <w:sz w:val="20"/>
              </w:rPr>
            </w:pPr>
            <w:r w:rsidRPr="00DF3703">
              <w:rPr>
                <w:rFonts w:ascii="Arial" w:hAnsi="Arial" w:cs="Arial"/>
                <w:sz w:val="20"/>
              </w:rPr>
              <w:t>2.4</w:t>
            </w:r>
          </w:p>
        </w:tc>
        <w:tc>
          <w:tcPr>
            <w:tcW w:w="992" w:type="dxa"/>
            <w:vAlign w:val="center"/>
          </w:tcPr>
          <w:p w:rsidR="00FB5201" w:rsidRPr="00DF3703" w:rsidRDefault="006B7D88" w:rsidP="00FB5201">
            <w:pPr>
              <w:jc w:val="center"/>
              <w:rPr>
                <w:rFonts w:ascii="Arial" w:hAnsi="Arial" w:cs="Arial"/>
                <w:sz w:val="20"/>
              </w:rPr>
            </w:pPr>
            <w:r w:rsidRPr="00DF3703">
              <w:rPr>
                <w:rFonts w:ascii="Arial" w:hAnsi="Arial" w:cs="Arial"/>
                <w:sz w:val="20"/>
              </w:rPr>
              <w:t>0.8</w:t>
            </w:r>
          </w:p>
        </w:tc>
        <w:tc>
          <w:tcPr>
            <w:tcW w:w="1082" w:type="dxa"/>
            <w:vAlign w:val="center"/>
          </w:tcPr>
          <w:p w:rsidR="00FB5201" w:rsidRPr="00DF3703" w:rsidRDefault="006B7D88" w:rsidP="00FB5201">
            <w:pPr>
              <w:jc w:val="center"/>
              <w:rPr>
                <w:rFonts w:ascii="Arial" w:hAnsi="Arial" w:cs="Arial"/>
                <w:sz w:val="20"/>
              </w:rPr>
            </w:pPr>
            <w:r w:rsidRPr="00DF3703">
              <w:rPr>
                <w:rFonts w:ascii="Arial" w:hAnsi="Arial" w:cs="Arial"/>
                <w:sz w:val="20"/>
              </w:rPr>
              <w:t>0.3</w:t>
            </w:r>
          </w:p>
        </w:tc>
        <w:tc>
          <w:tcPr>
            <w:tcW w:w="1072" w:type="dxa"/>
            <w:vAlign w:val="center"/>
          </w:tcPr>
          <w:p w:rsidR="00FB5201" w:rsidRPr="00DF3703" w:rsidRDefault="006B7D88" w:rsidP="00FB5201">
            <w:pPr>
              <w:jc w:val="center"/>
              <w:rPr>
                <w:rFonts w:ascii="Arial" w:hAnsi="Arial" w:cs="Arial"/>
                <w:sz w:val="20"/>
              </w:rPr>
            </w:pPr>
            <w:r w:rsidRPr="00DF3703">
              <w:rPr>
                <w:rFonts w:ascii="Arial" w:hAnsi="Arial" w:cs="Arial"/>
                <w:sz w:val="20"/>
              </w:rPr>
              <w:t>0.2</w:t>
            </w:r>
          </w:p>
        </w:tc>
        <w:tc>
          <w:tcPr>
            <w:tcW w:w="1205" w:type="dxa"/>
            <w:vAlign w:val="center"/>
          </w:tcPr>
          <w:p w:rsidR="00FB5201" w:rsidRPr="00DF3703" w:rsidRDefault="006B7D88" w:rsidP="00FB5201">
            <w:pPr>
              <w:jc w:val="center"/>
              <w:rPr>
                <w:rFonts w:ascii="Arial" w:hAnsi="Arial" w:cs="Arial"/>
                <w:sz w:val="20"/>
              </w:rPr>
            </w:pPr>
            <w:r w:rsidRPr="00DF3703">
              <w:rPr>
                <w:rFonts w:ascii="Arial" w:hAnsi="Arial" w:cs="Arial"/>
                <w:sz w:val="20"/>
              </w:rPr>
              <w:t>0.5</w:t>
            </w:r>
          </w:p>
        </w:tc>
        <w:tc>
          <w:tcPr>
            <w:tcW w:w="997" w:type="dxa"/>
            <w:vAlign w:val="center"/>
          </w:tcPr>
          <w:p w:rsidR="00FB5201" w:rsidRPr="00DF3703" w:rsidRDefault="006B7D88" w:rsidP="00FB5201">
            <w:pPr>
              <w:jc w:val="center"/>
              <w:rPr>
                <w:rFonts w:ascii="Arial" w:hAnsi="Arial" w:cs="Arial"/>
                <w:sz w:val="20"/>
              </w:rPr>
            </w:pPr>
            <w:r w:rsidRPr="00DF3703">
              <w:rPr>
                <w:rFonts w:ascii="Arial" w:hAnsi="Arial" w:cs="Arial"/>
                <w:sz w:val="20"/>
              </w:rPr>
              <w:t>4.2</w:t>
            </w:r>
          </w:p>
        </w:tc>
      </w:tr>
      <w:tr w:rsidR="00FB5201" w:rsidRPr="00DF3703" w:rsidTr="00FB5201">
        <w:tc>
          <w:tcPr>
            <w:tcW w:w="1524" w:type="dxa"/>
          </w:tcPr>
          <w:p w:rsidR="00FB5201" w:rsidRPr="00DF3703" w:rsidRDefault="006B7D88" w:rsidP="00FB5201">
            <w:pPr>
              <w:rPr>
                <w:rFonts w:ascii="Arial" w:hAnsi="Arial" w:cs="Arial"/>
                <w:sz w:val="20"/>
                <w:lang w:eastAsia="en-AU"/>
              </w:rPr>
            </w:pPr>
            <w:r w:rsidRPr="00DF3703">
              <w:rPr>
                <w:rFonts w:ascii="Arial" w:hAnsi="Arial" w:cs="Arial"/>
                <w:sz w:val="20"/>
                <w:lang w:eastAsia="en-AU"/>
              </w:rPr>
              <w:t>Wet Tropics</w:t>
            </w:r>
          </w:p>
        </w:tc>
        <w:tc>
          <w:tcPr>
            <w:tcW w:w="1313" w:type="dxa"/>
            <w:vAlign w:val="center"/>
          </w:tcPr>
          <w:p w:rsidR="00FB5201" w:rsidRPr="00DF3703" w:rsidRDefault="006B7D88" w:rsidP="00FB5201">
            <w:pPr>
              <w:jc w:val="center"/>
              <w:rPr>
                <w:rFonts w:ascii="Arial" w:hAnsi="Arial" w:cs="Arial"/>
                <w:sz w:val="20"/>
              </w:rPr>
            </w:pPr>
            <w:r w:rsidRPr="00DF3703">
              <w:rPr>
                <w:rFonts w:ascii="Arial" w:hAnsi="Arial" w:cs="Arial"/>
                <w:sz w:val="20"/>
              </w:rPr>
              <w:t>48.6</w:t>
            </w:r>
          </w:p>
        </w:tc>
        <w:tc>
          <w:tcPr>
            <w:tcW w:w="992" w:type="dxa"/>
            <w:vAlign w:val="center"/>
          </w:tcPr>
          <w:p w:rsidR="00FB5201" w:rsidRPr="00DF3703" w:rsidRDefault="006B7D88" w:rsidP="00FB5201">
            <w:pPr>
              <w:jc w:val="center"/>
              <w:rPr>
                <w:rFonts w:ascii="Arial" w:hAnsi="Arial" w:cs="Arial"/>
                <w:sz w:val="20"/>
              </w:rPr>
            </w:pPr>
            <w:r w:rsidRPr="00DF3703">
              <w:rPr>
                <w:rFonts w:ascii="Arial" w:hAnsi="Arial" w:cs="Arial"/>
                <w:sz w:val="20"/>
              </w:rPr>
              <w:t>13.0</w:t>
            </w:r>
          </w:p>
        </w:tc>
        <w:tc>
          <w:tcPr>
            <w:tcW w:w="1082" w:type="dxa"/>
            <w:vAlign w:val="center"/>
          </w:tcPr>
          <w:p w:rsidR="00FB5201" w:rsidRPr="00DF3703" w:rsidRDefault="006B7D88" w:rsidP="00FB5201">
            <w:pPr>
              <w:jc w:val="center"/>
              <w:rPr>
                <w:rFonts w:ascii="Arial" w:hAnsi="Arial" w:cs="Arial"/>
                <w:sz w:val="20"/>
              </w:rPr>
            </w:pPr>
            <w:r w:rsidRPr="00DF3703">
              <w:rPr>
                <w:rFonts w:ascii="Arial" w:hAnsi="Arial" w:cs="Arial"/>
                <w:sz w:val="20"/>
              </w:rPr>
              <w:t>4.6</w:t>
            </w:r>
          </w:p>
        </w:tc>
        <w:tc>
          <w:tcPr>
            <w:tcW w:w="1072" w:type="dxa"/>
            <w:vAlign w:val="center"/>
          </w:tcPr>
          <w:p w:rsidR="00FB5201" w:rsidRPr="00DF3703" w:rsidRDefault="006B7D88" w:rsidP="00FB5201">
            <w:pPr>
              <w:jc w:val="center"/>
              <w:rPr>
                <w:rFonts w:ascii="Arial" w:hAnsi="Arial" w:cs="Arial"/>
                <w:sz w:val="20"/>
              </w:rPr>
            </w:pPr>
            <w:r w:rsidRPr="00DF3703">
              <w:rPr>
                <w:rFonts w:ascii="Arial" w:hAnsi="Arial" w:cs="Arial"/>
                <w:sz w:val="20"/>
              </w:rPr>
              <w:t>3.1</w:t>
            </w:r>
          </w:p>
        </w:tc>
        <w:tc>
          <w:tcPr>
            <w:tcW w:w="1205" w:type="dxa"/>
            <w:vAlign w:val="center"/>
          </w:tcPr>
          <w:p w:rsidR="00FB5201" w:rsidRPr="00DF3703" w:rsidRDefault="006B7D88" w:rsidP="00FB5201">
            <w:pPr>
              <w:jc w:val="center"/>
              <w:rPr>
                <w:rFonts w:ascii="Arial" w:hAnsi="Arial" w:cs="Arial"/>
                <w:sz w:val="20"/>
              </w:rPr>
            </w:pPr>
            <w:r w:rsidRPr="00DF3703">
              <w:rPr>
                <w:rFonts w:ascii="Arial" w:hAnsi="Arial" w:cs="Arial"/>
                <w:sz w:val="20"/>
              </w:rPr>
              <w:t>9.2</w:t>
            </w:r>
          </w:p>
        </w:tc>
        <w:tc>
          <w:tcPr>
            <w:tcW w:w="997" w:type="dxa"/>
            <w:vAlign w:val="center"/>
          </w:tcPr>
          <w:p w:rsidR="00FB5201" w:rsidRPr="00DF3703" w:rsidRDefault="006B7D88" w:rsidP="00FB5201">
            <w:pPr>
              <w:jc w:val="center"/>
              <w:rPr>
                <w:rFonts w:ascii="Arial" w:hAnsi="Arial" w:cs="Arial"/>
                <w:sz w:val="20"/>
              </w:rPr>
            </w:pPr>
            <w:r w:rsidRPr="00DF3703">
              <w:rPr>
                <w:rFonts w:ascii="Arial" w:hAnsi="Arial" w:cs="Arial"/>
                <w:sz w:val="20"/>
              </w:rPr>
              <w:t>78.5</w:t>
            </w:r>
          </w:p>
        </w:tc>
      </w:tr>
      <w:tr w:rsidR="00FB5201" w:rsidRPr="00DF3703" w:rsidTr="00FB5201">
        <w:tc>
          <w:tcPr>
            <w:tcW w:w="1524" w:type="dxa"/>
          </w:tcPr>
          <w:p w:rsidR="00FB5201" w:rsidRPr="00DF3703" w:rsidRDefault="006B7D88" w:rsidP="00FB5201">
            <w:pPr>
              <w:rPr>
                <w:rFonts w:ascii="Arial" w:hAnsi="Arial" w:cs="Arial"/>
                <w:sz w:val="20"/>
                <w:lang w:eastAsia="en-AU"/>
              </w:rPr>
            </w:pPr>
            <w:r w:rsidRPr="00DF3703">
              <w:rPr>
                <w:rFonts w:ascii="Arial" w:hAnsi="Arial" w:cs="Arial"/>
                <w:sz w:val="20"/>
                <w:lang w:eastAsia="en-AU"/>
              </w:rPr>
              <w:t>Burdekin</w:t>
            </w:r>
          </w:p>
        </w:tc>
        <w:tc>
          <w:tcPr>
            <w:tcW w:w="1313" w:type="dxa"/>
            <w:vAlign w:val="center"/>
          </w:tcPr>
          <w:p w:rsidR="00FB5201" w:rsidRPr="00DF3703" w:rsidRDefault="006B7D88" w:rsidP="00FB5201">
            <w:pPr>
              <w:jc w:val="center"/>
              <w:rPr>
                <w:rFonts w:ascii="Arial" w:hAnsi="Arial" w:cs="Arial"/>
                <w:sz w:val="20"/>
              </w:rPr>
            </w:pPr>
            <w:r w:rsidRPr="00DF3703">
              <w:rPr>
                <w:rFonts w:ascii="Arial" w:hAnsi="Arial" w:cs="Arial"/>
                <w:sz w:val="20"/>
              </w:rPr>
              <w:t>42.4</w:t>
            </w:r>
          </w:p>
        </w:tc>
        <w:tc>
          <w:tcPr>
            <w:tcW w:w="992" w:type="dxa"/>
            <w:vAlign w:val="center"/>
          </w:tcPr>
          <w:p w:rsidR="00FB5201" w:rsidRPr="00DF3703" w:rsidRDefault="006B7D88" w:rsidP="00FB5201">
            <w:pPr>
              <w:jc w:val="center"/>
              <w:rPr>
                <w:rFonts w:ascii="Arial" w:hAnsi="Arial" w:cs="Arial"/>
                <w:sz w:val="20"/>
              </w:rPr>
            </w:pPr>
            <w:r w:rsidRPr="00DF3703">
              <w:rPr>
                <w:rFonts w:ascii="Arial" w:hAnsi="Arial" w:cs="Arial"/>
                <w:sz w:val="20"/>
              </w:rPr>
              <w:t>12.2</w:t>
            </w:r>
          </w:p>
        </w:tc>
        <w:tc>
          <w:tcPr>
            <w:tcW w:w="1082" w:type="dxa"/>
            <w:vAlign w:val="center"/>
          </w:tcPr>
          <w:p w:rsidR="00FB5201" w:rsidRPr="00DF3703" w:rsidRDefault="006B7D88" w:rsidP="00FB5201">
            <w:pPr>
              <w:jc w:val="center"/>
              <w:rPr>
                <w:rFonts w:ascii="Arial" w:hAnsi="Arial" w:cs="Arial"/>
                <w:sz w:val="20"/>
              </w:rPr>
            </w:pPr>
            <w:r w:rsidRPr="00DF3703">
              <w:rPr>
                <w:rFonts w:ascii="Arial" w:hAnsi="Arial" w:cs="Arial"/>
                <w:sz w:val="20"/>
              </w:rPr>
              <w:t>4.3</w:t>
            </w:r>
          </w:p>
        </w:tc>
        <w:tc>
          <w:tcPr>
            <w:tcW w:w="1072" w:type="dxa"/>
            <w:vAlign w:val="center"/>
          </w:tcPr>
          <w:p w:rsidR="00FB5201" w:rsidRPr="00DF3703" w:rsidRDefault="006B7D88" w:rsidP="00FB5201">
            <w:pPr>
              <w:jc w:val="center"/>
              <w:rPr>
                <w:rFonts w:ascii="Arial" w:hAnsi="Arial" w:cs="Arial"/>
                <w:sz w:val="20"/>
              </w:rPr>
            </w:pPr>
            <w:r w:rsidRPr="00DF3703">
              <w:rPr>
                <w:rFonts w:ascii="Arial" w:hAnsi="Arial" w:cs="Arial"/>
                <w:sz w:val="20"/>
              </w:rPr>
              <w:t>2.9</w:t>
            </w:r>
          </w:p>
        </w:tc>
        <w:tc>
          <w:tcPr>
            <w:tcW w:w="1205" w:type="dxa"/>
            <w:vAlign w:val="center"/>
          </w:tcPr>
          <w:p w:rsidR="00FB5201" w:rsidRPr="00DF3703" w:rsidRDefault="006B7D88" w:rsidP="00FB5201">
            <w:pPr>
              <w:jc w:val="center"/>
              <w:rPr>
                <w:rFonts w:ascii="Arial" w:hAnsi="Arial" w:cs="Arial"/>
                <w:sz w:val="20"/>
              </w:rPr>
            </w:pPr>
            <w:r w:rsidRPr="00DF3703">
              <w:rPr>
                <w:rFonts w:ascii="Arial" w:hAnsi="Arial" w:cs="Arial"/>
                <w:sz w:val="20"/>
              </w:rPr>
              <w:t>10.7</w:t>
            </w:r>
          </w:p>
        </w:tc>
        <w:tc>
          <w:tcPr>
            <w:tcW w:w="997" w:type="dxa"/>
            <w:vAlign w:val="center"/>
          </w:tcPr>
          <w:p w:rsidR="00FB5201" w:rsidRPr="00DF3703" w:rsidRDefault="006B7D88" w:rsidP="00FB5201">
            <w:pPr>
              <w:jc w:val="center"/>
              <w:rPr>
                <w:rFonts w:ascii="Arial" w:hAnsi="Arial" w:cs="Arial"/>
                <w:sz w:val="20"/>
              </w:rPr>
            </w:pPr>
            <w:r w:rsidRPr="00DF3703">
              <w:rPr>
                <w:rFonts w:ascii="Arial" w:hAnsi="Arial" w:cs="Arial"/>
                <w:sz w:val="20"/>
              </w:rPr>
              <w:t>72.4</w:t>
            </w:r>
          </w:p>
        </w:tc>
      </w:tr>
      <w:tr w:rsidR="00FB5201" w:rsidRPr="00DF3703" w:rsidTr="00FB5201">
        <w:tc>
          <w:tcPr>
            <w:tcW w:w="1524" w:type="dxa"/>
          </w:tcPr>
          <w:p w:rsidR="00FB5201" w:rsidRPr="00DF3703" w:rsidRDefault="006B7D88" w:rsidP="00FB5201">
            <w:pPr>
              <w:rPr>
                <w:rFonts w:ascii="Arial" w:hAnsi="Arial" w:cs="Arial"/>
                <w:sz w:val="20"/>
                <w:lang w:eastAsia="en-AU"/>
              </w:rPr>
            </w:pPr>
            <w:r w:rsidRPr="00DF3703">
              <w:rPr>
                <w:rFonts w:ascii="Arial" w:hAnsi="Arial" w:cs="Arial"/>
                <w:sz w:val="20"/>
                <w:lang w:eastAsia="en-AU"/>
              </w:rPr>
              <w:t>Mackay Whitsunday</w:t>
            </w:r>
          </w:p>
        </w:tc>
        <w:tc>
          <w:tcPr>
            <w:tcW w:w="1313" w:type="dxa"/>
            <w:vAlign w:val="center"/>
          </w:tcPr>
          <w:p w:rsidR="00FB5201" w:rsidRPr="00DF3703" w:rsidRDefault="006B7D88" w:rsidP="00FB5201">
            <w:pPr>
              <w:jc w:val="center"/>
              <w:rPr>
                <w:rFonts w:ascii="Arial" w:hAnsi="Arial" w:cs="Arial"/>
                <w:sz w:val="20"/>
              </w:rPr>
            </w:pPr>
            <w:r w:rsidRPr="00DF3703">
              <w:rPr>
                <w:rFonts w:ascii="Arial" w:hAnsi="Arial" w:cs="Arial"/>
                <w:sz w:val="20"/>
              </w:rPr>
              <w:t>24.5</w:t>
            </w:r>
          </w:p>
        </w:tc>
        <w:tc>
          <w:tcPr>
            <w:tcW w:w="992" w:type="dxa"/>
            <w:vAlign w:val="center"/>
          </w:tcPr>
          <w:p w:rsidR="00FB5201" w:rsidRPr="00DF3703" w:rsidRDefault="006B7D88" w:rsidP="00FB5201">
            <w:pPr>
              <w:jc w:val="center"/>
              <w:rPr>
                <w:rFonts w:ascii="Arial" w:hAnsi="Arial" w:cs="Arial"/>
                <w:sz w:val="20"/>
              </w:rPr>
            </w:pPr>
            <w:r w:rsidRPr="00DF3703">
              <w:rPr>
                <w:rFonts w:ascii="Arial" w:hAnsi="Arial" w:cs="Arial"/>
                <w:sz w:val="20"/>
              </w:rPr>
              <w:t>7.2</w:t>
            </w:r>
          </w:p>
        </w:tc>
        <w:tc>
          <w:tcPr>
            <w:tcW w:w="1082" w:type="dxa"/>
            <w:vAlign w:val="center"/>
          </w:tcPr>
          <w:p w:rsidR="00FB5201" w:rsidRPr="00DF3703" w:rsidRDefault="006B7D88" w:rsidP="00FB5201">
            <w:pPr>
              <w:jc w:val="center"/>
              <w:rPr>
                <w:rFonts w:ascii="Arial" w:hAnsi="Arial" w:cs="Arial"/>
                <w:sz w:val="20"/>
              </w:rPr>
            </w:pPr>
            <w:r w:rsidRPr="00DF3703">
              <w:rPr>
                <w:rFonts w:ascii="Arial" w:hAnsi="Arial" w:cs="Arial"/>
                <w:sz w:val="20"/>
              </w:rPr>
              <w:t>2.6</w:t>
            </w:r>
          </w:p>
        </w:tc>
        <w:tc>
          <w:tcPr>
            <w:tcW w:w="1072" w:type="dxa"/>
            <w:vAlign w:val="center"/>
          </w:tcPr>
          <w:p w:rsidR="00FB5201" w:rsidRPr="00DF3703" w:rsidRDefault="006B7D88" w:rsidP="00FB5201">
            <w:pPr>
              <w:jc w:val="center"/>
              <w:rPr>
                <w:rFonts w:ascii="Arial" w:hAnsi="Arial" w:cs="Arial"/>
                <w:sz w:val="20"/>
              </w:rPr>
            </w:pPr>
            <w:r w:rsidRPr="00DF3703">
              <w:rPr>
                <w:rFonts w:ascii="Arial" w:hAnsi="Arial" w:cs="Arial"/>
                <w:sz w:val="20"/>
              </w:rPr>
              <w:t>1.7</w:t>
            </w:r>
          </w:p>
        </w:tc>
        <w:tc>
          <w:tcPr>
            <w:tcW w:w="1205" w:type="dxa"/>
            <w:vAlign w:val="center"/>
          </w:tcPr>
          <w:p w:rsidR="00FB5201" w:rsidRPr="00DF3703" w:rsidRDefault="006B7D88" w:rsidP="00FB5201">
            <w:pPr>
              <w:jc w:val="center"/>
              <w:rPr>
                <w:rFonts w:ascii="Arial" w:hAnsi="Arial" w:cs="Arial"/>
                <w:sz w:val="20"/>
              </w:rPr>
            </w:pPr>
            <w:r w:rsidRPr="00DF3703">
              <w:rPr>
                <w:rFonts w:ascii="Arial" w:hAnsi="Arial" w:cs="Arial"/>
                <w:sz w:val="20"/>
              </w:rPr>
              <w:t>2.8</w:t>
            </w:r>
          </w:p>
        </w:tc>
        <w:tc>
          <w:tcPr>
            <w:tcW w:w="997" w:type="dxa"/>
            <w:vAlign w:val="center"/>
          </w:tcPr>
          <w:p w:rsidR="00FB5201" w:rsidRPr="00DF3703" w:rsidRDefault="006B7D88" w:rsidP="00FB5201">
            <w:pPr>
              <w:jc w:val="center"/>
              <w:rPr>
                <w:rFonts w:ascii="Arial" w:hAnsi="Arial" w:cs="Arial"/>
                <w:sz w:val="20"/>
              </w:rPr>
            </w:pPr>
            <w:r w:rsidRPr="00DF3703">
              <w:rPr>
                <w:rFonts w:ascii="Arial" w:hAnsi="Arial" w:cs="Arial"/>
                <w:sz w:val="20"/>
              </w:rPr>
              <w:t>38.8</w:t>
            </w:r>
          </w:p>
        </w:tc>
      </w:tr>
      <w:tr w:rsidR="00FB5201" w:rsidRPr="00DF3703" w:rsidTr="00FB5201">
        <w:tc>
          <w:tcPr>
            <w:tcW w:w="1524" w:type="dxa"/>
          </w:tcPr>
          <w:p w:rsidR="00FB5201" w:rsidRPr="00DF3703" w:rsidRDefault="006B7D88" w:rsidP="00FB5201">
            <w:pPr>
              <w:rPr>
                <w:rFonts w:ascii="Arial" w:hAnsi="Arial" w:cs="Arial"/>
                <w:sz w:val="20"/>
                <w:lang w:eastAsia="en-AU"/>
              </w:rPr>
            </w:pPr>
            <w:r w:rsidRPr="00DF3703">
              <w:rPr>
                <w:rFonts w:ascii="Arial" w:hAnsi="Arial" w:cs="Arial"/>
                <w:sz w:val="20"/>
                <w:lang w:eastAsia="en-AU"/>
              </w:rPr>
              <w:t>Fitzroy</w:t>
            </w:r>
          </w:p>
        </w:tc>
        <w:tc>
          <w:tcPr>
            <w:tcW w:w="1313" w:type="dxa"/>
            <w:vAlign w:val="center"/>
          </w:tcPr>
          <w:p w:rsidR="00FB5201" w:rsidRPr="00DF3703" w:rsidRDefault="006B7D88" w:rsidP="00FB5201">
            <w:pPr>
              <w:jc w:val="center"/>
              <w:rPr>
                <w:rFonts w:ascii="Arial" w:hAnsi="Arial" w:cs="Arial"/>
                <w:sz w:val="20"/>
              </w:rPr>
            </w:pPr>
            <w:r w:rsidRPr="00DF3703">
              <w:rPr>
                <w:rFonts w:ascii="Arial" w:hAnsi="Arial" w:cs="Arial"/>
                <w:sz w:val="20"/>
              </w:rPr>
              <w:t>34.8</w:t>
            </w:r>
          </w:p>
        </w:tc>
        <w:tc>
          <w:tcPr>
            <w:tcW w:w="992" w:type="dxa"/>
            <w:vAlign w:val="center"/>
          </w:tcPr>
          <w:p w:rsidR="00FB5201" w:rsidRPr="00DF3703" w:rsidRDefault="006B7D88" w:rsidP="00FB5201">
            <w:pPr>
              <w:jc w:val="center"/>
              <w:rPr>
                <w:rFonts w:ascii="Arial" w:hAnsi="Arial" w:cs="Arial"/>
                <w:sz w:val="20"/>
              </w:rPr>
            </w:pPr>
            <w:r w:rsidRPr="00DF3703">
              <w:rPr>
                <w:rFonts w:ascii="Arial" w:hAnsi="Arial" w:cs="Arial"/>
                <w:sz w:val="20"/>
              </w:rPr>
              <w:t>10.1</w:t>
            </w:r>
          </w:p>
        </w:tc>
        <w:tc>
          <w:tcPr>
            <w:tcW w:w="1082" w:type="dxa"/>
            <w:vAlign w:val="center"/>
          </w:tcPr>
          <w:p w:rsidR="00FB5201" w:rsidRPr="00DF3703" w:rsidRDefault="006B7D88" w:rsidP="00FB5201">
            <w:pPr>
              <w:jc w:val="center"/>
              <w:rPr>
                <w:rFonts w:ascii="Arial" w:hAnsi="Arial" w:cs="Arial"/>
                <w:sz w:val="20"/>
              </w:rPr>
            </w:pPr>
            <w:r w:rsidRPr="00DF3703">
              <w:rPr>
                <w:rFonts w:ascii="Arial" w:hAnsi="Arial" w:cs="Arial"/>
                <w:sz w:val="20"/>
              </w:rPr>
              <w:t>3.6</w:t>
            </w:r>
          </w:p>
        </w:tc>
        <w:tc>
          <w:tcPr>
            <w:tcW w:w="1072" w:type="dxa"/>
            <w:vAlign w:val="center"/>
          </w:tcPr>
          <w:p w:rsidR="00FB5201" w:rsidRPr="00DF3703" w:rsidRDefault="006B7D88" w:rsidP="00FB5201">
            <w:pPr>
              <w:jc w:val="center"/>
              <w:rPr>
                <w:rFonts w:ascii="Arial" w:hAnsi="Arial" w:cs="Arial"/>
                <w:sz w:val="20"/>
              </w:rPr>
            </w:pPr>
            <w:r w:rsidRPr="00DF3703">
              <w:rPr>
                <w:rFonts w:ascii="Arial" w:hAnsi="Arial" w:cs="Arial"/>
                <w:sz w:val="20"/>
              </w:rPr>
              <w:t>2.4</w:t>
            </w:r>
          </w:p>
        </w:tc>
        <w:tc>
          <w:tcPr>
            <w:tcW w:w="1205" w:type="dxa"/>
            <w:vAlign w:val="center"/>
          </w:tcPr>
          <w:p w:rsidR="00FB5201" w:rsidRPr="00DF3703" w:rsidRDefault="006B7D88" w:rsidP="00FB5201">
            <w:pPr>
              <w:jc w:val="center"/>
              <w:rPr>
                <w:rFonts w:ascii="Arial" w:hAnsi="Arial" w:cs="Arial"/>
                <w:sz w:val="20"/>
              </w:rPr>
            </w:pPr>
            <w:r w:rsidRPr="00DF3703">
              <w:rPr>
                <w:rFonts w:ascii="Arial" w:hAnsi="Arial" w:cs="Arial"/>
                <w:sz w:val="20"/>
              </w:rPr>
              <w:t>4.0</w:t>
            </w:r>
          </w:p>
        </w:tc>
        <w:tc>
          <w:tcPr>
            <w:tcW w:w="997" w:type="dxa"/>
            <w:vAlign w:val="center"/>
          </w:tcPr>
          <w:p w:rsidR="00FB5201" w:rsidRPr="00DF3703" w:rsidRDefault="006B7D88" w:rsidP="00FB5201">
            <w:pPr>
              <w:jc w:val="center"/>
              <w:rPr>
                <w:rFonts w:ascii="Arial" w:hAnsi="Arial" w:cs="Arial"/>
                <w:sz w:val="20"/>
              </w:rPr>
            </w:pPr>
            <w:r w:rsidRPr="00DF3703">
              <w:rPr>
                <w:rFonts w:ascii="Arial" w:hAnsi="Arial" w:cs="Arial"/>
                <w:sz w:val="20"/>
              </w:rPr>
              <w:t>54.8</w:t>
            </w:r>
          </w:p>
        </w:tc>
      </w:tr>
      <w:tr w:rsidR="00FB5201" w:rsidRPr="00DF3703" w:rsidTr="00FB5201">
        <w:tc>
          <w:tcPr>
            <w:tcW w:w="1524" w:type="dxa"/>
            <w:tcBorders>
              <w:bottom w:val="single" w:sz="12" w:space="0" w:color="002776"/>
            </w:tcBorders>
          </w:tcPr>
          <w:p w:rsidR="00FB5201" w:rsidRPr="00DF3703" w:rsidRDefault="006B7D88" w:rsidP="00FB5201">
            <w:pPr>
              <w:rPr>
                <w:rFonts w:ascii="Arial" w:hAnsi="Arial" w:cs="Arial"/>
                <w:sz w:val="20"/>
                <w:lang w:eastAsia="en-AU"/>
              </w:rPr>
            </w:pPr>
            <w:r w:rsidRPr="00DF3703">
              <w:rPr>
                <w:rFonts w:ascii="Arial" w:hAnsi="Arial" w:cs="Arial"/>
                <w:sz w:val="20"/>
                <w:lang w:eastAsia="en-AU"/>
              </w:rPr>
              <w:t>Burnett Mary</w:t>
            </w:r>
          </w:p>
        </w:tc>
        <w:tc>
          <w:tcPr>
            <w:tcW w:w="1313" w:type="dxa"/>
            <w:tcBorders>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53.9</w:t>
            </w:r>
          </w:p>
        </w:tc>
        <w:tc>
          <w:tcPr>
            <w:tcW w:w="992" w:type="dxa"/>
            <w:tcBorders>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14.2</w:t>
            </w:r>
          </w:p>
        </w:tc>
        <w:tc>
          <w:tcPr>
            <w:tcW w:w="1082" w:type="dxa"/>
            <w:tcBorders>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5.0</w:t>
            </w:r>
          </w:p>
        </w:tc>
        <w:tc>
          <w:tcPr>
            <w:tcW w:w="1072" w:type="dxa"/>
            <w:tcBorders>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3.3</w:t>
            </w:r>
          </w:p>
        </w:tc>
        <w:tc>
          <w:tcPr>
            <w:tcW w:w="1205" w:type="dxa"/>
            <w:tcBorders>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5.6</w:t>
            </w:r>
          </w:p>
        </w:tc>
        <w:tc>
          <w:tcPr>
            <w:tcW w:w="997" w:type="dxa"/>
            <w:tcBorders>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82.0</w:t>
            </w:r>
          </w:p>
        </w:tc>
      </w:tr>
      <w:tr w:rsidR="00FB5201" w:rsidRPr="00DF3703" w:rsidTr="00FB5201">
        <w:tc>
          <w:tcPr>
            <w:tcW w:w="1524" w:type="dxa"/>
            <w:tcBorders>
              <w:top w:val="single" w:sz="12" w:space="0" w:color="002776"/>
              <w:bottom w:val="single" w:sz="12" w:space="0" w:color="002776"/>
            </w:tcBorders>
          </w:tcPr>
          <w:p w:rsidR="00FB5201" w:rsidRPr="00DF3703" w:rsidRDefault="006B7D88" w:rsidP="00FB5201">
            <w:pPr>
              <w:pStyle w:val="TabletextLeft"/>
              <w:rPr>
                <w:rFonts w:ascii="Arial" w:hAnsi="Arial" w:cs="Arial"/>
              </w:rPr>
            </w:pPr>
            <w:r w:rsidRPr="00DF3703">
              <w:rPr>
                <w:rFonts w:ascii="Arial" w:hAnsi="Arial" w:cs="Arial"/>
              </w:rPr>
              <w:t>Total</w:t>
            </w:r>
          </w:p>
        </w:tc>
        <w:tc>
          <w:tcPr>
            <w:tcW w:w="1313" w:type="dxa"/>
            <w:tcBorders>
              <w:top w:val="single" w:sz="12" w:space="0" w:color="002776"/>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207.5</w:t>
            </w:r>
          </w:p>
        </w:tc>
        <w:tc>
          <w:tcPr>
            <w:tcW w:w="992" w:type="dxa"/>
            <w:tcBorders>
              <w:top w:val="single" w:sz="12" w:space="0" w:color="002776"/>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57.7</w:t>
            </w:r>
          </w:p>
        </w:tc>
        <w:tc>
          <w:tcPr>
            <w:tcW w:w="1082" w:type="dxa"/>
            <w:tcBorders>
              <w:top w:val="single" w:sz="12" w:space="0" w:color="002776"/>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20.5</w:t>
            </w:r>
          </w:p>
        </w:tc>
        <w:tc>
          <w:tcPr>
            <w:tcW w:w="1072" w:type="dxa"/>
            <w:tcBorders>
              <w:top w:val="single" w:sz="12" w:space="0" w:color="002776"/>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13.6</w:t>
            </w:r>
          </w:p>
        </w:tc>
        <w:tc>
          <w:tcPr>
            <w:tcW w:w="1205" w:type="dxa"/>
            <w:tcBorders>
              <w:top w:val="single" w:sz="12" w:space="0" w:color="002776"/>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33.1</w:t>
            </w:r>
          </w:p>
        </w:tc>
        <w:tc>
          <w:tcPr>
            <w:tcW w:w="997" w:type="dxa"/>
            <w:tcBorders>
              <w:top w:val="single" w:sz="12" w:space="0" w:color="002776"/>
              <w:bottom w:val="single" w:sz="12" w:space="0" w:color="002776"/>
            </w:tcBorders>
            <w:vAlign w:val="center"/>
          </w:tcPr>
          <w:p w:rsidR="00FB5201" w:rsidRPr="00DF3703" w:rsidRDefault="006B7D88" w:rsidP="00FB5201">
            <w:pPr>
              <w:jc w:val="center"/>
              <w:rPr>
                <w:rFonts w:ascii="Arial" w:hAnsi="Arial" w:cs="Arial"/>
                <w:sz w:val="20"/>
              </w:rPr>
            </w:pPr>
            <w:r w:rsidRPr="00DF3703">
              <w:rPr>
                <w:rFonts w:ascii="Arial" w:hAnsi="Arial" w:cs="Arial"/>
                <w:sz w:val="20"/>
              </w:rPr>
              <w:t>332.4</w:t>
            </w:r>
          </w:p>
        </w:tc>
      </w:tr>
    </w:tbl>
    <w:p w:rsidR="006E3A2F" w:rsidRPr="00DF3703" w:rsidRDefault="006B7D88" w:rsidP="006E3A2F">
      <w:pPr>
        <w:pStyle w:val="Source"/>
        <w:rPr>
          <w:rFonts w:ascii="Arial" w:hAnsi="Arial"/>
        </w:rPr>
      </w:pPr>
      <w:r w:rsidRPr="00DF3703">
        <w:rPr>
          <w:rFonts w:ascii="Arial" w:hAnsi="Arial"/>
        </w:rPr>
        <w:t>Source: Deloitte Access Economics estimates</w:t>
      </w:r>
    </w:p>
    <w:p w:rsidR="00D03A0C" w:rsidRPr="00DF3703" w:rsidRDefault="006B7D88" w:rsidP="00E37AB3">
      <w:pPr>
        <w:pStyle w:val="BodyText"/>
        <w:rPr>
          <w:rFonts w:ascii="Arial" w:hAnsi="Arial" w:cs="Arial"/>
        </w:rPr>
      </w:pPr>
      <w:r w:rsidRPr="00DF3703">
        <w:rPr>
          <w:rFonts w:ascii="Arial" w:hAnsi="Arial" w:cs="Arial"/>
        </w:rPr>
        <w:t>Fishing generated the most economic activity, largely due to its popularity – with over 3.4 million fishing trips</w:t>
      </w:r>
      <w:r w:rsidR="00623CCF" w:rsidRPr="00DF3703">
        <w:rPr>
          <w:rStyle w:val="FootnoteReference"/>
          <w:rFonts w:cs="Arial"/>
        </w:rPr>
        <w:footnoteReference w:id="8"/>
      </w:r>
      <w:r w:rsidRPr="00DF3703">
        <w:rPr>
          <w:rFonts w:ascii="Arial" w:hAnsi="Arial" w:cs="Arial"/>
        </w:rPr>
        <w:t xml:space="preserve"> estimated to have taken place in 2012 and almost one-third of the catchment’s population undertaking the activity in the past two years.</w:t>
      </w:r>
      <w:r w:rsidR="007F5446" w:rsidRPr="00DF3703">
        <w:rPr>
          <w:rFonts w:ascii="Arial" w:hAnsi="Arial" w:cs="Arial"/>
        </w:rPr>
        <w:t xml:space="preserve">  </w:t>
      </w:r>
    </w:p>
    <w:p w:rsidR="00A3455D" w:rsidRPr="00DF3703" w:rsidRDefault="006B7D88" w:rsidP="00E37AB3">
      <w:pPr>
        <w:pStyle w:val="BodyText"/>
        <w:rPr>
          <w:rFonts w:ascii="Arial" w:hAnsi="Arial" w:cs="Arial"/>
        </w:rPr>
      </w:pPr>
      <w:r w:rsidRPr="00DF3703">
        <w:rPr>
          <w:rFonts w:ascii="Arial" w:hAnsi="Arial" w:cs="Arial"/>
        </w:rPr>
        <w:t>At around $40 on average, expenditure per trip per person is similar to boating and sailing, but these activities were not undertaken as broadly or as frequently. Visiting an island generates a higher unit expenditure ($159 per person per trip), and also attracts a fairly high proportion of the local population, with around 30% having visited an island in the past two years.  However, this activity is undertaken less frequently, with only around 300,000 trips made in 2012.</w:t>
      </w:r>
    </w:p>
    <w:p w:rsidR="00160F54" w:rsidRPr="00DF3703" w:rsidRDefault="006B7D88" w:rsidP="00E37AB3">
      <w:pPr>
        <w:pStyle w:val="BodyText"/>
        <w:rPr>
          <w:rFonts w:ascii="Arial" w:hAnsi="Arial" w:cs="Arial"/>
        </w:rPr>
      </w:pPr>
      <w:r w:rsidRPr="00DF3703">
        <w:rPr>
          <w:rFonts w:ascii="Arial" w:hAnsi="Arial" w:cs="Arial"/>
        </w:rPr>
        <w:t xml:space="preserve">Not included in these numbers – but nonetheless an important contributor to </w:t>
      </w:r>
      <w:r w:rsidR="0010190A" w:rsidRPr="00DF3703">
        <w:rPr>
          <w:rFonts w:ascii="Arial" w:hAnsi="Arial" w:cs="Arial"/>
        </w:rPr>
        <w:t>economic activity</w:t>
      </w:r>
      <w:r w:rsidRPr="00DF3703">
        <w:rPr>
          <w:rFonts w:ascii="Arial" w:hAnsi="Arial" w:cs="Arial"/>
        </w:rPr>
        <w:t xml:space="preserve"> is beach-going.  Similar to the other activities, beach-going can reasonably be expected to stimulate economic activity through expenditure on things such as travel to the beach, food, drinks, sunscreen and other personal expenditures while at the beach. However, detailed, reliable data are not available for this activity, so its contribution has been excluded from the analysis.</w:t>
      </w:r>
    </w:p>
    <w:p w:rsidR="00160F54" w:rsidRPr="00DF3703" w:rsidRDefault="006B7D88" w:rsidP="00A6009D">
      <w:pPr>
        <w:pStyle w:val="Heading2"/>
        <w:numPr>
          <w:ilvl w:val="1"/>
          <w:numId w:val="40"/>
        </w:numPr>
        <w:rPr>
          <w:rFonts w:ascii="Arial" w:hAnsi="Arial" w:cs="Arial"/>
          <w:sz w:val="32"/>
          <w:szCs w:val="32"/>
        </w:rPr>
      </w:pPr>
      <w:bookmarkStart w:id="123" w:name="_Toc355700994"/>
      <w:r w:rsidRPr="00DF3703">
        <w:rPr>
          <w:rFonts w:ascii="Arial" w:hAnsi="Arial" w:cs="Arial"/>
          <w:sz w:val="32"/>
          <w:szCs w:val="32"/>
        </w:rPr>
        <w:lastRenderedPageBreak/>
        <w:t>Recreation economic contribution</w:t>
      </w:r>
      <w:bookmarkEnd w:id="123"/>
    </w:p>
    <w:p w:rsidR="00B13E81" w:rsidRPr="00DF3703" w:rsidRDefault="006B7D88" w:rsidP="00B13E81">
      <w:pPr>
        <w:pStyle w:val="BodyText"/>
        <w:rPr>
          <w:rFonts w:ascii="Arial" w:hAnsi="Arial" w:cs="Arial"/>
        </w:rPr>
      </w:pPr>
      <w:r w:rsidRPr="00DF3703">
        <w:rPr>
          <w:rFonts w:ascii="Arial" w:hAnsi="Arial" w:cs="Arial"/>
        </w:rPr>
        <w:t>The recreational expenditure was then converted into estimates of value added and employment with recreational activity in the GBRMPA estimated to result in total direct value added of $126 million and a tot</w:t>
      </w:r>
      <w:r w:rsidR="0010190A" w:rsidRPr="00DF3703">
        <w:rPr>
          <w:rFonts w:ascii="Arial" w:hAnsi="Arial" w:cs="Arial"/>
        </w:rPr>
        <w:t>al value added of about $244</w:t>
      </w:r>
      <w:r w:rsidRPr="00DF3703">
        <w:rPr>
          <w:rFonts w:ascii="Arial" w:hAnsi="Arial" w:cs="Arial"/>
        </w:rPr>
        <w:t xml:space="preserve"> million</w:t>
      </w:r>
      <w:r w:rsidR="00452009" w:rsidRPr="00DF3703">
        <w:rPr>
          <w:rFonts w:ascii="Arial" w:hAnsi="Arial" w:cs="Arial"/>
        </w:rPr>
        <w:t xml:space="preserve"> (</w:t>
      </w:r>
      <w:fldSimple w:instr=" REF _Ref340780928 \r \h  \* MERGEFORMAT ">
        <w:r w:rsidR="00536D7E" w:rsidRPr="00536D7E">
          <w:rPr>
            <w:rFonts w:ascii="Arial" w:hAnsi="Arial" w:cs="Arial"/>
          </w:rPr>
          <w:t>Table 5.2</w:t>
        </w:r>
      </w:fldSimple>
      <w:r w:rsidR="00452009" w:rsidRPr="00DF3703">
        <w:rPr>
          <w:rFonts w:ascii="Arial" w:hAnsi="Arial" w:cs="Arial"/>
        </w:rPr>
        <w:t>).</w:t>
      </w:r>
    </w:p>
    <w:p w:rsidR="00B13E81" w:rsidRPr="00DF3703" w:rsidRDefault="006B7D88" w:rsidP="00160F54">
      <w:pPr>
        <w:pStyle w:val="BodyText"/>
        <w:rPr>
          <w:rFonts w:ascii="Arial" w:hAnsi="Arial" w:cs="Arial"/>
        </w:rPr>
      </w:pPr>
      <w:r w:rsidRPr="00DF3703">
        <w:rPr>
          <w:rFonts w:ascii="Arial" w:hAnsi="Arial" w:cs="Arial"/>
        </w:rPr>
        <w:t>Recreational activity and equipment purchases were estimated to contribute to the employment of 2,785 individuals on a full-time equivalent basis, 1,767</w:t>
      </w:r>
      <w:r w:rsidR="0010190A" w:rsidRPr="00DF3703">
        <w:rPr>
          <w:rFonts w:ascii="Arial" w:hAnsi="Arial" w:cs="Arial"/>
        </w:rPr>
        <w:t xml:space="preserve"> directly and 1,118 indirectly.</w:t>
      </w:r>
    </w:p>
    <w:p w:rsidR="00160F54" w:rsidRPr="00DF3703" w:rsidRDefault="006B7D88" w:rsidP="00452009">
      <w:pPr>
        <w:pStyle w:val="CaptionTable"/>
        <w:ind w:left="0"/>
        <w:rPr>
          <w:rFonts w:ascii="Arial" w:hAnsi="Arial" w:cs="Arial"/>
        </w:rPr>
      </w:pPr>
      <w:bookmarkStart w:id="124" w:name="_Ref340780928"/>
      <w:bookmarkStart w:id="125" w:name="_Toc355701066"/>
      <w:r w:rsidRPr="00DF3703">
        <w:rPr>
          <w:rFonts w:ascii="Arial" w:hAnsi="Arial" w:cs="Arial"/>
        </w:rPr>
        <w:t>: Economic contributions of recreation, by region, 2012</w:t>
      </w:r>
      <w:bookmarkEnd w:id="124"/>
      <w:bookmarkEnd w:id="125"/>
    </w:p>
    <w:tbl>
      <w:tblPr>
        <w:tblStyle w:val="TableAE"/>
        <w:tblW w:w="0" w:type="auto"/>
        <w:tblLayout w:type="fixed"/>
        <w:tblLook w:val="04A0"/>
      </w:tblPr>
      <w:tblGrid>
        <w:gridCol w:w="2109"/>
        <w:gridCol w:w="2109"/>
        <w:gridCol w:w="2109"/>
        <w:gridCol w:w="2109"/>
      </w:tblGrid>
      <w:tr w:rsidR="00B13E81" w:rsidRPr="00DF3703" w:rsidTr="00B13E81">
        <w:trPr>
          <w:cnfStyle w:val="100000000000"/>
        </w:trPr>
        <w:tc>
          <w:tcPr>
            <w:tcW w:w="2109" w:type="dxa"/>
          </w:tcPr>
          <w:p w:rsidR="00B13E81" w:rsidRPr="00DF3703" w:rsidRDefault="00B13E81" w:rsidP="00B13E81">
            <w:pPr>
              <w:pStyle w:val="TableHeadingCentre"/>
              <w:rPr>
                <w:rFonts w:ascii="Arial" w:hAnsi="Arial" w:cs="Arial"/>
              </w:rPr>
            </w:pPr>
          </w:p>
        </w:tc>
        <w:tc>
          <w:tcPr>
            <w:tcW w:w="2109" w:type="dxa"/>
          </w:tcPr>
          <w:p w:rsidR="00B13E81" w:rsidRPr="00DF3703" w:rsidRDefault="006B7D88" w:rsidP="00B13E81">
            <w:pPr>
              <w:pStyle w:val="TableHeadingCentre"/>
              <w:rPr>
                <w:rFonts w:ascii="Arial" w:hAnsi="Arial" w:cs="Arial"/>
              </w:rPr>
            </w:pPr>
            <w:r w:rsidRPr="00DF3703">
              <w:rPr>
                <w:rFonts w:ascii="Arial" w:hAnsi="Arial" w:cs="Arial"/>
              </w:rPr>
              <w:t xml:space="preserve">Expenditure </w:t>
            </w:r>
          </w:p>
        </w:tc>
        <w:tc>
          <w:tcPr>
            <w:tcW w:w="2109" w:type="dxa"/>
          </w:tcPr>
          <w:p w:rsidR="00B13E81" w:rsidRPr="00DF3703" w:rsidRDefault="006B7D88" w:rsidP="00B13E81">
            <w:pPr>
              <w:pStyle w:val="TableHeadingCentre"/>
              <w:rPr>
                <w:rFonts w:ascii="Arial" w:hAnsi="Arial" w:cs="Arial"/>
              </w:rPr>
            </w:pPr>
            <w:r w:rsidRPr="00DF3703">
              <w:rPr>
                <w:rFonts w:ascii="Arial" w:hAnsi="Arial" w:cs="Arial"/>
              </w:rPr>
              <w:t>Value added</w:t>
            </w:r>
          </w:p>
        </w:tc>
        <w:tc>
          <w:tcPr>
            <w:tcW w:w="2109" w:type="dxa"/>
          </w:tcPr>
          <w:p w:rsidR="00B13E81" w:rsidRPr="00DF3703" w:rsidRDefault="006B7D88" w:rsidP="00B13E81">
            <w:pPr>
              <w:pStyle w:val="TableHeadingCentre"/>
              <w:rPr>
                <w:rFonts w:ascii="Arial" w:hAnsi="Arial" w:cs="Arial"/>
              </w:rPr>
            </w:pPr>
            <w:r w:rsidRPr="00DF3703">
              <w:rPr>
                <w:rFonts w:ascii="Arial" w:hAnsi="Arial" w:cs="Arial"/>
              </w:rPr>
              <w:t>Employment</w:t>
            </w:r>
          </w:p>
        </w:tc>
      </w:tr>
      <w:tr w:rsidR="00B13E81" w:rsidRPr="00DF3703" w:rsidTr="00B13E81">
        <w:tc>
          <w:tcPr>
            <w:tcW w:w="2109" w:type="dxa"/>
          </w:tcPr>
          <w:p w:rsidR="00B13E81" w:rsidRPr="00DF3703" w:rsidRDefault="006B7D88" w:rsidP="00B13E81">
            <w:pPr>
              <w:pStyle w:val="TabletextLeft"/>
              <w:rPr>
                <w:rFonts w:ascii="Arial" w:hAnsi="Arial" w:cs="Arial"/>
              </w:rPr>
            </w:pPr>
            <w:r w:rsidRPr="00DF3703">
              <w:rPr>
                <w:rFonts w:ascii="Arial" w:hAnsi="Arial" w:cs="Arial"/>
                <w:lang w:eastAsia="en-AU"/>
              </w:rPr>
              <w:t>Torres Strait</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1.7</w:t>
            </w:r>
          </w:p>
        </w:tc>
        <w:tc>
          <w:tcPr>
            <w:tcW w:w="2109" w:type="dxa"/>
            <w:vAlign w:val="bottom"/>
          </w:tcPr>
          <w:p w:rsidR="00B13E81" w:rsidRPr="00DF3703" w:rsidRDefault="006B7D88" w:rsidP="00B13E81">
            <w:pPr>
              <w:jc w:val="center"/>
              <w:rPr>
                <w:rFonts w:ascii="Arial" w:hAnsi="Arial" w:cs="Arial"/>
                <w:sz w:val="20"/>
              </w:rPr>
            </w:pPr>
            <w:r w:rsidRPr="00DF3703">
              <w:rPr>
                <w:rFonts w:ascii="Arial" w:hAnsi="Arial" w:cs="Arial"/>
                <w:sz w:val="20"/>
              </w:rPr>
              <w:t>0.6</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9</w:t>
            </w:r>
          </w:p>
        </w:tc>
      </w:tr>
      <w:tr w:rsidR="00B13E81" w:rsidRPr="00DF3703" w:rsidTr="00B13E81">
        <w:tc>
          <w:tcPr>
            <w:tcW w:w="2109" w:type="dxa"/>
          </w:tcPr>
          <w:p w:rsidR="00B13E81" w:rsidRPr="00DF3703" w:rsidRDefault="006B7D88" w:rsidP="00B13E81">
            <w:pPr>
              <w:rPr>
                <w:rFonts w:ascii="Arial" w:hAnsi="Arial" w:cs="Arial"/>
                <w:sz w:val="20"/>
                <w:lang w:eastAsia="en-AU"/>
              </w:rPr>
            </w:pPr>
            <w:r w:rsidRPr="00DF3703">
              <w:rPr>
                <w:rFonts w:ascii="Arial" w:hAnsi="Arial" w:cs="Arial"/>
                <w:sz w:val="20"/>
                <w:lang w:eastAsia="en-AU"/>
              </w:rPr>
              <w:t>Cape York</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4.2</w:t>
            </w:r>
          </w:p>
        </w:tc>
        <w:tc>
          <w:tcPr>
            <w:tcW w:w="2109" w:type="dxa"/>
            <w:vAlign w:val="bottom"/>
          </w:tcPr>
          <w:p w:rsidR="00B13E81" w:rsidRPr="00DF3703" w:rsidRDefault="006B7D88" w:rsidP="00B13E81">
            <w:pPr>
              <w:jc w:val="center"/>
              <w:rPr>
                <w:rFonts w:ascii="Arial" w:hAnsi="Arial" w:cs="Arial"/>
                <w:sz w:val="20"/>
              </w:rPr>
            </w:pPr>
            <w:r w:rsidRPr="00DF3703">
              <w:rPr>
                <w:rFonts w:ascii="Arial" w:hAnsi="Arial" w:cs="Arial"/>
                <w:sz w:val="20"/>
              </w:rPr>
              <w:t>1.6</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22</w:t>
            </w:r>
          </w:p>
        </w:tc>
      </w:tr>
      <w:tr w:rsidR="00B13E81" w:rsidRPr="00DF3703" w:rsidTr="00B13E81">
        <w:tc>
          <w:tcPr>
            <w:tcW w:w="2109" w:type="dxa"/>
          </w:tcPr>
          <w:p w:rsidR="00B13E81" w:rsidRPr="00DF3703" w:rsidRDefault="006B7D88" w:rsidP="00B13E81">
            <w:pPr>
              <w:rPr>
                <w:rFonts w:ascii="Arial" w:hAnsi="Arial" w:cs="Arial"/>
                <w:sz w:val="20"/>
                <w:lang w:eastAsia="en-AU"/>
              </w:rPr>
            </w:pPr>
            <w:r w:rsidRPr="00DF3703">
              <w:rPr>
                <w:rFonts w:ascii="Arial" w:hAnsi="Arial" w:cs="Arial"/>
                <w:sz w:val="20"/>
                <w:lang w:eastAsia="en-AU"/>
              </w:rPr>
              <w:t>Wet Tropics</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78.5</w:t>
            </w:r>
          </w:p>
        </w:tc>
        <w:tc>
          <w:tcPr>
            <w:tcW w:w="2109" w:type="dxa"/>
            <w:vAlign w:val="bottom"/>
          </w:tcPr>
          <w:p w:rsidR="00B13E81" w:rsidRPr="00DF3703" w:rsidRDefault="006B7D88" w:rsidP="00B13E81">
            <w:pPr>
              <w:jc w:val="center"/>
              <w:rPr>
                <w:rFonts w:ascii="Arial" w:hAnsi="Arial" w:cs="Arial"/>
                <w:sz w:val="20"/>
              </w:rPr>
            </w:pPr>
            <w:r w:rsidRPr="00DF3703">
              <w:rPr>
                <w:rFonts w:ascii="Arial" w:hAnsi="Arial" w:cs="Arial"/>
                <w:sz w:val="20"/>
              </w:rPr>
              <w:t>29.7</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417</w:t>
            </w:r>
          </w:p>
        </w:tc>
      </w:tr>
      <w:tr w:rsidR="00B13E81" w:rsidRPr="00DF3703" w:rsidTr="00B13E81">
        <w:tc>
          <w:tcPr>
            <w:tcW w:w="2109" w:type="dxa"/>
          </w:tcPr>
          <w:p w:rsidR="00B13E81" w:rsidRPr="00DF3703" w:rsidRDefault="006B7D88" w:rsidP="00B13E81">
            <w:pPr>
              <w:rPr>
                <w:rFonts w:ascii="Arial" w:hAnsi="Arial" w:cs="Arial"/>
                <w:sz w:val="20"/>
                <w:lang w:eastAsia="en-AU"/>
              </w:rPr>
            </w:pPr>
            <w:r w:rsidRPr="00DF3703">
              <w:rPr>
                <w:rFonts w:ascii="Arial" w:hAnsi="Arial" w:cs="Arial"/>
                <w:sz w:val="20"/>
                <w:lang w:eastAsia="en-AU"/>
              </w:rPr>
              <w:t>Burdekin</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72.4</w:t>
            </w:r>
          </w:p>
        </w:tc>
        <w:tc>
          <w:tcPr>
            <w:tcW w:w="2109" w:type="dxa"/>
            <w:vAlign w:val="bottom"/>
          </w:tcPr>
          <w:p w:rsidR="00B13E81" w:rsidRPr="00DF3703" w:rsidRDefault="006B7D88" w:rsidP="00B13E81">
            <w:pPr>
              <w:jc w:val="center"/>
              <w:rPr>
                <w:rFonts w:ascii="Arial" w:hAnsi="Arial" w:cs="Arial"/>
                <w:sz w:val="20"/>
              </w:rPr>
            </w:pPr>
            <w:r w:rsidRPr="00DF3703">
              <w:rPr>
                <w:rFonts w:ascii="Arial" w:hAnsi="Arial" w:cs="Arial"/>
                <w:sz w:val="20"/>
              </w:rPr>
              <w:t>27.4</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385</w:t>
            </w:r>
          </w:p>
        </w:tc>
      </w:tr>
      <w:tr w:rsidR="00B13E81" w:rsidRPr="00DF3703" w:rsidTr="00B13E81">
        <w:tc>
          <w:tcPr>
            <w:tcW w:w="2109" w:type="dxa"/>
          </w:tcPr>
          <w:p w:rsidR="00B13E81" w:rsidRPr="00DF3703" w:rsidRDefault="006B7D88" w:rsidP="00B13E81">
            <w:pPr>
              <w:rPr>
                <w:rFonts w:ascii="Arial" w:hAnsi="Arial" w:cs="Arial"/>
                <w:sz w:val="20"/>
                <w:lang w:eastAsia="en-AU"/>
              </w:rPr>
            </w:pPr>
            <w:r w:rsidRPr="00DF3703">
              <w:rPr>
                <w:rFonts w:ascii="Arial" w:hAnsi="Arial" w:cs="Arial"/>
                <w:sz w:val="20"/>
                <w:lang w:eastAsia="en-AU"/>
              </w:rPr>
              <w:t>Mackay Whitsunday</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38.8</w:t>
            </w:r>
          </w:p>
        </w:tc>
        <w:tc>
          <w:tcPr>
            <w:tcW w:w="2109" w:type="dxa"/>
            <w:vAlign w:val="bottom"/>
          </w:tcPr>
          <w:p w:rsidR="00B13E81" w:rsidRPr="00DF3703" w:rsidRDefault="006B7D88" w:rsidP="00B13E81">
            <w:pPr>
              <w:jc w:val="center"/>
              <w:rPr>
                <w:rFonts w:ascii="Arial" w:hAnsi="Arial" w:cs="Arial"/>
                <w:sz w:val="20"/>
              </w:rPr>
            </w:pPr>
            <w:r w:rsidRPr="00DF3703">
              <w:rPr>
                <w:rFonts w:ascii="Arial" w:hAnsi="Arial" w:cs="Arial"/>
                <w:sz w:val="20"/>
              </w:rPr>
              <w:t>14.7</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206</w:t>
            </w:r>
          </w:p>
        </w:tc>
      </w:tr>
      <w:tr w:rsidR="00B13E81" w:rsidRPr="00DF3703" w:rsidTr="00B13E81">
        <w:tc>
          <w:tcPr>
            <w:tcW w:w="2109" w:type="dxa"/>
          </w:tcPr>
          <w:p w:rsidR="00B13E81" w:rsidRPr="00DF3703" w:rsidRDefault="006B7D88" w:rsidP="00B13E81">
            <w:pPr>
              <w:rPr>
                <w:rFonts w:ascii="Arial" w:hAnsi="Arial" w:cs="Arial"/>
                <w:sz w:val="20"/>
                <w:lang w:eastAsia="en-AU"/>
              </w:rPr>
            </w:pPr>
            <w:r w:rsidRPr="00DF3703">
              <w:rPr>
                <w:rFonts w:ascii="Arial" w:hAnsi="Arial" w:cs="Arial"/>
                <w:sz w:val="20"/>
                <w:lang w:eastAsia="en-AU"/>
              </w:rPr>
              <w:t>Fitzroy</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54.8</w:t>
            </w:r>
          </w:p>
        </w:tc>
        <w:tc>
          <w:tcPr>
            <w:tcW w:w="2109" w:type="dxa"/>
            <w:vAlign w:val="bottom"/>
          </w:tcPr>
          <w:p w:rsidR="00B13E81" w:rsidRPr="00DF3703" w:rsidRDefault="006B7D88" w:rsidP="00B13E81">
            <w:pPr>
              <w:jc w:val="center"/>
              <w:rPr>
                <w:rFonts w:ascii="Arial" w:hAnsi="Arial" w:cs="Arial"/>
                <w:sz w:val="20"/>
              </w:rPr>
            </w:pPr>
            <w:r w:rsidRPr="00DF3703">
              <w:rPr>
                <w:rFonts w:ascii="Arial" w:hAnsi="Arial" w:cs="Arial"/>
                <w:sz w:val="20"/>
              </w:rPr>
              <w:t>20.7</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292</w:t>
            </w:r>
          </w:p>
        </w:tc>
      </w:tr>
      <w:tr w:rsidR="00B13E81" w:rsidRPr="00DF3703" w:rsidTr="00B13E81">
        <w:tc>
          <w:tcPr>
            <w:tcW w:w="2109" w:type="dxa"/>
            <w:tcBorders>
              <w:bottom w:val="single" w:sz="12" w:space="0" w:color="002776"/>
            </w:tcBorders>
          </w:tcPr>
          <w:p w:rsidR="00B13E81" w:rsidRPr="00DF3703" w:rsidRDefault="006B7D88" w:rsidP="00B13E81">
            <w:pPr>
              <w:rPr>
                <w:rFonts w:ascii="Arial" w:hAnsi="Arial" w:cs="Arial"/>
                <w:sz w:val="20"/>
                <w:lang w:eastAsia="en-AU"/>
              </w:rPr>
            </w:pPr>
            <w:r w:rsidRPr="00DF3703">
              <w:rPr>
                <w:rFonts w:ascii="Arial" w:hAnsi="Arial" w:cs="Arial"/>
                <w:sz w:val="20"/>
                <w:lang w:eastAsia="en-AU"/>
              </w:rPr>
              <w:t>Burnett Mary</w:t>
            </w:r>
          </w:p>
        </w:tc>
        <w:tc>
          <w:tcPr>
            <w:tcW w:w="2109" w:type="dxa"/>
            <w:tcBorders>
              <w:bottom w:val="single" w:sz="12" w:space="0" w:color="002776"/>
            </w:tcBorders>
            <w:vAlign w:val="center"/>
          </w:tcPr>
          <w:p w:rsidR="00B13E81" w:rsidRPr="00DF3703" w:rsidRDefault="006B7D88" w:rsidP="00B13E81">
            <w:pPr>
              <w:jc w:val="center"/>
              <w:rPr>
                <w:rFonts w:ascii="Arial" w:hAnsi="Arial" w:cs="Arial"/>
                <w:sz w:val="20"/>
              </w:rPr>
            </w:pPr>
            <w:r w:rsidRPr="00DF3703">
              <w:rPr>
                <w:rFonts w:ascii="Arial" w:hAnsi="Arial" w:cs="Arial"/>
                <w:sz w:val="20"/>
              </w:rPr>
              <w:t>82.0</w:t>
            </w:r>
          </w:p>
        </w:tc>
        <w:tc>
          <w:tcPr>
            <w:tcW w:w="2109" w:type="dxa"/>
            <w:tcBorders>
              <w:bottom w:val="single" w:sz="12" w:space="0" w:color="002776"/>
            </w:tcBorders>
            <w:vAlign w:val="bottom"/>
          </w:tcPr>
          <w:p w:rsidR="00B13E81" w:rsidRPr="00DF3703" w:rsidRDefault="006B7D88" w:rsidP="00B13E81">
            <w:pPr>
              <w:jc w:val="center"/>
              <w:rPr>
                <w:rFonts w:ascii="Arial" w:hAnsi="Arial" w:cs="Arial"/>
                <w:sz w:val="20"/>
              </w:rPr>
            </w:pPr>
            <w:r w:rsidRPr="00DF3703">
              <w:rPr>
                <w:rFonts w:ascii="Arial" w:hAnsi="Arial" w:cs="Arial"/>
                <w:sz w:val="20"/>
              </w:rPr>
              <w:t>31.0</w:t>
            </w:r>
          </w:p>
        </w:tc>
        <w:tc>
          <w:tcPr>
            <w:tcW w:w="2109" w:type="dxa"/>
            <w:tcBorders>
              <w:bottom w:val="single" w:sz="12" w:space="0" w:color="002776"/>
            </w:tcBorders>
            <w:vAlign w:val="center"/>
          </w:tcPr>
          <w:p w:rsidR="00B13E81" w:rsidRPr="00DF3703" w:rsidRDefault="006B7D88" w:rsidP="00B13E81">
            <w:pPr>
              <w:jc w:val="center"/>
              <w:rPr>
                <w:rFonts w:ascii="Arial" w:hAnsi="Arial" w:cs="Arial"/>
                <w:sz w:val="20"/>
              </w:rPr>
            </w:pPr>
            <w:r w:rsidRPr="00DF3703">
              <w:rPr>
                <w:rFonts w:ascii="Arial" w:hAnsi="Arial" w:cs="Arial"/>
                <w:sz w:val="20"/>
              </w:rPr>
              <w:t>436</w:t>
            </w:r>
          </w:p>
        </w:tc>
      </w:tr>
      <w:tr w:rsidR="00B13E81" w:rsidRPr="00DF3703" w:rsidTr="00B13E81">
        <w:tc>
          <w:tcPr>
            <w:tcW w:w="2109" w:type="dxa"/>
            <w:tcBorders>
              <w:top w:val="single" w:sz="12" w:space="0" w:color="002776"/>
              <w:bottom w:val="single" w:sz="12" w:space="0" w:color="002776"/>
            </w:tcBorders>
          </w:tcPr>
          <w:p w:rsidR="00B13E81" w:rsidRPr="00DF3703" w:rsidRDefault="006B7D88" w:rsidP="00B13E81">
            <w:pPr>
              <w:pStyle w:val="TabletextLeft"/>
              <w:rPr>
                <w:rFonts w:ascii="Arial" w:hAnsi="Arial" w:cs="Arial"/>
              </w:rPr>
            </w:pPr>
            <w:r w:rsidRPr="00DF3703">
              <w:rPr>
                <w:rFonts w:ascii="Arial" w:hAnsi="Arial" w:cs="Arial"/>
              </w:rPr>
              <w:t>Total direct</w:t>
            </w:r>
          </w:p>
        </w:tc>
        <w:tc>
          <w:tcPr>
            <w:tcW w:w="2109" w:type="dxa"/>
            <w:tcBorders>
              <w:top w:val="single" w:sz="12" w:space="0" w:color="002776"/>
              <w:bottom w:val="single" w:sz="12" w:space="0" w:color="002776"/>
            </w:tcBorders>
            <w:vAlign w:val="center"/>
          </w:tcPr>
          <w:p w:rsidR="00B13E81" w:rsidRPr="00DF3703" w:rsidRDefault="006B7D88" w:rsidP="00B13E81">
            <w:pPr>
              <w:jc w:val="center"/>
              <w:rPr>
                <w:rFonts w:ascii="Arial" w:hAnsi="Arial" w:cs="Arial"/>
                <w:sz w:val="20"/>
              </w:rPr>
            </w:pPr>
            <w:r w:rsidRPr="00DF3703">
              <w:rPr>
                <w:rFonts w:ascii="Arial" w:hAnsi="Arial" w:cs="Arial"/>
                <w:sz w:val="20"/>
              </w:rPr>
              <w:t>332.4</w:t>
            </w:r>
          </w:p>
        </w:tc>
        <w:tc>
          <w:tcPr>
            <w:tcW w:w="2109" w:type="dxa"/>
            <w:tcBorders>
              <w:top w:val="single" w:sz="12" w:space="0" w:color="002776"/>
              <w:bottom w:val="single" w:sz="12" w:space="0" w:color="002776"/>
            </w:tcBorders>
            <w:vAlign w:val="bottom"/>
          </w:tcPr>
          <w:p w:rsidR="00B13E81" w:rsidRPr="00DF3703" w:rsidRDefault="006B7D88" w:rsidP="00B13E81">
            <w:pPr>
              <w:jc w:val="center"/>
              <w:rPr>
                <w:rFonts w:ascii="Arial" w:hAnsi="Arial" w:cs="Arial"/>
                <w:sz w:val="20"/>
              </w:rPr>
            </w:pPr>
            <w:r w:rsidRPr="00DF3703">
              <w:rPr>
                <w:rFonts w:ascii="Arial" w:hAnsi="Arial" w:cs="Arial"/>
                <w:sz w:val="20"/>
              </w:rPr>
              <w:t>125.7</w:t>
            </w:r>
          </w:p>
        </w:tc>
        <w:tc>
          <w:tcPr>
            <w:tcW w:w="2109" w:type="dxa"/>
            <w:tcBorders>
              <w:top w:val="single" w:sz="12" w:space="0" w:color="002776"/>
              <w:bottom w:val="single" w:sz="12" w:space="0" w:color="002776"/>
            </w:tcBorders>
            <w:vAlign w:val="center"/>
          </w:tcPr>
          <w:p w:rsidR="00B13E81" w:rsidRPr="00DF3703" w:rsidRDefault="006B7D88" w:rsidP="00B13E81">
            <w:pPr>
              <w:jc w:val="center"/>
              <w:rPr>
                <w:rFonts w:ascii="Arial" w:hAnsi="Arial" w:cs="Arial"/>
                <w:sz w:val="20"/>
              </w:rPr>
            </w:pPr>
            <w:r w:rsidRPr="00DF3703">
              <w:rPr>
                <w:rFonts w:ascii="Arial" w:hAnsi="Arial" w:cs="Arial"/>
                <w:sz w:val="20"/>
              </w:rPr>
              <w:t>1,767</w:t>
            </w:r>
          </w:p>
        </w:tc>
      </w:tr>
      <w:tr w:rsidR="00B13E81" w:rsidRPr="00DF3703" w:rsidTr="00B13E81">
        <w:tc>
          <w:tcPr>
            <w:tcW w:w="2109" w:type="dxa"/>
            <w:tcBorders>
              <w:top w:val="single" w:sz="12" w:space="0" w:color="002776"/>
            </w:tcBorders>
          </w:tcPr>
          <w:p w:rsidR="00B13E81" w:rsidRPr="00DF3703" w:rsidRDefault="006B7D88" w:rsidP="004B5E16">
            <w:pPr>
              <w:pStyle w:val="TabletextLeft"/>
              <w:rPr>
                <w:rFonts w:ascii="Arial" w:hAnsi="Arial" w:cs="Arial"/>
              </w:rPr>
            </w:pPr>
            <w:r w:rsidRPr="00DF3703">
              <w:rPr>
                <w:rFonts w:ascii="Arial" w:hAnsi="Arial" w:cs="Arial"/>
              </w:rPr>
              <w:t xml:space="preserve">Indirect </w:t>
            </w:r>
            <w:r w:rsidR="004B5E16" w:rsidRPr="00DF3703">
              <w:rPr>
                <w:rFonts w:ascii="Arial" w:hAnsi="Arial" w:cs="Arial"/>
              </w:rPr>
              <w:t>Catchment</w:t>
            </w:r>
          </w:p>
        </w:tc>
        <w:tc>
          <w:tcPr>
            <w:tcW w:w="2109" w:type="dxa"/>
            <w:tcBorders>
              <w:top w:val="single" w:sz="12" w:space="0" w:color="002776"/>
            </w:tcBorders>
            <w:vAlign w:val="bottom"/>
          </w:tcPr>
          <w:p w:rsidR="00B13E81" w:rsidRPr="00DF3703" w:rsidRDefault="00B13E81" w:rsidP="00B13E81">
            <w:pPr>
              <w:jc w:val="right"/>
              <w:rPr>
                <w:rFonts w:ascii="Arial" w:hAnsi="Arial" w:cs="Arial"/>
                <w:sz w:val="20"/>
              </w:rPr>
            </w:pPr>
          </w:p>
        </w:tc>
        <w:tc>
          <w:tcPr>
            <w:tcW w:w="2109" w:type="dxa"/>
            <w:tcBorders>
              <w:top w:val="single" w:sz="12" w:space="0" w:color="002776"/>
            </w:tcBorders>
            <w:vAlign w:val="bottom"/>
          </w:tcPr>
          <w:p w:rsidR="00B13E81" w:rsidRPr="00DF3703" w:rsidRDefault="006B7D88" w:rsidP="00B13E81">
            <w:pPr>
              <w:jc w:val="center"/>
              <w:rPr>
                <w:rFonts w:ascii="Arial" w:hAnsi="Arial" w:cs="Arial"/>
                <w:sz w:val="20"/>
              </w:rPr>
            </w:pPr>
            <w:r w:rsidRPr="00DF3703">
              <w:rPr>
                <w:rFonts w:ascii="Arial" w:hAnsi="Arial" w:cs="Arial"/>
                <w:sz w:val="20"/>
              </w:rPr>
              <w:t>34.0</w:t>
            </w:r>
          </w:p>
        </w:tc>
        <w:tc>
          <w:tcPr>
            <w:tcW w:w="2109" w:type="dxa"/>
            <w:tcBorders>
              <w:top w:val="single" w:sz="12" w:space="0" w:color="002776"/>
            </w:tcBorders>
            <w:vAlign w:val="center"/>
          </w:tcPr>
          <w:p w:rsidR="00B13E81" w:rsidRPr="00DF3703" w:rsidRDefault="006B7D88" w:rsidP="00B13E81">
            <w:pPr>
              <w:jc w:val="center"/>
              <w:rPr>
                <w:rFonts w:ascii="Arial" w:hAnsi="Arial" w:cs="Arial"/>
                <w:sz w:val="20"/>
              </w:rPr>
            </w:pPr>
            <w:r w:rsidRPr="00DF3703">
              <w:rPr>
                <w:rFonts w:ascii="Arial" w:hAnsi="Arial" w:cs="Arial"/>
                <w:sz w:val="20"/>
              </w:rPr>
              <w:t>397</w:t>
            </w:r>
          </w:p>
        </w:tc>
      </w:tr>
      <w:tr w:rsidR="00B13E81" w:rsidRPr="00DF3703" w:rsidTr="00B13E81">
        <w:tc>
          <w:tcPr>
            <w:tcW w:w="2109" w:type="dxa"/>
          </w:tcPr>
          <w:p w:rsidR="00B13E81" w:rsidRPr="00DF3703" w:rsidRDefault="006B7D88" w:rsidP="00B13E81">
            <w:pPr>
              <w:pStyle w:val="TabletextLeft"/>
              <w:rPr>
                <w:rFonts w:ascii="Arial" w:hAnsi="Arial" w:cs="Arial"/>
              </w:rPr>
            </w:pPr>
            <w:r w:rsidRPr="00DF3703">
              <w:rPr>
                <w:rFonts w:ascii="Arial" w:hAnsi="Arial" w:cs="Arial"/>
              </w:rPr>
              <w:t>Indirect Rest of Qld</w:t>
            </w:r>
          </w:p>
        </w:tc>
        <w:tc>
          <w:tcPr>
            <w:tcW w:w="2109" w:type="dxa"/>
            <w:vAlign w:val="bottom"/>
          </w:tcPr>
          <w:p w:rsidR="00B13E81" w:rsidRPr="00DF3703" w:rsidRDefault="00B13E81" w:rsidP="00B13E81">
            <w:pPr>
              <w:jc w:val="right"/>
              <w:rPr>
                <w:rFonts w:ascii="Arial" w:hAnsi="Arial" w:cs="Arial"/>
                <w:sz w:val="20"/>
              </w:rPr>
            </w:pPr>
          </w:p>
        </w:tc>
        <w:tc>
          <w:tcPr>
            <w:tcW w:w="2109" w:type="dxa"/>
            <w:vAlign w:val="bottom"/>
          </w:tcPr>
          <w:p w:rsidR="00B13E81" w:rsidRPr="00DF3703" w:rsidRDefault="006B7D88" w:rsidP="00B13E81">
            <w:pPr>
              <w:jc w:val="center"/>
              <w:rPr>
                <w:rFonts w:ascii="Arial" w:hAnsi="Arial" w:cs="Arial"/>
                <w:sz w:val="20"/>
              </w:rPr>
            </w:pPr>
            <w:r w:rsidRPr="00DF3703">
              <w:rPr>
                <w:rFonts w:ascii="Arial" w:hAnsi="Arial" w:cs="Arial"/>
                <w:sz w:val="20"/>
              </w:rPr>
              <w:t>13.8</w:t>
            </w:r>
          </w:p>
        </w:tc>
        <w:tc>
          <w:tcPr>
            <w:tcW w:w="2109" w:type="dxa"/>
            <w:vAlign w:val="center"/>
          </w:tcPr>
          <w:p w:rsidR="00B13E81" w:rsidRPr="00DF3703" w:rsidRDefault="006B7D88" w:rsidP="00B13E81">
            <w:pPr>
              <w:jc w:val="center"/>
              <w:rPr>
                <w:rFonts w:ascii="Arial" w:hAnsi="Arial" w:cs="Arial"/>
                <w:sz w:val="20"/>
              </w:rPr>
            </w:pPr>
            <w:r w:rsidRPr="00DF3703">
              <w:rPr>
                <w:rFonts w:ascii="Arial" w:hAnsi="Arial" w:cs="Arial"/>
                <w:sz w:val="20"/>
              </w:rPr>
              <w:t>101</w:t>
            </w:r>
          </w:p>
        </w:tc>
      </w:tr>
      <w:tr w:rsidR="00B13E81" w:rsidRPr="00DF3703" w:rsidTr="00B13E81">
        <w:tc>
          <w:tcPr>
            <w:tcW w:w="2109" w:type="dxa"/>
            <w:tcBorders>
              <w:bottom w:val="single" w:sz="12" w:space="0" w:color="002776"/>
            </w:tcBorders>
          </w:tcPr>
          <w:p w:rsidR="00B13E81" w:rsidRPr="00DF3703" w:rsidRDefault="006B7D88" w:rsidP="00B13E81">
            <w:pPr>
              <w:pStyle w:val="TabletextLeft"/>
              <w:rPr>
                <w:rFonts w:ascii="Arial" w:hAnsi="Arial" w:cs="Arial"/>
              </w:rPr>
            </w:pPr>
            <w:r w:rsidRPr="00DF3703">
              <w:rPr>
                <w:rFonts w:ascii="Arial" w:hAnsi="Arial" w:cs="Arial"/>
              </w:rPr>
              <w:t>Indirect Rest of Australia</w:t>
            </w:r>
          </w:p>
        </w:tc>
        <w:tc>
          <w:tcPr>
            <w:tcW w:w="2109" w:type="dxa"/>
            <w:tcBorders>
              <w:bottom w:val="single" w:sz="12" w:space="0" w:color="002776"/>
            </w:tcBorders>
            <w:vAlign w:val="bottom"/>
          </w:tcPr>
          <w:p w:rsidR="00B13E81" w:rsidRPr="00DF3703" w:rsidRDefault="00B13E81" w:rsidP="00B13E81">
            <w:pPr>
              <w:jc w:val="right"/>
              <w:rPr>
                <w:rFonts w:ascii="Arial" w:hAnsi="Arial" w:cs="Arial"/>
                <w:sz w:val="20"/>
              </w:rPr>
            </w:pPr>
          </w:p>
        </w:tc>
        <w:tc>
          <w:tcPr>
            <w:tcW w:w="2109" w:type="dxa"/>
            <w:tcBorders>
              <w:bottom w:val="single" w:sz="12" w:space="0" w:color="002776"/>
            </w:tcBorders>
            <w:vAlign w:val="bottom"/>
          </w:tcPr>
          <w:p w:rsidR="00B13E81" w:rsidRPr="00DF3703" w:rsidRDefault="006B7D88" w:rsidP="00B13E81">
            <w:pPr>
              <w:jc w:val="center"/>
              <w:rPr>
                <w:rFonts w:ascii="Arial" w:hAnsi="Arial" w:cs="Arial"/>
                <w:sz w:val="20"/>
              </w:rPr>
            </w:pPr>
            <w:r w:rsidRPr="00DF3703">
              <w:rPr>
                <w:rFonts w:ascii="Arial" w:hAnsi="Arial" w:cs="Arial"/>
                <w:sz w:val="20"/>
              </w:rPr>
              <w:t>70.3</w:t>
            </w:r>
          </w:p>
        </w:tc>
        <w:tc>
          <w:tcPr>
            <w:tcW w:w="2109" w:type="dxa"/>
            <w:tcBorders>
              <w:bottom w:val="single" w:sz="12" w:space="0" w:color="002776"/>
            </w:tcBorders>
            <w:vAlign w:val="center"/>
          </w:tcPr>
          <w:p w:rsidR="00B13E81" w:rsidRPr="00DF3703" w:rsidRDefault="006B7D88" w:rsidP="00B13E81">
            <w:pPr>
              <w:jc w:val="center"/>
              <w:rPr>
                <w:rFonts w:ascii="Arial" w:hAnsi="Arial" w:cs="Arial"/>
                <w:sz w:val="20"/>
              </w:rPr>
            </w:pPr>
            <w:r w:rsidRPr="00DF3703">
              <w:rPr>
                <w:rFonts w:ascii="Arial" w:hAnsi="Arial" w:cs="Arial"/>
                <w:sz w:val="20"/>
              </w:rPr>
              <w:t>519</w:t>
            </w:r>
          </w:p>
        </w:tc>
      </w:tr>
      <w:tr w:rsidR="00B13E81" w:rsidRPr="00DF3703" w:rsidTr="00B13E81">
        <w:tc>
          <w:tcPr>
            <w:tcW w:w="2109" w:type="dxa"/>
            <w:tcBorders>
              <w:top w:val="single" w:sz="12" w:space="0" w:color="002776"/>
              <w:bottom w:val="single" w:sz="12" w:space="0" w:color="002776"/>
            </w:tcBorders>
          </w:tcPr>
          <w:p w:rsidR="00B13E81" w:rsidRPr="00DF3703" w:rsidRDefault="006B7D88" w:rsidP="00B13E81">
            <w:pPr>
              <w:pStyle w:val="TabletextLeft"/>
              <w:rPr>
                <w:rFonts w:ascii="Arial" w:hAnsi="Arial" w:cs="Arial"/>
              </w:rPr>
            </w:pPr>
            <w:r w:rsidRPr="00DF3703">
              <w:rPr>
                <w:rFonts w:ascii="Arial" w:hAnsi="Arial" w:cs="Arial"/>
              </w:rPr>
              <w:t>Australia</w:t>
            </w:r>
          </w:p>
        </w:tc>
        <w:tc>
          <w:tcPr>
            <w:tcW w:w="2109" w:type="dxa"/>
            <w:tcBorders>
              <w:top w:val="single" w:sz="12" w:space="0" w:color="002776"/>
              <w:bottom w:val="single" w:sz="12" w:space="0" w:color="002776"/>
            </w:tcBorders>
            <w:vAlign w:val="bottom"/>
          </w:tcPr>
          <w:p w:rsidR="00B13E81" w:rsidRPr="00DF3703" w:rsidRDefault="00B13E81" w:rsidP="00B13E81">
            <w:pPr>
              <w:jc w:val="right"/>
              <w:rPr>
                <w:rFonts w:ascii="Arial" w:hAnsi="Arial" w:cs="Arial"/>
                <w:sz w:val="20"/>
              </w:rPr>
            </w:pPr>
          </w:p>
        </w:tc>
        <w:tc>
          <w:tcPr>
            <w:tcW w:w="2109" w:type="dxa"/>
            <w:tcBorders>
              <w:top w:val="single" w:sz="12" w:space="0" w:color="002776"/>
              <w:bottom w:val="single" w:sz="12" w:space="0" w:color="002776"/>
            </w:tcBorders>
            <w:vAlign w:val="bottom"/>
          </w:tcPr>
          <w:p w:rsidR="00B13E81" w:rsidRPr="00DF3703" w:rsidRDefault="006B7D88" w:rsidP="00B13E81">
            <w:pPr>
              <w:jc w:val="center"/>
              <w:rPr>
                <w:rFonts w:ascii="Arial" w:hAnsi="Arial" w:cs="Arial"/>
                <w:sz w:val="20"/>
              </w:rPr>
            </w:pPr>
            <w:r w:rsidRPr="00DF3703">
              <w:rPr>
                <w:rFonts w:ascii="Arial" w:hAnsi="Arial" w:cs="Arial"/>
                <w:sz w:val="20"/>
              </w:rPr>
              <w:t>243.9</w:t>
            </w:r>
          </w:p>
        </w:tc>
        <w:tc>
          <w:tcPr>
            <w:tcW w:w="2109" w:type="dxa"/>
            <w:tcBorders>
              <w:top w:val="single" w:sz="12" w:space="0" w:color="002776"/>
              <w:bottom w:val="single" w:sz="12" w:space="0" w:color="002776"/>
            </w:tcBorders>
            <w:vAlign w:val="center"/>
          </w:tcPr>
          <w:p w:rsidR="00B13E81" w:rsidRPr="00DF3703" w:rsidRDefault="006B7D88" w:rsidP="00B13E81">
            <w:pPr>
              <w:jc w:val="center"/>
              <w:rPr>
                <w:rFonts w:ascii="Arial" w:hAnsi="Arial" w:cs="Arial"/>
                <w:sz w:val="20"/>
              </w:rPr>
            </w:pPr>
            <w:r w:rsidRPr="00DF3703">
              <w:rPr>
                <w:rFonts w:ascii="Arial" w:hAnsi="Arial" w:cs="Arial"/>
                <w:sz w:val="20"/>
              </w:rPr>
              <w:t>2,785</w:t>
            </w:r>
          </w:p>
        </w:tc>
      </w:tr>
    </w:tbl>
    <w:p w:rsidR="00B13E81" w:rsidRPr="00DF3703" w:rsidRDefault="006B7D88" w:rsidP="00B13E81">
      <w:pPr>
        <w:pStyle w:val="Source"/>
        <w:rPr>
          <w:rFonts w:ascii="Arial" w:hAnsi="Arial"/>
        </w:rPr>
      </w:pPr>
      <w:r w:rsidRPr="00DF3703">
        <w:rPr>
          <w:rFonts w:ascii="Arial" w:hAnsi="Arial"/>
        </w:rPr>
        <w:t>Source: Deloitte Access Economics estimates</w:t>
      </w:r>
    </w:p>
    <w:p w:rsidR="0010190A" w:rsidRPr="00DF3703" w:rsidRDefault="0010190A" w:rsidP="00160F54">
      <w:pPr>
        <w:pStyle w:val="BodyText"/>
        <w:rPr>
          <w:rFonts w:ascii="Arial" w:hAnsi="Arial" w:cs="Arial"/>
        </w:rPr>
      </w:pPr>
      <w:r w:rsidRPr="00DF3703">
        <w:rPr>
          <w:rFonts w:ascii="Arial" w:hAnsi="Arial" w:cs="Arial"/>
        </w:rPr>
        <w:t xml:space="preserve">Compared to commercial fishing and tourism, slightly more of the economic contribution was generated outside of the catchment, at 34%, perhaps reflecting the fact that intermediate inputs in recreational equipment are sourced more broadly. </w:t>
      </w:r>
    </w:p>
    <w:p w:rsidR="00160F54" w:rsidRPr="00DF3703" w:rsidRDefault="006B7D88" w:rsidP="00160F54">
      <w:pPr>
        <w:pStyle w:val="BodyText"/>
        <w:rPr>
          <w:rFonts w:ascii="Arial" w:hAnsi="Arial" w:cs="Arial"/>
        </w:rPr>
      </w:pPr>
      <w:r w:rsidRPr="00DF3703">
        <w:rPr>
          <w:rFonts w:ascii="Arial" w:hAnsi="Arial" w:cs="Arial"/>
        </w:rPr>
        <w:t xml:space="preserve">The vast majority of the contribution associated with recreational activity in the </w:t>
      </w:r>
      <w:r w:rsidR="001573FF" w:rsidRPr="00DF3703">
        <w:rPr>
          <w:rFonts w:ascii="Arial" w:hAnsi="Arial" w:cs="Arial"/>
        </w:rPr>
        <w:t>R</w:t>
      </w:r>
      <w:r w:rsidRPr="00DF3703">
        <w:rPr>
          <w:rFonts w:ascii="Arial" w:hAnsi="Arial" w:cs="Arial"/>
        </w:rPr>
        <w:t xml:space="preserve">eef was derived from expenditure on equipment, largely reflecting the purchase of boats and maintenance/repair of recreational equipment, (see </w:t>
      </w:r>
      <w:fldSimple w:instr=" REF _Ref340918326 \r \h  \* MERGEFORMAT ">
        <w:r w:rsidR="00536D7E" w:rsidRPr="00536D7E">
          <w:rPr>
            <w:rFonts w:ascii="Arial" w:hAnsi="Arial" w:cs="Arial"/>
          </w:rPr>
          <w:t>Chart 5.1</w:t>
        </w:r>
      </w:fldSimple>
      <w:r w:rsidRPr="00DF3703">
        <w:rPr>
          <w:rFonts w:ascii="Arial" w:hAnsi="Arial" w:cs="Arial"/>
        </w:rPr>
        <w:t>).</w:t>
      </w:r>
    </w:p>
    <w:p w:rsidR="00160F54" w:rsidRPr="00DF3703" w:rsidRDefault="006B7D88" w:rsidP="00160F54">
      <w:pPr>
        <w:pStyle w:val="CaptionChart"/>
        <w:rPr>
          <w:rFonts w:ascii="Arial" w:hAnsi="Arial" w:cs="Arial"/>
        </w:rPr>
      </w:pPr>
      <w:bookmarkStart w:id="126" w:name="_Ref340918326"/>
      <w:bookmarkStart w:id="127" w:name="_Toc355701047"/>
      <w:r w:rsidRPr="00DF3703">
        <w:rPr>
          <w:rFonts w:ascii="Arial" w:hAnsi="Arial" w:cs="Arial"/>
        </w:rPr>
        <w:lastRenderedPageBreak/>
        <w:t>: Recreational expenditure by type of activity, 2012</w:t>
      </w:r>
      <w:bookmarkEnd w:id="126"/>
      <w:bookmarkEnd w:id="127"/>
    </w:p>
    <w:p w:rsidR="00160F54" w:rsidRPr="00DF3703" w:rsidRDefault="003747D4" w:rsidP="00160F54">
      <w:pPr>
        <w:pStyle w:val="BodyText"/>
        <w:rPr>
          <w:rFonts w:ascii="Arial" w:hAnsi="Arial" w:cs="Arial"/>
        </w:rPr>
      </w:pPr>
      <w:r w:rsidRPr="00DF3703">
        <w:rPr>
          <w:rFonts w:ascii="Arial" w:hAnsi="Arial" w:cs="Arial"/>
          <w:noProof/>
          <w:lang w:eastAsia="en-AU"/>
        </w:rPr>
        <w:drawing>
          <wp:inline distT="0" distB="0" distL="0" distR="0">
            <wp:extent cx="5219700" cy="3403223"/>
            <wp:effectExtent l="0" t="0" r="0" b="6985"/>
            <wp:docPr id="30" name="Picture 30" descr="recreational expenditure by type of activity with recreational equipment contribut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700" cy="3403223"/>
                    </a:xfrm>
                    <a:prstGeom prst="rect">
                      <a:avLst/>
                    </a:prstGeom>
                    <a:noFill/>
                    <a:ln>
                      <a:noFill/>
                    </a:ln>
                  </pic:spPr>
                </pic:pic>
              </a:graphicData>
            </a:graphic>
          </wp:inline>
        </w:drawing>
      </w:r>
    </w:p>
    <w:p w:rsidR="00160F54" w:rsidRPr="00DF3703" w:rsidRDefault="006B7D88" w:rsidP="00B13E81">
      <w:pPr>
        <w:pStyle w:val="Source"/>
        <w:rPr>
          <w:rFonts w:ascii="Arial" w:hAnsi="Arial"/>
        </w:rPr>
      </w:pPr>
      <w:r w:rsidRPr="00DF3703">
        <w:rPr>
          <w:rFonts w:ascii="Arial" w:hAnsi="Arial"/>
        </w:rPr>
        <w:t>Source: Deloitte Access Economics estimates</w:t>
      </w:r>
    </w:p>
    <w:p w:rsidR="009B7073" w:rsidRPr="00DF3703" w:rsidRDefault="006B7D88" w:rsidP="0064425C">
      <w:pPr>
        <w:pStyle w:val="Heading1"/>
        <w:ind w:left="0" w:firstLine="0"/>
        <w:rPr>
          <w:rFonts w:ascii="Segoe UI" w:hAnsi="Segoe UI" w:cs="Segoe UI"/>
        </w:rPr>
      </w:pPr>
      <w:bookmarkStart w:id="128" w:name="_Ref340778149"/>
      <w:bookmarkStart w:id="129" w:name="_Toc355700995"/>
      <w:r w:rsidRPr="00DF3703">
        <w:rPr>
          <w:rFonts w:ascii="Segoe UI" w:hAnsi="Segoe UI" w:cs="Segoe UI"/>
        </w:rPr>
        <w:lastRenderedPageBreak/>
        <w:t>Scientific research</w:t>
      </w:r>
      <w:bookmarkEnd w:id="128"/>
      <w:r w:rsidRPr="00DF3703">
        <w:rPr>
          <w:rFonts w:ascii="Segoe UI" w:hAnsi="Segoe UI" w:cs="Segoe UI"/>
        </w:rPr>
        <w:t xml:space="preserve"> and Reef management</w:t>
      </w:r>
      <w:bookmarkEnd w:id="129"/>
    </w:p>
    <w:p w:rsidR="007A47C4" w:rsidRPr="00DF3703" w:rsidRDefault="006B7D88" w:rsidP="009B7073">
      <w:pPr>
        <w:pStyle w:val="BodyText"/>
        <w:rPr>
          <w:rFonts w:ascii="Arial" w:hAnsi="Arial" w:cs="Arial"/>
        </w:rPr>
      </w:pPr>
      <w:r w:rsidRPr="00DF3703">
        <w:rPr>
          <w:rFonts w:ascii="Arial" w:hAnsi="Arial" w:cs="Arial"/>
        </w:rPr>
        <w:t xml:space="preserve">As a unique area hosting unparalleled biodiversity, the Great Barrier Reef serves to inspire and facilitate a wide range of scientific research. The value and economic contribution of research </w:t>
      </w:r>
      <w:r w:rsidR="007F0C11" w:rsidRPr="00DF3703">
        <w:rPr>
          <w:rFonts w:ascii="Arial" w:hAnsi="Arial" w:cs="Arial"/>
        </w:rPr>
        <w:t xml:space="preserve">and management </w:t>
      </w:r>
      <w:r w:rsidRPr="00DF3703">
        <w:rPr>
          <w:rFonts w:ascii="Arial" w:hAnsi="Arial" w:cs="Arial"/>
        </w:rPr>
        <w:t xml:space="preserve">has not previously been estimated. </w:t>
      </w:r>
    </w:p>
    <w:p w:rsidR="00933FE5" w:rsidRPr="00DF3703" w:rsidRDefault="006B7D88" w:rsidP="009B7073">
      <w:pPr>
        <w:pStyle w:val="BodyText"/>
        <w:rPr>
          <w:rFonts w:ascii="Arial" w:hAnsi="Arial" w:cs="Arial"/>
        </w:rPr>
      </w:pPr>
      <w:r w:rsidRPr="00DF3703">
        <w:rPr>
          <w:rFonts w:ascii="Arial" w:hAnsi="Arial" w:cs="Arial"/>
        </w:rPr>
        <w:t xml:space="preserve">A number of research programs are conducted in the </w:t>
      </w:r>
      <w:r w:rsidR="00C933E0" w:rsidRPr="00DF3703">
        <w:rPr>
          <w:rFonts w:ascii="Arial" w:hAnsi="Arial" w:cs="Arial"/>
        </w:rPr>
        <w:t>Great Barrier Reef Marine Park</w:t>
      </w:r>
      <w:r w:rsidRPr="00DF3703">
        <w:rPr>
          <w:rFonts w:ascii="Arial" w:hAnsi="Arial" w:cs="Arial"/>
        </w:rPr>
        <w:t xml:space="preserve">, ranging from small independent student projects to large, multi-agency collaborative programs with teams of world-leading scientists.  However, there is little comprehensive data on </w:t>
      </w:r>
      <w:r w:rsidR="00036279" w:rsidRPr="00DF3703">
        <w:rPr>
          <w:rFonts w:ascii="Arial" w:hAnsi="Arial" w:cs="Arial"/>
        </w:rPr>
        <w:t>Reef</w:t>
      </w:r>
      <w:r w:rsidRPr="00DF3703">
        <w:rPr>
          <w:rFonts w:ascii="Arial" w:hAnsi="Arial" w:cs="Arial"/>
        </w:rPr>
        <w:t>-specific research.</w:t>
      </w:r>
      <w:r w:rsidR="005D241F" w:rsidRPr="00DF3703">
        <w:rPr>
          <w:rFonts w:ascii="Arial" w:hAnsi="Arial" w:cs="Arial"/>
        </w:rPr>
        <w:t xml:space="preserve"> </w:t>
      </w:r>
      <w:r w:rsidRPr="00DF3703">
        <w:rPr>
          <w:rFonts w:ascii="Arial" w:hAnsi="Arial" w:cs="Arial"/>
        </w:rPr>
        <w:t xml:space="preserve"> Many of the institutions involved do not research the area exclusively, and do not separately report Reef-specific activity. </w:t>
      </w:r>
    </w:p>
    <w:p w:rsidR="00411BF9" w:rsidRPr="00DF3703" w:rsidRDefault="006B7D88" w:rsidP="009B7073">
      <w:pPr>
        <w:pStyle w:val="BodyText"/>
        <w:rPr>
          <w:rFonts w:ascii="Arial" w:hAnsi="Arial" w:cs="Arial"/>
        </w:rPr>
      </w:pPr>
      <w:r w:rsidRPr="00DF3703">
        <w:rPr>
          <w:rFonts w:ascii="Arial" w:hAnsi="Arial" w:cs="Arial"/>
        </w:rPr>
        <w:t xml:space="preserve">Despite this, it is clear that a significant amount of research activity revolves around the </w:t>
      </w:r>
      <w:r w:rsidR="00F943D7" w:rsidRPr="00DF3703">
        <w:rPr>
          <w:rFonts w:ascii="Arial" w:hAnsi="Arial" w:cs="Arial"/>
        </w:rPr>
        <w:t>R</w:t>
      </w:r>
      <w:r w:rsidRPr="00DF3703">
        <w:rPr>
          <w:rFonts w:ascii="Arial" w:hAnsi="Arial" w:cs="Arial"/>
        </w:rPr>
        <w:t xml:space="preserve">eef. In 2010, research funding for Reef-related projects from ARC grants alone totalled over $8 million (ARC, 2012).  This funding supports a large body of research – the Australian Coral Reef Society listed over 230 publications for 2009 (Australian Coral Reef Society, 2010). Moreover, the 2012 International Coral Reef Symposium, held in Cairns, had over 2,000 attendees, with over 600 from Australia – an indicator of the importance of the Great Barrier Reef to international reef research. </w:t>
      </w:r>
    </w:p>
    <w:p w:rsidR="004225BB" w:rsidRPr="00DF3703" w:rsidRDefault="006B7D88" w:rsidP="009B7073">
      <w:pPr>
        <w:pStyle w:val="BodyText"/>
        <w:rPr>
          <w:rFonts w:ascii="Arial" w:hAnsi="Arial" w:cs="Arial"/>
        </w:rPr>
      </w:pPr>
      <w:r w:rsidRPr="00DF3703">
        <w:rPr>
          <w:rFonts w:ascii="Arial" w:hAnsi="Arial" w:cs="Arial"/>
        </w:rPr>
        <w:t xml:space="preserve">Given </w:t>
      </w:r>
      <w:r w:rsidR="004B5E16" w:rsidRPr="00DF3703">
        <w:rPr>
          <w:rFonts w:ascii="Arial" w:hAnsi="Arial" w:cs="Arial"/>
        </w:rPr>
        <w:t xml:space="preserve">limited </w:t>
      </w:r>
      <w:r w:rsidRPr="00DF3703">
        <w:rPr>
          <w:rFonts w:ascii="Arial" w:hAnsi="Arial" w:cs="Arial"/>
        </w:rPr>
        <w:t>data availability</w:t>
      </w:r>
      <w:r w:rsidR="004B5E16" w:rsidRPr="00DF3703">
        <w:rPr>
          <w:rFonts w:ascii="Arial" w:hAnsi="Arial" w:cs="Arial"/>
        </w:rPr>
        <w:t>,</w:t>
      </w:r>
      <w:r w:rsidRPr="00DF3703">
        <w:rPr>
          <w:rFonts w:ascii="Arial" w:hAnsi="Arial" w:cs="Arial"/>
        </w:rPr>
        <w:t xml:space="preserve"> the economic contribution of scientific research </w:t>
      </w:r>
      <w:r w:rsidR="00943FD5">
        <w:rPr>
          <w:rFonts w:ascii="Arial" w:hAnsi="Arial" w:cs="Arial"/>
        </w:rPr>
        <w:t xml:space="preserve">and management </w:t>
      </w:r>
      <w:r w:rsidRPr="00DF3703">
        <w:rPr>
          <w:rFonts w:ascii="Arial" w:hAnsi="Arial" w:cs="Arial"/>
        </w:rPr>
        <w:t>related to the Reef is based on the f</w:t>
      </w:r>
      <w:r w:rsidR="004B5E16" w:rsidRPr="00DF3703">
        <w:rPr>
          <w:rFonts w:ascii="Arial" w:hAnsi="Arial" w:cs="Arial"/>
        </w:rPr>
        <w:t>inancials of the f</w:t>
      </w:r>
      <w:r w:rsidRPr="00DF3703">
        <w:rPr>
          <w:rFonts w:ascii="Arial" w:hAnsi="Arial" w:cs="Arial"/>
        </w:rPr>
        <w:t>ollowing organisations and institutions:</w:t>
      </w:r>
    </w:p>
    <w:p w:rsidR="00943FD5" w:rsidRDefault="00943FD5" w:rsidP="004225BB">
      <w:pPr>
        <w:pStyle w:val="Bullet1"/>
        <w:rPr>
          <w:rFonts w:ascii="Arial" w:hAnsi="Arial"/>
        </w:rPr>
      </w:pPr>
      <w:r>
        <w:rPr>
          <w:rFonts w:ascii="Arial" w:hAnsi="Arial"/>
        </w:rPr>
        <w:t>Great Barrier Reef Marine Park Authority</w:t>
      </w:r>
      <w:r w:rsidR="00981AA2">
        <w:rPr>
          <w:rFonts w:ascii="Arial" w:hAnsi="Arial"/>
        </w:rPr>
        <w:t xml:space="preserve"> (GBRMPA);</w:t>
      </w:r>
    </w:p>
    <w:p w:rsidR="004225BB" w:rsidRPr="00DF3703" w:rsidRDefault="006B7D88" w:rsidP="004225BB">
      <w:pPr>
        <w:pStyle w:val="Bullet1"/>
        <w:rPr>
          <w:rFonts w:ascii="Arial" w:hAnsi="Arial"/>
        </w:rPr>
      </w:pPr>
      <w:r w:rsidRPr="00DF3703">
        <w:rPr>
          <w:rFonts w:ascii="Arial" w:hAnsi="Arial"/>
        </w:rPr>
        <w:t>Australian Institute of Marine Science (AIMS);</w:t>
      </w:r>
    </w:p>
    <w:p w:rsidR="004225BB" w:rsidRPr="00DF3703" w:rsidRDefault="006B7D88" w:rsidP="004225BB">
      <w:pPr>
        <w:pStyle w:val="Bullet1"/>
        <w:rPr>
          <w:rFonts w:ascii="Arial" w:hAnsi="Arial"/>
        </w:rPr>
      </w:pPr>
      <w:r w:rsidRPr="00DF3703">
        <w:rPr>
          <w:rFonts w:ascii="Arial" w:hAnsi="Arial"/>
        </w:rPr>
        <w:t>James Cook University (JCU) ARC Centre of Excellence in Coral Reef Studies</w:t>
      </w:r>
      <w:r w:rsidR="004B5E16" w:rsidRPr="00DF3703">
        <w:rPr>
          <w:rFonts w:ascii="Arial" w:hAnsi="Arial"/>
        </w:rPr>
        <w:t>;</w:t>
      </w:r>
    </w:p>
    <w:p w:rsidR="004225BB" w:rsidRPr="00DF3703" w:rsidRDefault="006B7D88" w:rsidP="004225BB">
      <w:pPr>
        <w:pStyle w:val="Bullet1"/>
        <w:rPr>
          <w:rFonts w:ascii="Arial" w:hAnsi="Arial"/>
        </w:rPr>
      </w:pPr>
      <w:r w:rsidRPr="00DF3703">
        <w:rPr>
          <w:rFonts w:ascii="Arial" w:hAnsi="Arial"/>
        </w:rPr>
        <w:t>Herron Island Research Station (at the University of Queensland); and</w:t>
      </w:r>
    </w:p>
    <w:p w:rsidR="004225BB" w:rsidRPr="00DF3703" w:rsidRDefault="006B7D88" w:rsidP="004225BB">
      <w:pPr>
        <w:pStyle w:val="Bullet1"/>
        <w:rPr>
          <w:rFonts w:ascii="Arial" w:hAnsi="Arial"/>
        </w:rPr>
      </w:pPr>
      <w:r w:rsidRPr="00DF3703">
        <w:rPr>
          <w:rFonts w:ascii="Arial" w:hAnsi="Arial"/>
        </w:rPr>
        <w:t xml:space="preserve">Lizard Island Research Station (operated by the Australian Museum). </w:t>
      </w:r>
    </w:p>
    <w:p w:rsidR="00623063" w:rsidRPr="00DF3703" w:rsidRDefault="006B7D88" w:rsidP="004225BB">
      <w:pPr>
        <w:pStyle w:val="Bullet1"/>
        <w:rPr>
          <w:rFonts w:ascii="Arial" w:hAnsi="Arial"/>
        </w:rPr>
      </w:pPr>
      <w:r w:rsidRPr="00DF3703">
        <w:rPr>
          <w:rFonts w:ascii="Arial" w:hAnsi="Arial"/>
        </w:rPr>
        <w:t>GBRMPA</w:t>
      </w:r>
    </w:p>
    <w:p w:rsidR="009871F4" w:rsidRPr="00DF3703" w:rsidRDefault="006B7D88" w:rsidP="009B7073">
      <w:pPr>
        <w:pStyle w:val="BodyText"/>
        <w:rPr>
          <w:rFonts w:ascii="Arial" w:hAnsi="Arial" w:cs="Arial"/>
        </w:rPr>
      </w:pPr>
      <w:r w:rsidRPr="00DF3703">
        <w:rPr>
          <w:rFonts w:ascii="Arial" w:hAnsi="Arial" w:cs="Arial"/>
        </w:rPr>
        <w:t xml:space="preserve">Some of the information used to arrive at these estimates is confidential – such as the details used </w:t>
      </w:r>
      <w:r w:rsidR="003E5C83" w:rsidRPr="00DF3703">
        <w:rPr>
          <w:rFonts w:ascii="Arial" w:hAnsi="Arial" w:cs="Arial"/>
        </w:rPr>
        <w:t xml:space="preserve">to </w:t>
      </w:r>
      <w:r w:rsidRPr="00DF3703">
        <w:rPr>
          <w:rFonts w:ascii="Arial" w:hAnsi="Arial" w:cs="Arial"/>
        </w:rPr>
        <w:t xml:space="preserve">allocate a portion of these organisations’ financials to that associated with the </w:t>
      </w:r>
      <w:r w:rsidR="00036279" w:rsidRPr="00DF3703">
        <w:rPr>
          <w:rFonts w:ascii="Arial" w:hAnsi="Arial" w:cs="Arial"/>
        </w:rPr>
        <w:t>Reef</w:t>
      </w:r>
      <w:r w:rsidRPr="00DF3703">
        <w:rPr>
          <w:rFonts w:ascii="Arial" w:hAnsi="Arial" w:cs="Arial"/>
        </w:rPr>
        <w:t xml:space="preserve">.  As such, the estimates are reported in their aggregated form. </w:t>
      </w:r>
    </w:p>
    <w:p w:rsidR="008657D6" w:rsidRPr="00DF3703" w:rsidRDefault="006B7D88" w:rsidP="009B7073">
      <w:pPr>
        <w:pStyle w:val="BodyText"/>
        <w:rPr>
          <w:rFonts w:ascii="Arial" w:hAnsi="Arial" w:cs="Arial"/>
        </w:rPr>
      </w:pPr>
      <w:r w:rsidRPr="00DF3703">
        <w:rPr>
          <w:rFonts w:ascii="Arial" w:hAnsi="Arial" w:cs="Arial"/>
        </w:rPr>
        <w:t xml:space="preserve">In 2012, $106 million of revenue was generated by these organisations through the conduct of scientific research </w:t>
      </w:r>
      <w:r w:rsidR="007F0C11" w:rsidRPr="00DF3703">
        <w:rPr>
          <w:rFonts w:ascii="Arial" w:hAnsi="Arial" w:cs="Arial"/>
        </w:rPr>
        <w:t xml:space="preserve">and management </w:t>
      </w:r>
      <w:r w:rsidR="004B5E16" w:rsidRPr="00DF3703">
        <w:rPr>
          <w:rFonts w:ascii="Arial" w:hAnsi="Arial" w:cs="Arial"/>
        </w:rPr>
        <w:t xml:space="preserve">on the Reef </w:t>
      </w:r>
      <w:r w:rsidRPr="00DF3703">
        <w:rPr>
          <w:rFonts w:ascii="Arial" w:hAnsi="Arial" w:cs="Arial"/>
        </w:rPr>
        <w:t>and provide</w:t>
      </w:r>
      <w:r w:rsidR="004B5E16" w:rsidRPr="00DF3703">
        <w:rPr>
          <w:rFonts w:ascii="Arial" w:hAnsi="Arial" w:cs="Arial"/>
        </w:rPr>
        <w:t>d</w:t>
      </w:r>
      <w:r w:rsidRPr="00DF3703">
        <w:rPr>
          <w:rFonts w:ascii="Arial" w:hAnsi="Arial" w:cs="Arial"/>
        </w:rPr>
        <w:t xml:space="preserve"> </w:t>
      </w:r>
      <w:r w:rsidR="004B5E16" w:rsidRPr="00DF3703">
        <w:rPr>
          <w:rFonts w:ascii="Arial" w:hAnsi="Arial" w:cs="Arial"/>
        </w:rPr>
        <w:t>associated</w:t>
      </w:r>
      <w:r w:rsidRPr="00DF3703">
        <w:rPr>
          <w:rFonts w:ascii="Arial" w:hAnsi="Arial" w:cs="Arial"/>
        </w:rPr>
        <w:t xml:space="preserve"> services.</w:t>
      </w:r>
    </w:p>
    <w:p w:rsidR="00160F54" w:rsidRPr="00DF3703" w:rsidRDefault="006B7D88" w:rsidP="00160F54">
      <w:pPr>
        <w:pStyle w:val="Heading2"/>
        <w:rPr>
          <w:rFonts w:ascii="Arial" w:hAnsi="Arial" w:cs="Arial"/>
        </w:rPr>
      </w:pPr>
      <w:bookmarkStart w:id="130" w:name="_Toc355700996"/>
      <w:r w:rsidRPr="00DF3703">
        <w:rPr>
          <w:rFonts w:ascii="Arial" w:hAnsi="Arial" w:cs="Arial"/>
        </w:rPr>
        <w:t>Economic contribution</w:t>
      </w:r>
      <w:bookmarkEnd w:id="130"/>
    </w:p>
    <w:p w:rsidR="00160F54" w:rsidRPr="00DF3703" w:rsidRDefault="006B7D88" w:rsidP="00160F54">
      <w:pPr>
        <w:pStyle w:val="BodyText"/>
        <w:rPr>
          <w:rFonts w:ascii="Arial" w:hAnsi="Arial" w:cs="Arial"/>
        </w:rPr>
      </w:pPr>
      <w:r w:rsidRPr="00DF3703">
        <w:rPr>
          <w:rFonts w:ascii="Arial" w:hAnsi="Arial" w:cs="Arial"/>
        </w:rPr>
        <w:t xml:space="preserve">The </w:t>
      </w:r>
      <w:r w:rsidR="004B5E16" w:rsidRPr="00DF3703">
        <w:rPr>
          <w:rFonts w:ascii="Arial" w:hAnsi="Arial" w:cs="Arial"/>
        </w:rPr>
        <w:t xml:space="preserve">estimated </w:t>
      </w:r>
      <w:r w:rsidRPr="00DF3703">
        <w:rPr>
          <w:rFonts w:ascii="Arial" w:hAnsi="Arial" w:cs="Arial"/>
        </w:rPr>
        <w:t xml:space="preserve">$106 million of revenue generated through </w:t>
      </w:r>
      <w:r w:rsidR="00F943D7" w:rsidRPr="00DF3703">
        <w:rPr>
          <w:rFonts w:ascii="Arial" w:hAnsi="Arial" w:cs="Arial"/>
        </w:rPr>
        <w:t>R</w:t>
      </w:r>
      <w:r w:rsidRPr="00DF3703">
        <w:rPr>
          <w:rFonts w:ascii="Arial" w:hAnsi="Arial" w:cs="Arial"/>
        </w:rPr>
        <w:t xml:space="preserve">eef-related scientific research resulted in total value added of $98 million </w:t>
      </w:r>
      <w:r w:rsidR="0064425C" w:rsidRPr="00DF3703">
        <w:rPr>
          <w:rFonts w:ascii="Arial" w:hAnsi="Arial" w:cs="Arial"/>
        </w:rPr>
        <w:t>in Australia, with just over 880</w:t>
      </w:r>
      <w:r w:rsidRPr="00DF3703">
        <w:rPr>
          <w:rFonts w:ascii="Arial" w:hAnsi="Arial" w:cs="Arial"/>
        </w:rPr>
        <w:t xml:space="preserve"> </w:t>
      </w:r>
      <w:r w:rsidRPr="00DF3703">
        <w:rPr>
          <w:rFonts w:ascii="Arial" w:hAnsi="Arial" w:cs="Arial"/>
        </w:rPr>
        <w:lastRenderedPageBreak/>
        <w:t>FTE jobs generated.  These jobs include the 464 FTEs directly employed by the organisations within scope and a further 420 flow-on.</w:t>
      </w:r>
    </w:p>
    <w:p w:rsidR="00160F54" w:rsidRPr="00DF3703" w:rsidRDefault="006B7D88" w:rsidP="00160F54">
      <w:pPr>
        <w:pStyle w:val="BodyText"/>
        <w:rPr>
          <w:rFonts w:ascii="Arial" w:hAnsi="Arial" w:cs="Arial"/>
        </w:rPr>
      </w:pPr>
      <w:r w:rsidRPr="00DF3703">
        <w:rPr>
          <w:rFonts w:ascii="Arial" w:hAnsi="Arial" w:cs="Arial"/>
        </w:rPr>
        <w:t>The relatively high value added to expenditure ratio (of over 90%) is indicative of professional services activities.</w:t>
      </w:r>
    </w:p>
    <w:p w:rsidR="00160F54" w:rsidRPr="00DF3703" w:rsidRDefault="006B7D88" w:rsidP="005D241F">
      <w:pPr>
        <w:pStyle w:val="CaptionTable"/>
        <w:ind w:left="0"/>
        <w:rPr>
          <w:rFonts w:ascii="Arial" w:hAnsi="Arial" w:cs="Arial"/>
        </w:rPr>
      </w:pPr>
      <w:bookmarkStart w:id="131" w:name="_Toc355701067"/>
      <w:r w:rsidRPr="00DF3703">
        <w:rPr>
          <w:rFonts w:ascii="Arial" w:hAnsi="Arial" w:cs="Arial"/>
        </w:rPr>
        <w:t>: Economic contributions of scientific research</w:t>
      </w:r>
      <w:r w:rsidR="007F0C11" w:rsidRPr="00DF3703">
        <w:rPr>
          <w:rFonts w:ascii="Arial" w:hAnsi="Arial" w:cs="Arial"/>
        </w:rPr>
        <w:t xml:space="preserve"> &amp; management</w:t>
      </w:r>
      <w:r w:rsidRPr="00DF3703">
        <w:rPr>
          <w:rFonts w:ascii="Arial" w:hAnsi="Arial" w:cs="Arial"/>
        </w:rPr>
        <w:t>, 2012</w:t>
      </w:r>
      <w:bookmarkEnd w:id="131"/>
    </w:p>
    <w:tbl>
      <w:tblPr>
        <w:tblStyle w:val="TableAEGrey"/>
        <w:tblW w:w="5000" w:type="pct"/>
        <w:tblLook w:val="04A0"/>
      </w:tblPr>
      <w:tblGrid>
        <w:gridCol w:w="2107"/>
        <w:gridCol w:w="2111"/>
        <w:gridCol w:w="2111"/>
        <w:gridCol w:w="2107"/>
      </w:tblGrid>
      <w:tr w:rsidR="00160F54" w:rsidRPr="00DF3703" w:rsidTr="00687675">
        <w:trPr>
          <w:cnfStyle w:val="100000000000"/>
        </w:trPr>
        <w:tc>
          <w:tcPr>
            <w:tcW w:w="1249" w:type="pct"/>
          </w:tcPr>
          <w:p w:rsidR="00160F54" w:rsidRPr="00DF3703" w:rsidRDefault="00160F54" w:rsidP="00687675">
            <w:pPr>
              <w:pStyle w:val="TableHeadingCentre"/>
              <w:rPr>
                <w:rFonts w:ascii="Arial" w:hAnsi="Arial" w:cs="Arial"/>
              </w:rPr>
            </w:pPr>
          </w:p>
        </w:tc>
        <w:tc>
          <w:tcPr>
            <w:tcW w:w="1251" w:type="pct"/>
          </w:tcPr>
          <w:p w:rsidR="00160F54" w:rsidRPr="00DF3703" w:rsidRDefault="006B7D88" w:rsidP="00687675">
            <w:pPr>
              <w:pStyle w:val="TableHeadingCentre"/>
              <w:jc w:val="right"/>
              <w:rPr>
                <w:rFonts w:ascii="Arial" w:hAnsi="Arial" w:cs="Arial"/>
              </w:rPr>
            </w:pPr>
            <w:r w:rsidRPr="00DF3703">
              <w:rPr>
                <w:rFonts w:ascii="Arial" w:hAnsi="Arial" w:cs="Arial"/>
              </w:rPr>
              <w:t>Expenditure</w:t>
            </w:r>
          </w:p>
        </w:tc>
        <w:tc>
          <w:tcPr>
            <w:tcW w:w="1251" w:type="pct"/>
            <w:vAlign w:val="center"/>
          </w:tcPr>
          <w:p w:rsidR="00160F54" w:rsidRPr="00DF3703" w:rsidRDefault="006B7D88" w:rsidP="00687675">
            <w:pPr>
              <w:pStyle w:val="TableHeadingCentre"/>
              <w:jc w:val="right"/>
              <w:rPr>
                <w:rFonts w:ascii="Arial" w:hAnsi="Arial" w:cs="Arial"/>
              </w:rPr>
            </w:pPr>
            <w:r w:rsidRPr="00DF3703">
              <w:rPr>
                <w:rFonts w:ascii="Arial" w:hAnsi="Arial" w:cs="Arial"/>
              </w:rPr>
              <w:t>Value-added</w:t>
            </w:r>
          </w:p>
          <w:p w:rsidR="00160F54" w:rsidRPr="00DF3703" w:rsidRDefault="006B7D88" w:rsidP="00687675">
            <w:pPr>
              <w:pStyle w:val="TableHeadingCentre"/>
              <w:jc w:val="right"/>
              <w:rPr>
                <w:rFonts w:ascii="Arial" w:hAnsi="Arial" w:cs="Arial"/>
              </w:rPr>
            </w:pPr>
            <w:r w:rsidRPr="00DF3703">
              <w:rPr>
                <w:rFonts w:ascii="Arial" w:hAnsi="Arial" w:cs="Arial"/>
              </w:rPr>
              <w:t>($m)</w:t>
            </w:r>
          </w:p>
        </w:tc>
        <w:tc>
          <w:tcPr>
            <w:tcW w:w="1249" w:type="pct"/>
            <w:vAlign w:val="center"/>
          </w:tcPr>
          <w:p w:rsidR="00160F54" w:rsidRPr="00DF3703" w:rsidRDefault="006B7D88" w:rsidP="00687675">
            <w:pPr>
              <w:pStyle w:val="TableHeadingCentre"/>
              <w:jc w:val="right"/>
              <w:rPr>
                <w:rFonts w:ascii="Arial" w:hAnsi="Arial" w:cs="Arial"/>
              </w:rPr>
            </w:pPr>
            <w:r w:rsidRPr="00DF3703">
              <w:rPr>
                <w:rFonts w:ascii="Arial" w:hAnsi="Arial" w:cs="Arial"/>
              </w:rPr>
              <w:t>Employment</w:t>
            </w:r>
          </w:p>
          <w:p w:rsidR="00160F54" w:rsidRPr="00DF3703" w:rsidRDefault="006B7D88" w:rsidP="00687675">
            <w:pPr>
              <w:pStyle w:val="TableHeadingCentre"/>
              <w:jc w:val="right"/>
              <w:rPr>
                <w:rFonts w:ascii="Arial" w:hAnsi="Arial" w:cs="Arial"/>
              </w:rPr>
            </w:pPr>
            <w:r w:rsidRPr="00DF3703">
              <w:rPr>
                <w:rFonts w:ascii="Arial" w:hAnsi="Arial" w:cs="Arial"/>
              </w:rPr>
              <w:t>(FTE)</w:t>
            </w:r>
          </w:p>
        </w:tc>
      </w:tr>
      <w:tr w:rsidR="00F02818" w:rsidRPr="00DF3703" w:rsidTr="00687675">
        <w:tc>
          <w:tcPr>
            <w:tcW w:w="1249" w:type="pct"/>
            <w:vAlign w:val="bottom"/>
          </w:tcPr>
          <w:p w:rsidR="00F02818" w:rsidRPr="00DF3703" w:rsidRDefault="006B7D88" w:rsidP="00687675">
            <w:pPr>
              <w:pStyle w:val="TableHeadingRight"/>
              <w:jc w:val="left"/>
              <w:rPr>
                <w:rFonts w:ascii="Arial" w:hAnsi="Arial" w:cs="Arial"/>
                <w:sz w:val="20"/>
              </w:rPr>
            </w:pPr>
            <w:r w:rsidRPr="00DF3703">
              <w:rPr>
                <w:rFonts w:ascii="Arial" w:hAnsi="Arial" w:cs="Arial"/>
                <w:sz w:val="20"/>
              </w:rPr>
              <w:t>Total direct</w:t>
            </w:r>
          </w:p>
        </w:tc>
        <w:tc>
          <w:tcPr>
            <w:tcW w:w="1251" w:type="pct"/>
            <w:vAlign w:val="bottom"/>
          </w:tcPr>
          <w:p w:rsidR="00F02818" w:rsidRPr="00DF3703" w:rsidRDefault="006B7D88" w:rsidP="00F02818">
            <w:pPr>
              <w:jc w:val="right"/>
              <w:rPr>
                <w:rFonts w:ascii="Arial" w:hAnsi="Arial" w:cs="Arial"/>
                <w:sz w:val="20"/>
              </w:rPr>
            </w:pPr>
            <w:r w:rsidRPr="00DF3703">
              <w:rPr>
                <w:rFonts w:ascii="Arial" w:hAnsi="Arial" w:cs="Arial"/>
                <w:sz w:val="20"/>
              </w:rPr>
              <w:t>106</w:t>
            </w:r>
            <w:r w:rsidR="0064425C" w:rsidRPr="00DF3703">
              <w:rPr>
                <w:rFonts w:ascii="Arial" w:hAnsi="Arial" w:cs="Arial"/>
                <w:sz w:val="20"/>
              </w:rPr>
              <w:t>.1</w:t>
            </w:r>
          </w:p>
        </w:tc>
        <w:tc>
          <w:tcPr>
            <w:tcW w:w="1251" w:type="pct"/>
            <w:vAlign w:val="bottom"/>
          </w:tcPr>
          <w:p w:rsidR="00F02818" w:rsidRPr="00DF3703" w:rsidRDefault="0064425C" w:rsidP="00F02818">
            <w:pPr>
              <w:jc w:val="right"/>
              <w:rPr>
                <w:rFonts w:ascii="Arial" w:hAnsi="Arial" w:cs="Arial"/>
                <w:sz w:val="20"/>
              </w:rPr>
            </w:pPr>
            <w:r w:rsidRPr="00DF3703">
              <w:rPr>
                <w:rFonts w:ascii="Arial" w:hAnsi="Arial" w:cs="Arial"/>
                <w:sz w:val="20"/>
              </w:rPr>
              <w:t>50.2</w:t>
            </w:r>
          </w:p>
        </w:tc>
        <w:tc>
          <w:tcPr>
            <w:tcW w:w="1249" w:type="pct"/>
            <w:vAlign w:val="bottom"/>
          </w:tcPr>
          <w:p w:rsidR="00F02818" w:rsidRPr="00DF3703" w:rsidRDefault="006B7D88" w:rsidP="00F02818">
            <w:pPr>
              <w:jc w:val="right"/>
              <w:rPr>
                <w:rFonts w:ascii="Arial" w:hAnsi="Arial" w:cs="Arial"/>
                <w:sz w:val="20"/>
              </w:rPr>
            </w:pPr>
            <w:r w:rsidRPr="00DF3703">
              <w:rPr>
                <w:rFonts w:ascii="Arial" w:hAnsi="Arial" w:cs="Arial"/>
                <w:sz w:val="20"/>
              </w:rPr>
              <w:t>464</w:t>
            </w:r>
          </w:p>
        </w:tc>
      </w:tr>
      <w:tr w:rsidR="00160F54" w:rsidRPr="00DF3703" w:rsidTr="00687675">
        <w:tc>
          <w:tcPr>
            <w:tcW w:w="1249" w:type="pct"/>
            <w:vAlign w:val="bottom"/>
          </w:tcPr>
          <w:p w:rsidR="00160F54" w:rsidRPr="00DF3703" w:rsidRDefault="006B7D88" w:rsidP="00687675">
            <w:pPr>
              <w:pStyle w:val="TableHeadingRight"/>
              <w:jc w:val="left"/>
              <w:rPr>
                <w:rFonts w:ascii="Arial" w:hAnsi="Arial" w:cs="Arial"/>
                <w:sz w:val="20"/>
              </w:rPr>
            </w:pPr>
            <w:r w:rsidRPr="00DF3703">
              <w:rPr>
                <w:rFonts w:ascii="Arial" w:hAnsi="Arial" w:cs="Arial"/>
                <w:sz w:val="20"/>
              </w:rPr>
              <w:t>Indirect</w:t>
            </w:r>
          </w:p>
        </w:tc>
        <w:tc>
          <w:tcPr>
            <w:tcW w:w="1251" w:type="pct"/>
            <w:vAlign w:val="bottom"/>
          </w:tcPr>
          <w:p w:rsidR="00160F54" w:rsidRPr="00DF3703" w:rsidRDefault="00160F54" w:rsidP="00687675">
            <w:pPr>
              <w:jc w:val="right"/>
              <w:rPr>
                <w:rFonts w:ascii="Arial" w:hAnsi="Arial" w:cs="Arial"/>
                <w:sz w:val="20"/>
              </w:rPr>
            </w:pPr>
          </w:p>
        </w:tc>
        <w:tc>
          <w:tcPr>
            <w:tcW w:w="1251" w:type="pct"/>
            <w:vAlign w:val="bottom"/>
          </w:tcPr>
          <w:p w:rsidR="00160F54" w:rsidRPr="00DF3703" w:rsidRDefault="00160F54" w:rsidP="00687675">
            <w:pPr>
              <w:jc w:val="right"/>
              <w:rPr>
                <w:rFonts w:ascii="Arial" w:hAnsi="Arial" w:cs="Arial"/>
                <w:sz w:val="20"/>
              </w:rPr>
            </w:pPr>
          </w:p>
        </w:tc>
        <w:tc>
          <w:tcPr>
            <w:tcW w:w="1249" w:type="pct"/>
            <w:vAlign w:val="bottom"/>
          </w:tcPr>
          <w:p w:rsidR="00160F54" w:rsidRPr="00DF3703" w:rsidRDefault="00160F54" w:rsidP="00687675">
            <w:pPr>
              <w:jc w:val="right"/>
              <w:rPr>
                <w:rFonts w:ascii="Arial" w:hAnsi="Arial" w:cs="Arial"/>
                <w:sz w:val="20"/>
              </w:rPr>
            </w:pPr>
          </w:p>
        </w:tc>
      </w:tr>
      <w:tr w:rsidR="00F02818" w:rsidRPr="00DF3703" w:rsidTr="00687675">
        <w:tc>
          <w:tcPr>
            <w:tcW w:w="1249" w:type="pct"/>
            <w:vAlign w:val="bottom"/>
          </w:tcPr>
          <w:p w:rsidR="00F02818" w:rsidRPr="00DF3703" w:rsidRDefault="00E36066" w:rsidP="00687675">
            <w:pPr>
              <w:ind w:firstLineChars="200" w:firstLine="400"/>
              <w:rPr>
                <w:rFonts w:ascii="Arial" w:hAnsi="Arial" w:cs="Arial"/>
                <w:sz w:val="20"/>
              </w:rPr>
            </w:pPr>
            <w:r w:rsidRPr="00DF3703">
              <w:rPr>
                <w:rFonts w:ascii="Arial" w:hAnsi="Arial" w:cs="Arial"/>
                <w:sz w:val="20"/>
              </w:rPr>
              <w:t>C</w:t>
            </w:r>
            <w:r w:rsidR="003C4DCF" w:rsidRPr="00DF3703">
              <w:rPr>
                <w:rFonts w:ascii="Arial" w:hAnsi="Arial" w:cs="Arial"/>
                <w:sz w:val="20"/>
              </w:rPr>
              <w:t>atchment</w:t>
            </w:r>
          </w:p>
        </w:tc>
        <w:tc>
          <w:tcPr>
            <w:tcW w:w="1251" w:type="pct"/>
            <w:vAlign w:val="bottom"/>
          </w:tcPr>
          <w:p w:rsidR="00F02818" w:rsidRPr="00DF3703" w:rsidRDefault="00F02818" w:rsidP="00687675">
            <w:pPr>
              <w:jc w:val="right"/>
              <w:rPr>
                <w:rFonts w:ascii="Arial" w:hAnsi="Arial" w:cs="Arial"/>
                <w:sz w:val="20"/>
              </w:rPr>
            </w:pPr>
          </w:p>
        </w:tc>
        <w:tc>
          <w:tcPr>
            <w:tcW w:w="1251" w:type="pct"/>
            <w:vAlign w:val="bottom"/>
          </w:tcPr>
          <w:p w:rsidR="00F02818" w:rsidRPr="00DF3703" w:rsidRDefault="006B7D88" w:rsidP="00F02818">
            <w:pPr>
              <w:jc w:val="right"/>
              <w:rPr>
                <w:rFonts w:ascii="Arial" w:hAnsi="Arial" w:cs="Arial"/>
                <w:sz w:val="20"/>
              </w:rPr>
            </w:pPr>
            <w:r w:rsidRPr="00DF3703">
              <w:rPr>
                <w:rFonts w:ascii="Arial" w:hAnsi="Arial" w:cs="Arial"/>
                <w:sz w:val="20"/>
              </w:rPr>
              <w:t>34</w:t>
            </w:r>
            <w:r w:rsidR="0064425C" w:rsidRPr="00DF3703">
              <w:rPr>
                <w:rFonts w:ascii="Arial" w:hAnsi="Arial" w:cs="Arial"/>
                <w:sz w:val="20"/>
              </w:rPr>
              <w:t>.4</w:t>
            </w:r>
          </w:p>
        </w:tc>
        <w:tc>
          <w:tcPr>
            <w:tcW w:w="1249" w:type="pct"/>
            <w:vAlign w:val="bottom"/>
          </w:tcPr>
          <w:p w:rsidR="00F02818" w:rsidRPr="00DF3703" w:rsidRDefault="006B7D88" w:rsidP="00F02818">
            <w:pPr>
              <w:jc w:val="right"/>
              <w:rPr>
                <w:rFonts w:ascii="Arial" w:hAnsi="Arial" w:cs="Arial"/>
                <w:sz w:val="20"/>
              </w:rPr>
            </w:pPr>
            <w:r w:rsidRPr="00DF3703">
              <w:rPr>
                <w:rFonts w:ascii="Arial" w:hAnsi="Arial" w:cs="Arial"/>
                <w:sz w:val="20"/>
              </w:rPr>
              <w:t>313</w:t>
            </w:r>
          </w:p>
        </w:tc>
      </w:tr>
      <w:tr w:rsidR="00F02818" w:rsidRPr="00DF3703" w:rsidTr="00687675">
        <w:tc>
          <w:tcPr>
            <w:tcW w:w="1249" w:type="pct"/>
            <w:vAlign w:val="bottom"/>
          </w:tcPr>
          <w:p w:rsidR="00F02818" w:rsidRPr="00DF3703" w:rsidRDefault="006B7D88" w:rsidP="00E36066">
            <w:pPr>
              <w:ind w:left="426"/>
              <w:rPr>
                <w:rFonts w:ascii="Arial" w:hAnsi="Arial" w:cs="Arial"/>
                <w:sz w:val="20"/>
              </w:rPr>
            </w:pPr>
            <w:r w:rsidRPr="00DF3703">
              <w:rPr>
                <w:rFonts w:ascii="Arial" w:hAnsi="Arial" w:cs="Arial"/>
                <w:sz w:val="20"/>
              </w:rPr>
              <w:t>Rest of Qld</w:t>
            </w:r>
          </w:p>
        </w:tc>
        <w:tc>
          <w:tcPr>
            <w:tcW w:w="1251" w:type="pct"/>
            <w:vAlign w:val="bottom"/>
          </w:tcPr>
          <w:p w:rsidR="00F02818" w:rsidRPr="00DF3703" w:rsidRDefault="00F02818" w:rsidP="00687675">
            <w:pPr>
              <w:jc w:val="right"/>
              <w:rPr>
                <w:rFonts w:ascii="Arial" w:hAnsi="Arial" w:cs="Arial"/>
                <w:sz w:val="20"/>
              </w:rPr>
            </w:pPr>
          </w:p>
        </w:tc>
        <w:tc>
          <w:tcPr>
            <w:tcW w:w="1251" w:type="pct"/>
            <w:vAlign w:val="bottom"/>
          </w:tcPr>
          <w:p w:rsidR="00F02818" w:rsidRPr="00DF3703" w:rsidRDefault="0064425C" w:rsidP="00F02818">
            <w:pPr>
              <w:jc w:val="right"/>
              <w:rPr>
                <w:rFonts w:ascii="Arial" w:hAnsi="Arial" w:cs="Arial"/>
                <w:sz w:val="20"/>
              </w:rPr>
            </w:pPr>
            <w:r w:rsidRPr="00DF3703">
              <w:rPr>
                <w:rFonts w:ascii="Arial" w:hAnsi="Arial" w:cs="Arial"/>
                <w:sz w:val="20"/>
              </w:rPr>
              <w:t>2.5</w:t>
            </w:r>
          </w:p>
        </w:tc>
        <w:tc>
          <w:tcPr>
            <w:tcW w:w="1249" w:type="pct"/>
            <w:vAlign w:val="bottom"/>
          </w:tcPr>
          <w:p w:rsidR="00F02818" w:rsidRPr="00DF3703" w:rsidRDefault="006B7D88" w:rsidP="00F02818">
            <w:pPr>
              <w:jc w:val="right"/>
              <w:rPr>
                <w:rFonts w:ascii="Arial" w:hAnsi="Arial" w:cs="Arial"/>
                <w:sz w:val="20"/>
              </w:rPr>
            </w:pPr>
            <w:r w:rsidRPr="00DF3703">
              <w:rPr>
                <w:rFonts w:ascii="Arial" w:hAnsi="Arial" w:cs="Arial"/>
                <w:sz w:val="20"/>
              </w:rPr>
              <w:t>19</w:t>
            </w:r>
          </w:p>
        </w:tc>
      </w:tr>
      <w:tr w:rsidR="00F02818" w:rsidRPr="00DF3703" w:rsidTr="00687675">
        <w:tc>
          <w:tcPr>
            <w:tcW w:w="1249" w:type="pct"/>
            <w:tcBorders>
              <w:bottom w:val="single" w:sz="12" w:space="0" w:color="002060"/>
            </w:tcBorders>
            <w:vAlign w:val="bottom"/>
          </w:tcPr>
          <w:p w:rsidR="00F02818" w:rsidRPr="00DF3703" w:rsidRDefault="006B7D88" w:rsidP="00687675">
            <w:pPr>
              <w:ind w:firstLineChars="200" w:firstLine="400"/>
              <w:rPr>
                <w:rFonts w:ascii="Arial" w:hAnsi="Arial" w:cs="Arial"/>
                <w:sz w:val="20"/>
              </w:rPr>
            </w:pPr>
            <w:r w:rsidRPr="00DF3703">
              <w:rPr>
                <w:rFonts w:ascii="Arial" w:hAnsi="Arial" w:cs="Arial"/>
                <w:sz w:val="20"/>
              </w:rPr>
              <w:t>Rest of Australia</w:t>
            </w:r>
          </w:p>
        </w:tc>
        <w:tc>
          <w:tcPr>
            <w:tcW w:w="1251" w:type="pct"/>
            <w:tcBorders>
              <w:bottom w:val="single" w:sz="12" w:space="0" w:color="002060"/>
            </w:tcBorders>
            <w:vAlign w:val="bottom"/>
          </w:tcPr>
          <w:p w:rsidR="00F02818" w:rsidRPr="00DF3703" w:rsidRDefault="00F02818" w:rsidP="00687675">
            <w:pPr>
              <w:jc w:val="right"/>
              <w:rPr>
                <w:rFonts w:ascii="Arial" w:hAnsi="Arial" w:cs="Arial"/>
                <w:sz w:val="20"/>
              </w:rPr>
            </w:pPr>
          </w:p>
        </w:tc>
        <w:tc>
          <w:tcPr>
            <w:tcW w:w="1251" w:type="pct"/>
            <w:tcBorders>
              <w:bottom w:val="single" w:sz="12" w:space="0" w:color="002060"/>
            </w:tcBorders>
            <w:vAlign w:val="bottom"/>
          </w:tcPr>
          <w:p w:rsidR="00F02818" w:rsidRPr="00DF3703" w:rsidRDefault="0064425C" w:rsidP="00F02818">
            <w:pPr>
              <w:jc w:val="right"/>
              <w:rPr>
                <w:rFonts w:ascii="Arial" w:hAnsi="Arial" w:cs="Arial"/>
                <w:sz w:val="20"/>
              </w:rPr>
            </w:pPr>
            <w:r w:rsidRPr="00DF3703">
              <w:rPr>
                <w:rFonts w:ascii="Arial" w:hAnsi="Arial" w:cs="Arial"/>
                <w:sz w:val="20"/>
              </w:rPr>
              <w:t>10.9</w:t>
            </w:r>
          </w:p>
        </w:tc>
        <w:tc>
          <w:tcPr>
            <w:tcW w:w="1249" w:type="pct"/>
            <w:tcBorders>
              <w:bottom w:val="single" w:sz="12" w:space="0" w:color="002060"/>
            </w:tcBorders>
            <w:vAlign w:val="bottom"/>
          </w:tcPr>
          <w:p w:rsidR="00F02818" w:rsidRPr="00DF3703" w:rsidRDefault="006B7D88" w:rsidP="00F02818">
            <w:pPr>
              <w:jc w:val="right"/>
              <w:rPr>
                <w:rFonts w:ascii="Arial" w:hAnsi="Arial" w:cs="Arial"/>
                <w:sz w:val="20"/>
              </w:rPr>
            </w:pPr>
            <w:r w:rsidRPr="00DF3703">
              <w:rPr>
                <w:rFonts w:ascii="Arial" w:hAnsi="Arial" w:cs="Arial"/>
                <w:sz w:val="20"/>
              </w:rPr>
              <w:t>85</w:t>
            </w:r>
          </w:p>
        </w:tc>
      </w:tr>
      <w:tr w:rsidR="00F02818" w:rsidRPr="00DF3703" w:rsidTr="00687675">
        <w:tc>
          <w:tcPr>
            <w:tcW w:w="1249" w:type="pct"/>
            <w:tcBorders>
              <w:top w:val="single" w:sz="12" w:space="0" w:color="002060"/>
              <w:bottom w:val="single" w:sz="12" w:space="0" w:color="002776"/>
            </w:tcBorders>
            <w:vAlign w:val="bottom"/>
          </w:tcPr>
          <w:p w:rsidR="00F02818" w:rsidRPr="00DF3703" w:rsidRDefault="006B7D88" w:rsidP="00687675">
            <w:pPr>
              <w:pStyle w:val="TableHeadingRight"/>
              <w:jc w:val="left"/>
              <w:rPr>
                <w:rFonts w:ascii="Arial" w:hAnsi="Arial" w:cs="Arial"/>
                <w:sz w:val="20"/>
              </w:rPr>
            </w:pPr>
            <w:r w:rsidRPr="00DF3703">
              <w:rPr>
                <w:rFonts w:ascii="Arial" w:hAnsi="Arial" w:cs="Arial"/>
                <w:sz w:val="20"/>
              </w:rPr>
              <w:t>Total Australia</w:t>
            </w:r>
          </w:p>
        </w:tc>
        <w:tc>
          <w:tcPr>
            <w:tcW w:w="1251" w:type="pct"/>
            <w:tcBorders>
              <w:top w:val="single" w:sz="12" w:space="0" w:color="002060"/>
              <w:bottom w:val="single" w:sz="12" w:space="0" w:color="002776"/>
            </w:tcBorders>
            <w:vAlign w:val="bottom"/>
          </w:tcPr>
          <w:p w:rsidR="00F02818" w:rsidRPr="00DF3703" w:rsidRDefault="00F02818" w:rsidP="00687675">
            <w:pPr>
              <w:jc w:val="right"/>
              <w:rPr>
                <w:rFonts w:ascii="Arial" w:hAnsi="Arial" w:cs="Arial"/>
                <w:sz w:val="20"/>
              </w:rPr>
            </w:pPr>
          </w:p>
        </w:tc>
        <w:tc>
          <w:tcPr>
            <w:tcW w:w="1251" w:type="pct"/>
            <w:tcBorders>
              <w:top w:val="single" w:sz="12" w:space="0" w:color="002060"/>
              <w:bottom w:val="single" w:sz="12" w:space="0" w:color="002776"/>
            </w:tcBorders>
            <w:vAlign w:val="bottom"/>
          </w:tcPr>
          <w:p w:rsidR="00F02818" w:rsidRPr="00DF3703" w:rsidRDefault="006B7D88" w:rsidP="00F02818">
            <w:pPr>
              <w:jc w:val="right"/>
              <w:rPr>
                <w:rFonts w:ascii="Arial" w:hAnsi="Arial" w:cs="Arial"/>
                <w:sz w:val="20"/>
              </w:rPr>
            </w:pPr>
            <w:r w:rsidRPr="00DF3703">
              <w:rPr>
                <w:rFonts w:ascii="Arial" w:hAnsi="Arial" w:cs="Arial"/>
                <w:sz w:val="20"/>
              </w:rPr>
              <w:t>98</w:t>
            </w:r>
            <w:r w:rsidR="0064425C" w:rsidRPr="00DF3703">
              <w:rPr>
                <w:rFonts w:ascii="Arial" w:hAnsi="Arial" w:cs="Arial"/>
                <w:sz w:val="20"/>
              </w:rPr>
              <w:t>.0</w:t>
            </w:r>
          </w:p>
        </w:tc>
        <w:tc>
          <w:tcPr>
            <w:tcW w:w="1249" w:type="pct"/>
            <w:tcBorders>
              <w:top w:val="single" w:sz="12" w:space="0" w:color="002060"/>
              <w:bottom w:val="single" w:sz="12" w:space="0" w:color="002776"/>
            </w:tcBorders>
            <w:vAlign w:val="bottom"/>
          </w:tcPr>
          <w:p w:rsidR="00F02818" w:rsidRPr="00DF3703" w:rsidRDefault="006B7D88" w:rsidP="00F02818">
            <w:pPr>
              <w:jc w:val="right"/>
              <w:rPr>
                <w:rFonts w:ascii="Arial" w:hAnsi="Arial" w:cs="Arial"/>
                <w:sz w:val="20"/>
              </w:rPr>
            </w:pPr>
            <w:r w:rsidRPr="00DF3703">
              <w:rPr>
                <w:rFonts w:ascii="Arial" w:hAnsi="Arial" w:cs="Arial"/>
                <w:sz w:val="20"/>
              </w:rPr>
              <w:t>881</w:t>
            </w:r>
          </w:p>
        </w:tc>
      </w:tr>
    </w:tbl>
    <w:p w:rsidR="00160F54" w:rsidRPr="00DF3703" w:rsidRDefault="006B7D88" w:rsidP="00160F54">
      <w:pPr>
        <w:pStyle w:val="Source"/>
        <w:rPr>
          <w:rFonts w:ascii="Arial" w:hAnsi="Arial"/>
        </w:rPr>
      </w:pPr>
      <w:r w:rsidRPr="00DF3703">
        <w:rPr>
          <w:rFonts w:ascii="Arial" w:hAnsi="Arial"/>
        </w:rPr>
        <w:t>Source: Deloitte Access Economics estimates</w:t>
      </w:r>
    </w:p>
    <w:p w:rsidR="00B04FEB" w:rsidRPr="00DF3703" w:rsidRDefault="00B04FEB" w:rsidP="009B7073">
      <w:pPr>
        <w:pStyle w:val="BodyText"/>
        <w:rPr>
          <w:rFonts w:ascii="Arial" w:hAnsi="Arial" w:cs="Arial"/>
        </w:rPr>
      </w:pPr>
    </w:p>
    <w:p w:rsidR="00A60293" w:rsidRPr="00DF3703" w:rsidRDefault="006B7D88" w:rsidP="003E6A5C">
      <w:pPr>
        <w:pStyle w:val="Heading1"/>
        <w:ind w:left="0" w:firstLine="0"/>
        <w:rPr>
          <w:rFonts w:ascii="Segoe UI" w:hAnsi="Segoe UI" w:cs="Segoe UI"/>
        </w:rPr>
      </w:pPr>
      <w:bookmarkStart w:id="132" w:name="_Ref335204677"/>
      <w:bookmarkStart w:id="133" w:name="_Ref340911545"/>
      <w:bookmarkStart w:id="134" w:name="_Toc355700997"/>
      <w:r w:rsidRPr="00DF3703">
        <w:rPr>
          <w:rFonts w:ascii="Segoe UI" w:hAnsi="Segoe UI" w:cs="Segoe UI"/>
        </w:rPr>
        <w:lastRenderedPageBreak/>
        <w:t>Economic contribution</w:t>
      </w:r>
      <w:bookmarkEnd w:id="132"/>
      <w:bookmarkEnd w:id="133"/>
      <w:r w:rsidRPr="00DF3703">
        <w:rPr>
          <w:rFonts w:ascii="Segoe UI" w:hAnsi="Segoe UI" w:cs="Segoe UI"/>
        </w:rPr>
        <w:t xml:space="preserve"> – summary</w:t>
      </w:r>
      <w:bookmarkEnd w:id="134"/>
    </w:p>
    <w:p w:rsidR="00E76C6A" w:rsidRPr="00DF3703" w:rsidRDefault="006B7D88" w:rsidP="00A72526">
      <w:pPr>
        <w:pStyle w:val="BodyText"/>
        <w:rPr>
          <w:rFonts w:ascii="Arial" w:hAnsi="Arial" w:cs="Arial"/>
        </w:rPr>
      </w:pPr>
      <w:r w:rsidRPr="00DF3703">
        <w:rPr>
          <w:rFonts w:ascii="Arial" w:hAnsi="Arial" w:cs="Arial"/>
        </w:rPr>
        <w:t xml:space="preserve">The previous chapters outline the economic contribution of </w:t>
      </w:r>
      <w:r w:rsidR="004B5E16" w:rsidRPr="00DF3703">
        <w:rPr>
          <w:rFonts w:ascii="Arial" w:hAnsi="Arial" w:cs="Arial"/>
        </w:rPr>
        <w:t xml:space="preserve">tourism, commercial fishing and aquaculture, recreation, and scientific research and </w:t>
      </w:r>
      <w:r w:rsidR="00F943D7" w:rsidRPr="00DF3703">
        <w:rPr>
          <w:rFonts w:ascii="Arial" w:hAnsi="Arial" w:cs="Arial"/>
        </w:rPr>
        <w:t>R</w:t>
      </w:r>
      <w:r w:rsidR="004B5E16" w:rsidRPr="00DF3703">
        <w:rPr>
          <w:rFonts w:ascii="Arial" w:hAnsi="Arial" w:cs="Arial"/>
        </w:rPr>
        <w:t>eef management</w:t>
      </w:r>
      <w:r w:rsidRPr="00DF3703">
        <w:rPr>
          <w:rFonts w:ascii="Arial" w:hAnsi="Arial" w:cs="Arial"/>
        </w:rPr>
        <w:t xml:space="preserve">.  This chapter </w:t>
      </w:r>
      <w:r w:rsidR="003E5C83" w:rsidRPr="00DF3703">
        <w:rPr>
          <w:rFonts w:ascii="Arial" w:hAnsi="Arial" w:cs="Arial"/>
        </w:rPr>
        <w:t xml:space="preserve">provides a summary of those results and </w:t>
      </w:r>
      <w:r w:rsidRPr="00DF3703">
        <w:rPr>
          <w:rFonts w:ascii="Arial" w:hAnsi="Arial" w:cs="Arial"/>
        </w:rPr>
        <w:t>also provides some discussion on how the analysis can be built upon for future economic contribution studies.</w:t>
      </w:r>
    </w:p>
    <w:p w:rsidR="00ED007C" w:rsidRPr="00DF3703" w:rsidRDefault="006B7D88" w:rsidP="00A72526">
      <w:pPr>
        <w:pStyle w:val="BodyText"/>
        <w:rPr>
          <w:rFonts w:ascii="Arial" w:hAnsi="Arial" w:cs="Arial"/>
        </w:rPr>
      </w:pPr>
      <w:r w:rsidRPr="00DF3703">
        <w:rPr>
          <w:rFonts w:ascii="Arial" w:hAnsi="Arial" w:cs="Arial"/>
        </w:rPr>
        <w:t>The I</w:t>
      </w:r>
      <w:r w:rsidR="004B5E16" w:rsidRPr="00DF3703">
        <w:rPr>
          <w:rFonts w:ascii="Arial" w:hAnsi="Arial" w:cs="Arial"/>
        </w:rPr>
        <w:t>nput-</w:t>
      </w:r>
      <w:r w:rsidRPr="00DF3703">
        <w:rPr>
          <w:rFonts w:ascii="Arial" w:hAnsi="Arial" w:cs="Arial"/>
        </w:rPr>
        <w:t>O</w:t>
      </w:r>
      <w:r w:rsidR="004B5E16" w:rsidRPr="00DF3703">
        <w:rPr>
          <w:rFonts w:ascii="Arial" w:hAnsi="Arial" w:cs="Arial"/>
        </w:rPr>
        <w:t>utput</w:t>
      </w:r>
      <w:r w:rsidRPr="00DF3703">
        <w:rPr>
          <w:rFonts w:ascii="Arial" w:hAnsi="Arial" w:cs="Arial"/>
        </w:rPr>
        <w:t xml:space="preserve"> analysis has been constructed for three nested areas:</w:t>
      </w:r>
    </w:p>
    <w:p w:rsidR="00747DEC" w:rsidRPr="00DF3703" w:rsidRDefault="006B7D88" w:rsidP="00ED007C">
      <w:pPr>
        <w:pStyle w:val="Bullet1"/>
        <w:rPr>
          <w:rFonts w:ascii="Arial" w:hAnsi="Arial"/>
        </w:rPr>
      </w:pPr>
      <w:r w:rsidRPr="00DF3703">
        <w:rPr>
          <w:rFonts w:ascii="Arial" w:hAnsi="Arial"/>
        </w:rPr>
        <w:t xml:space="preserve">The </w:t>
      </w:r>
      <w:r w:rsidR="00036279" w:rsidRPr="00DF3703">
        <w:rPr>
          <w:rFonts w:ascii="Arial" w:hAnsi="Arial"/>
        </w:rPr>
        <w:t>Reef</w:t>
      </w:r>
      <w:r w:rsidRPr="00DF3703">
        <w:rPr>
          <w:rFonts w:ascii="Arial" w:hAnsi="Arial"/>
        </w:rPr>
        <w:t xml:space="preserve"> </w:t>
      </w:r>
      <w:r w:rsidR="003C4DCF" w:rsidRPr="00DF3703">
        <w:rPr>
          <w:rFonts w:ascii="Arial" w:hAnsi="Arial"/>
        </w:rPr>
        <w:t>catchment</w:t>
      </w:r>
      <w:r w:rsidRPr="00DF3703">
        <w:rPr>
          <w:rFonts w:ascii="Arial" w:hAnsi="Arial"/>
        </w:rPr>
        <w:t>;</w:t>
      </w:r>
    </w:p>
    <w:p w:rsidR="00747DEC" w:rsidRPr="00DF3703" w:rsidRDefault="006B7D88" w:rsidP="00ED007C">
      <w:pPr>
        <w:pStyle w:val="Bullet1"/>
        <w:rPr>
          <w:rFonts w:ascii="Arial" w:hAnsi="Arial"/>
        </w:rPr>
      </w:pPr>
      <w:r w:rsidRPr="00DF3703">
        <w:rPr>
          <w:rFonts w:ascii="Arial" w:hAnsi="Arial"/>
        </w:rPr>
        <w:t>Queensland; and</w:t>
      </w:r>
    </w:p>
    <w:p w:rsidR="00747DEC" w:rsidRPr="00DF3703" w:rsidRDefault="006B7D88" w:rsidP="00ED007C">
      <w:pPr>
        <w:pStyle w:val="Bullet1"/>
        <w:rPr>
          <w:rFonts w:ascii="Arial" w:hAnsi="Arial"/>
        </w:rPr>
      </w:pPr>
      <w:r w:rsidRPr="00DF3703">
        <w:rPr>
          <w:rFonts w:ascii="Arial" w:hAnsi="Arial"/>
        </w:rPr>
        <w:t>Australia.</w:t>
      </w:r>
    </w:p>
    <w:p w:rsidR="0019232A" w:rsidRPr="00DF3703" w:rsidRDefault="006B7D88" w:rsidP="001611A7">
      <w:pPr>
        <w:pStyle w:val="Heading2"/>
        <w:rPr>
          <w:rFonts w:ascii="Arial" w:hAnsi="Arial" w:cs="Arial"/>
          <w:sz w:val="32"/>
          <w:szCs w:val="32"/>
        </w:rPr>
      </w:pPr>
      <w:bookmarkStart w:id="135" w:name="_Toc345918920"/>
      <w:bookmarkStart w:id="136" w:name="_Toc355700998"/>
      <w:bookmarkEnd w:id="135"/>
      <w:r w:rsidRPr="00DF3703">
        <w:rPr>
          <w:rFonts w:ascii="Arial" w:hAnsi="Arial" w:cs="Arial"/>
          <w:sz w:val="32"/>
          <w:szCs w:val="32"/>
        </w:rPr>
        <w:t>Summary of economic contributions</w:t>
      </w:r>
      <w:bookmarkEnd w:id="136"/>
    </w:p>
    <w:p w:rsidR="00747DEC" w:rsidRPr="00DF3703" w:rsidRDefault="006B7D88" w:rsidP="00747DEC">
      <w:pPr>
        <w:pStyle w:val="BodyText"/>
        <w:rPr>
          <w:rFonts w:ascii="Arial" w:hAnsi="Arial" w:cs="Arial"/>
        </w:rPr>
      </w:pPr>
      <w:r w:rsidRPr="00DF3703">
        <w:rPr>
          <w:rFonts w:ascii="Arial" w:hAnsi="Arial" w:cs="Arial"/>
        </w:rPr>
        <w:t>The</w:t>
      </w:r>
      <w:r w:rsidR="004B5E16" w:rsidRPr="00DF3703">
        <w:rPr>
          <w:rFonts w:ascii="Arial" w:hAnsi="Arial" w:cs="Arial"/>
        </w:rPr>
        <w:t xml:space="preserve"> total</w:t>
      </w:r>
      <w:r w:rsidRPr="00DF3703">
        <w:rPr>
          <w:rFonts w:ascii="Arial" w:hAnsi="Arial" w:cs="Arial"/>
        </w:rPr>
        <w:t xml:space="preserve"> estimated economic contribution of activity in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to Australia is summarised in </w:t>
      </w:r>
      <w:fldSimple w:instr=" REF _Ref340642773 \r \h  \* MERGEFORMAT ">
        <w:r w:rsidR="00536D7E" w:rsidRPr="00536D7E">
          <w:rPr>
            <w:rFonts w:ascii="Arial" w:hAnsi="Arial" w:cs="Arial"/>
          </w:rPr>
          <w:t>Table 7.1</w:t>
        </w:r>
      </w:fldSimple>
      <w:r w:rsidRPr="00DF3703">
        <w:rPr>
          <w:rFonts w:ascii="Arial" w:hAnsi="Arial" w:cs="Arial"/>
        </w:rPr>
        <w:t xml:space="preserve">. Detail on each of the activities is provided in the sub-sections that follow.  </w:t>
      </w:r>
    </w:p>
    <w:p w:rsidR="00747DEC" w:rsidRPr="00DF3703" w:rsidRDefault="006B7D88" w:rsidP="00FF065A">
      <w:pPr>
        <w:pStyle w:val="CaptionTable"/>
        <w:ind w:left="0"/>
        <w:rPr>
          <w:rFonts w:ascii="Arial" w:hAnsi="Arial" w:cs="Arial"/>
        </w:rPr>
      </w:pPr>
      <w:bookmarkStart w:id="137" w:name="_Ref340642773"/>
      <w:bookmarkStart w:id="138" w:name="_Toc355701068"/>
      <w:r w:rsidRPr="00DF3703">
        <w:rPr>
          <w:rFonts w:ascii="Arial" w:hAnsi="Arial" w:cs="Arial"/>
        </w:rPr>
        <w:t xml:space="preserve">: Economic contributions of the </w:t>
      </w:r>
      <w:r w:rsidR="004B5E16" w:rsidRPr="00DF3703">
        <w:rPr>
          <w:rFonts w:ascii="Arial" w:hAnsi="Arial" w:cs="Arial"/>
        </w:rPr>
        <w:t>Great Barrier Reef World Heritage Area</w:t>
      </w:r>
      <w:r w:rsidRPr="00DF3703">
        <w:rPr>
          <w:rFonts w:ascii="Arial" w:hAnsi="Arial" w:cs="Arial"/>
        </w:rPr>
        <w:t xml:space="preserve"> to Australia, 2012</w:t>
      </w:r>
      <w:bookmarkEnd w:id="137"/>
      <w:bookmarkEnd w:id="138"/>
    </w:p>
    <w:tbl>
      <w:tblPr>
        <w:tblStyle w:val="TableAEGrey"/>
        <w:tblW w:w="5000" w:type="pct"/>
        <w:tblLook w:val="04A0"/>
      </w:tblPr>
      <w:tblGrid>
        <w:gridCol w:w="2109"/>
        <w:gridCol w:w="2109"/>
        <w:gridCol w:w="2109"/>
        <w:gridCol w:w="2109"/>
      </w:tblGrid>
      <w:tr w:rsidR="00747DEC" w:rsidRPr="00DF3703" w:rsidTr="00747DEC">
        <w:trPr>
          <w:cnfStyle w:val="100000000000"/>
        </w:trPr>
        <w:tc>
          <w:tcPr>
            <w:tcW w:w="1250" w:type="pct"/>
          </w:tcPr>
          <w:p w:rsidR="00747DEC" w:rsidRPr="00DF3703" w:rsidRDefault="00747DEC" w:rsidP="00747DEC">
            <w:pPr>
              <w:pStyle w:val="TableHeadingCentre"/>
              <w:rPr>
                <w:rFonts w:ascii="Arial" w:hAnsi="Arial" w:cs="Arial"/>
              </w:rPr>
            </w:pPr>
          </w:p>
        </w:tc>
        <w:tc>
          <w:tcPr>
            <w:tcW w:w="1250" w:type="pct"/>
          </w:tcPr>
          <w:p w:rsidR="00747DEC" w:rsidRPr="00DF3703" w:rsidRDefault="006B7D88" w:rsidP="00747DEC">
            <w:pPr>
              <w:pStyle w:val="TableHeadingCentre"/>
              <w:rPr>
                <w:rFonts w:ascii="Arial" w:hAnsi="Arial" w:cs="Arial"/>
              </w:rPr>
            </w:pPr>
            <w:r w:rsidRPr="00DF3703">
              <w:rPr>
                <w:rFonts w:ascii="Arial" w:hAnsi="Arial" w:cs="Arial"/>
              </w:rPr>
              <w:t>Direct expenditure ($m)</w:t>
            </w:r>
          </w:p>
        </w:tc>
        <w:tc>
          <w:tcPr>
            <w:tcW w:w="1250" w:type="pct"/>
          </w:tcPr>
          <w:p w:rsidR="00B612C5" w:rsidRPr="00DF3703" w:rsidRDefault="006B7D88" w:rsidP="00747DEC">
            <w:pPr>
              <w:pStyle w:val="TableHeadingCentre"/>
              <w:rPr>
                <w:rFonts w:ascii="Arial" w:hAnsi="Arial" w:cs="Arial"/>
              </w:rPr>
            </w:pPr>
            <w:r w:rsidRPr="00DF3703">
              <w:rPr>
                <w:rFonts w:ascii="Arial" w:hAnsi="Arial" w:cs="Arial"/>
              </w:rPr>
              <w:t xml:space="preserve">Value-added </w:t>
            </w:r>
          </w:p>
          <w:p w:rsidR="00747DEC" w:rsidRPr="00DF3703" w:rsidRDefault="006B7D88" w:rsidP="00747DEC">
            <w:pPr>
              <w:pStyle w:val="TableHeadingCentre"/>
              <w:rPr>
                <w:rFonts w:ascii="Arial" w:hAnsi="Arial" w:cs="Arial"/>
              </w:rPr>
            </w:pPr>
            <w:r w:rsidRPr="00DF3703">
              <w:rPr>
                <w:rFonts w:ascii="Arial" w:hAnsi="Arial" w:cs="Arial"/>
              </w:rPr>
              <w:t>($m)</w:t>
            </w:r>
          </w:p>
        </w:tc>
        <w:tc>
          <w:tcPr>
            <w:tcW w:w="1250" w:type="pct"/>
          </w:tcPr>
          <w:p w:rsidR="00747DEC" w:rsidRPr="00DF3703" w:rsidRDefault="006B7D88" w:rsidP="00747DEC">
            <w:pPr>
              <w:pStyle w:val="TableHeadingCentre"/>
              <w:rPr>
                <w:rFonts w:ascii="Arial" w:hAnsi="Arial" w:cs="Arial"/>
              </w:rPr>
            </w:pPr>
            <w:r w:rsidRPr="00DF3703">
              <w:rPr>
                <w:rFonts w:ascii="Arial" w:hAnsi="Arial" w:cs="Arial"/>
              </w:rPr>
              <w:t>Employment</w:t>
            </w:r>
          </w:p>
          <w:p w:rsidR="00B612C5" w:rsidRPr="00DF3703" w:rsidRDefault="006B7D88" w:rsidP="00747DEC">
            <w:pPr>
              <w:pStyle w:val="TableHeadingCentre"/>
              <w:rPr>
                <w:rFonts w:ascii="Arial" w:hAnsi="Arial" w:cs="Arial"/>
              </w:rPr>
            </w:pPr>
            <w:r w:rsidRPr="00DF3703">
              <w:rPr>
                <w:rFonts w:ascii="Arial" w:hAnsi="Arial" w:cs="Arial"/>
              </w:rPr>
              <w:t>(FTE)</w:t>
            </w:r>
          </w:p>
        </w:tc>
      </w:tr>
      <w:tr w:rsidR="00316FA2" w:rsidRPr="00DF3703" w:rsidTr="00BF302E">
        <w:tc>
          <w:tcPr>
            <w:tcW w:w="1250" w:type="pct"/>
          </w:tcPr>
          <w:p w:rsidR="00316FA2" w:rsidRPr="00DF3703" w:rsidRDefault="006B7D88" w:rsidP="00747DEC">
            <w:pPr>
              <w:pStyle w:val="TabletextLeft"/>
              <w:rPr>
                <w:rFonts w:ascii="Arial" w:hAnsi="Arial" w:cs="Arial"/>
                <w:sz w:val="21"/>
                <w:szCs w:val="21"/>
              </w:rPr>
            </w:pPr>
            <w:r w:rsidRPr="00DF3703">
              <w:rPr>
                <w:rFonts w:ascii="Arial" w:hAnsi="Arial" w:cs="Arial"/>
                <w:sz w:val="21"/>
                <w:szCs w:val="21"/>
              </w:rPr>
              <w:t>Tourism</w:t>
            </w:r>
          </w:p>
        </w:tc>
        <w:tc>
          <w:tcPr>
            <w:tcW w:w="1250" w:type="pct"/>
            <w:vAlign w:val="center"/>
          </w:tcPr>
          <w:p w:rsidR="00316FA2" w:rsidRPr="00DF3703" w:rsidRDefault="006B7D88" w:rsidP="00BF302E">
            <w:pPr>
              <w:jc w:val="right"/>
              <w:rPr>
                <w:rFonts w:ascii="Arial" w:hAnsi="Arial" w:cs="Arial"/>
                <w:color w:val="000000"/>
                <w:sz w:val="21"/>
                <w:szCs w:val="21"/>
              </w:rPr>
            </w:pPr>
            <w:r w:rsidRPr="00DF3703">
              <w:rPr>
                <w:rFonts w:ascii="Arial" w:hAnsi="Arial" w:cs="Arial"/>
                <w:color w:val="000000"/>
                <w:sz w:val="21"/>
                <w:szCs w:val="21"/>
              </w:rPr>
              <w:t>6,410.6</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5,175.6</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64,338</w:t>
            </w:r>
          </w:p>
        </w:tc>
      </w:tr>
      <w:tr w:rsidR="00316FA2" w:rsidRPr="00DF3703" w:rsidTr="00BF302E">
        <w:tc>
          <w:tcPr>
            <w:tcW w:w="1250" w:type="pct"/>
          </w:tcPr>
          <w:p w:rsidR="00316FA2" w:rsidRPr="00DF3703" w:rsidRDefault="006B7D88" w:rsidP="00747DEC">
            <w:pPr>
              <w:pStyle w:val="TabletextLeft"/>
              <w:rPr>
                <w:rFonts w:ascii="Arial" w:hAnsi="Arial" w:cs="Arial"/>
                <w:sz w:val="21"/>
                <w:szCs w:val="21"/>
              </w:rPr>
            </w:pPr>
            <w:r w:rsidRPr="00DF3703">
              <w:rPr>
                <w:rFonts w:ascii="Arial" w:hAnsi="Arial" w:cs="Arial"/>
                <w:sz w:val="21"/>
                <w:szCs w:val="21"/>
              </w:rPr>
              <w:t>Recreation</w:t>
            </w:r>
          </w:p>
        </w:tc>
        <w:tc>
          <w:tcPr>
            <w:tcW w:w="1250" w:type="pct"/>
            <w:vAlign w:val="center"/>
          </w:tcPr>
          <w:p w:rsidR="00316FA2" w:rsidRPr="00DF3703" w:rsidRDefault="006B7D88" w:rsidP="00BF302E">
            <w:pPr>
              <w:jc w:val="right"/>
              <w:rPr>
                <w:rFonts w:ascii="Arial" w:hAnsi="Arial" w:cs="Arial"/>
                <w:color w:val="000000"/>
                <w:sz w:val="21"/>
                <w:szCs w:val="21"/>
              </w:rPr>
            </w:pPr>
            <w:r w:rsidRPr="00DF3703">
              <w:rPr>
                <w:rFonts w:ascii="Arial" w:hAnsi="Arial" w:cs="Arial"/>
                <w:color w:val="000000"/>
                <w:sz w:val="21"/>
                <w:szCs w:val="21"/>
              </w:rPr>
              <w:t>332.4</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243.9</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2,785</w:t>
            </w:r>
          </w:p>
        </w:tc>
      </w:tr>
      <w:tr w:rsidR="00316FA2" w:rsidRPr="00DF3703" w:rsidTr="00BF302E">
        <w:tc>
          <w:tcPr>
            <w:tcW w:w="1250" w:type="pct"/>
          </w:tcPr>
          <w:p w:rsidR="00316FA2" w:rsidRPr="00DF3703" w:rsidRDefault="006B7D88" w:rsidP="00747DEC">
            <w:pPr>
              <w:pStyle w:val="TabletextLeft"/>
              <w:rPr>
                <w:rFonts w:ascii="Arial" w:hAnsi="Arial" w:cs="Arial"/>
                <w:sz w:val="21"/>
                <w:szCs w:val="21"/>
              </w:rPr>
            </w:pPr>
            <w:r w:rsidRPr="00DF3703">
              <w:rPr>
                <w:rFonts w:ascii="Arial" w:hAnsi="Arial" w:cs="Arial"/>
                <w:sz w:val="21"/>
                <w:szCs w:val="21"/>
              </w:rPr>
              <w:t>Commercial Fishing</w:t>
            </w:r>
          </w:p>
        </w:tc>
        <w:tc>
          <w:tcPr>
            <w:tcW w:w="1250" w:type="pct"/>
            <w:vAlign w:val="center"/>
          </w:tcPr>
          <w:p w:rsidR="00316FA2" w:rsidRPr="00DF3703" w:rsidRDefault="006B7D88" w:rsidP="00BF302E">
            <w:pPr>
              <w:jc w:val="right"/>
              <w:rPr>
                <w:rFonts w:ascii="Arial" w:hAnsi="Arial" w:cs="Arial"/>
                <w:color w:val="000000"/>
                <w:sz w:val="21"/>
                <w:szCs w:val="21"/>
              </w:rPr>
            </w:pPr>
            <w:r w:rsidRPr="00DF3703">
              <w:rPr>
                <w:rFonts w:ascii="Arial" w:hAnsi="Arial" w:cs="Arial"/>
                <w:color w:val="000000"/>
                <w:sz w:val="21"/>
                <w:szCs w:val="21"/>
              </w:rPr>
              <w:t>192.5</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160.3</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975</w:t>
            </w:r>
          </w:p>
        </w:tc>
      </w:tr>
      <w:tr w:rsidR="00316FA2" w:rsidRPr="00DF3703" w:rsidTr="00BF302E">
        <w:tc>
          <w:tcPr>
            <w:tcW w:w="1250" w:type="pct"/>
          </w:tcPr>
          <w:p w:rsidR="00316FA2" w:rsidRPr="00DF3703" w:rsidRDefault="006B7D88" w:rsidP="00747DEC">
            <w:pPr>
              <w:pStyle w:val="TabletextLeft"/>
              <w:rPr>
                <w:rFonts w:ascii="Arial" w:hAnsi="Arial" w:cs="Arial"/>
                <w:sz w:val="21"/>
                <w:szCs w:val="21"/>
              </w:rPr>
            </w:pPr>
            <w:r w:rsidRPr="00DF3703">
              <w:rPr>
                <w:rFonts w:ascii="Arial" w:hAnsi="Arial" w:cs="Arial"/>
                <w:sz w:val="21"/>
                <w:szCs w:val="21"/>
              </w:rPr>
              <w:t>Scientific research</w:t>
            </w:r>
            <w:r w:rsidR="007F0C11" w:rsidRPr="00DF3703">
              <w:rPr>
                <w:rFonts w:ascii="Arial" w:hAnsi="Arial" w:cs="Arial"/>
                <w:sz w:val="21"/>
                <w:szCs w:val="21"/>
              </w:rPr>
              <w:t xml:space="preserve"> &amp; management</w:t>
            </w:r>
          </w:p>
        </w:tc>
        <w:tc>
          <w:tcPr>
            <w:tcW w:w="1250" w:type="pct"/>
            <w:vAlign w:val="center"/>
          </w:tcPr>
          <w:p w:rsidR="00316FA2" w:rsidRPr="00DF3703" w:rsidRDefault="006B7D88" w:rsidP="00BF302E">
            <w:pPr>
              <w:jc w:val="right"/>
              <w:rPr>
                <w:rFonts w:ascii="Arial" w:hAnsi="Arial" w:cs="Arial"/>
                <w:color w:val="000000"/>
                <w:sz w:val="21"/>
                <w:szCs w:val="21"/>
              </w:rPr>
            </w:pPr>
            <w:r w:rsidRPr="00DF3703">
              <w:rPr>
                <w:rFonts w:ascii="Arial" w:hAnsi="Arial" w:cs="Arial"/>
                <w:color w:val="000000"/>
                <w:sz w:val="21"/>
                <w:szCs w:val="21"/>
              </w:rPr>
              <w:t>106.1</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98.0</w:t>
            </w:r>
          </w:p>
        </w:tc>
        <w:tc>
          <w:tcPr>
            <w:tcW w:w="1250" w:type="pct"/>
            <w:vAlign w:val="center"/>
          </w:tcPr>
          <w:p w:rsidR="00316FA2" w:rsidRPr="00DF3703" w:rsidRDefault="006B7D88" w:rsidP="00180A93">
            <w:pPr>
              <w:jc w:val="right"/>
              <w:rPr>
                <w:rFonts w:ascii="Arial" w:hAnsi="Arial" w:cs="Arial"/>
                <w:color w:val="000000"/>
                <w:sz w:val="21"/>
                <w:szCs w:val="21"/>
              </w:rPr>
            </w:pPr>
            <w:r w:rsidRPr="00DF3703">
              <w:rPr>
                <w:rFonts w:ascii="Arial" w:hAnsi="Arial" w:cs="Arial"/>
                <w:color w:val="000000"/>
                <w:sz w:val="21"/>
                <w:szCs w:val="21"/>
              </w:rPr>
              <w:t>881</w:t>
            </w:r>
          </w:p>
        </w:tc>
      </w:tr>
      <w:tr w:rsidR="00316FA2" w:rsidRPr="00DF3703" w:rsidTr="00BF302E">
        <w:tc>
          <w:tcPr>
            <w:tcW w:w="1250" w:type="pct"/>
          </w:tcPr>
          <w:p w:rsidR="00316FA2" w:rsidRPr="00DF3703" w:rsidRDefault="006B7D88" w:rsidP="00747DEC">
            <w:pPr>
              <w:pStyle w:val="TableHeadingLeft"/>
              <w:rPr>
                <w:rFonts w:ascii="Arial" w:hAnsi="Arial" w:cs="Arial"/>
              </w:rPr>
            </w:pPr>
            <w:r w:rsidRPr="00DF3703">
              <w:rPr>
                <w:rFonts w:ascii="Arial" w:hAnsi="Arial" w:cs="Arial"/>
              </w:rPr>
              <w:t>Total</w:t>
            </w:r>
          </w:p>
        </w:tc>
        <w:tc>
          <w:tcPr>
            <w:tcW w:w="1250" w:type="pct"/>
            <w:vAlign w:val="center"/>
          </w:tcPr>
          <w:p w:rsidR="00316FA2" w:rsidRPr="00DF3703" w:rsidRDefault="006B7D88" w:rsidP="00BF302E">
            <w:pPr>
              <w:jc w:val="right"/>
              <w:rPr>
                <w:rFonts w:ascii="Arial" w:hAnsi="Arial" w:cs="Arial"/>
                <w:b/>
                <w:bCs/>
                <w:color w:val="002776"/>
                <w:szCs w:val="22"/>
              </w:rPr>
            </w:pPr>
            <w:r w:rsidRPr="00DF3703">
              <w:rPr>
                <w:rFonts w:ascii="Arial" w:hAnsi="Arial" w:cs="Arial"/>
                <w:b/>
                <w:bCs/>
                <w:color w:val="002776"/>
                <w:szCs w:val="22"/>
              </w:rPr>
              <w:t>7,041.5</w:t>
            </w:r>
          </w:p>
        </w:tc>
        <w:tc>
          <w:tcPr>
            <w:tcW w:w="1250" w:type="pct"/>
            <w:vAlign w:val="center"/>
          </w:tcPr>
          <w:p w:rsidR="00316FA2" w:rsidRPr="00DF3703" w:rsidRDefault="006B7D88" w:rsidP="00180A93">
            <w:pPr>
              <w:jc w:val="right"/>
              <w:rPr>
                <w:rFonts w:ascii="Arial" w:hAnsi="Arial" w:cs="Arial"/>
                <w:b/>
                <w:bCs/>
                <w:color w:val="002776"/>
                <w:szCs w:val="22"/>
              </w:rPr>
            </w:pPr>
            <w:r w:rsidRPr="00DF3703">
              <w:rPr>
                <w:rFonts w:ascii="Arial" w:hAnsi="Arial" w:cs="Arial"/>
                <w:b/>
                <w:bCs/>
                <w:color w:val="002776"/>
                <w:szCs w:val="22"/>
              </w:rPr>
              <w:t>5,677.8</w:t>
            </w:r>
          </w:p>
        </w:tc>
        <w:tc>
          <w:tcPr>
            <w:tcW w:w="1250" w:type="pct"/>
            <w:vAlign w:val="center"/>
          </w:tcPr>
          <w:p w:rsidR="00316FA2" w:rsidRPr="00DF3703" w:rsidRDefault="006B7D88" w:rsidP="00180A93">
            <w:pPr>
              <w:jc w:val="right"/>
              <w:rPr>
                <w:rFonts w:ascii="Arial" w:hAnsi="Arial" w:cs="Arial"/>
                <w:b/>
                <w:bCs/>
                <w:color w:val="002776"/>
                <w:szCs w:val="22"/>
              </w:rPr>
            </w:pPr>
            <w:r w:rsidRPr="00DF3703">
              <w:rPr>
                <w:rFonts w:ascii="Arial" w:hAnsi="Arial" w:cs="Arial"/>
                <w:b/>
                <w:bCs/>
                <w:color w:val="002776"/>
                <w:szCs w:val="22"/>
              </w:rPr>
              <w:t>68,978</w:t>
            </w:r>
          </w:p>
        </w:tc>
      </w:tr>
    </w:tbl>
    <w:p w:rsidR="006E3A2F" w:rsidRPr="00DF3703" w:rsidRDefault="006B7D88" w:rsidP="006E3A2F">
      <w:pPr>
        <w:pStyle w:val="Source"/>
        <w:rPr>
          <w:rFonts w:ascii="Arial" w:hAnsi="Arial"/>
        </w:rPr>
      </w:pPr>
      <w:r w:rsidRPr="00DF3703">
        <w:rPr>
          <w:rFonts w:ascii="Arial" w:hAnsi="Arial"/>
        </w:rPr>
        <w:t>Source: Deloitte Access Economics estimates</w:t>
      </w:r>
    </w:p>
    <w:p w:rsidR="007C7253" w:rsidRPr="00DF3703" w:rsidRDefault="006B7D88" w:rsidP="007C7253">
      <w:pPr>
        <w:pStyle w:val="BodyText"/>
        <w:rPr>
          <w:rFonts w:ascii="Arial" w:hAnsi="Arial" w:cs="Arial"/>
        </w:rPr>
      </w:pPr>
      <w:r w:rsidRPr="00DF3703">
        <w:rPr>
          <w:rFonts w:ascii="Arial" w:hAnsi="Arial" w:cs="Arial"/>
        </w:rPr>
        <w:t xml:space="preserve">Over 90% of the </w:t>
      </w:r>
      <w:r w:rsidR="004B5E16" w:rsidRPr="00DF3703">
        <w:rPr>
          <w:rFonts w:ascii="Arial" w:hAnsi="Arial" w:cs="Arial"/>
        </w:rPr>
        <w:t>expenditure</w:t>
      </w:r>
      <w:r w:rsidRPr="00DF3703">
        <w:rPr>
          <w:rFonts w:ascii="Arial" w:hAnsi="Arial" w:cs="Arial"/>
        </w:rPr>
        <w:t xml:space="preserve"> in the region comes from tourism, and this follows throughout the economy, with tourism accounting for 91% and 93% of the region’s value-added and employment contributions to Australia respectively.</w:t>
      </w:r>
    </w:p>
    <w:p w:rsidR="009B38ED" w:rsidRPr="00DF3703" w:rsidRDefault="006B7D88" w:rsidP="007C7253">
      <w:pPr>
        <w:pStyle w:val="BodyText"/>
        <w:rPr>
          <w:rFonts w:ascii="Arial" w:hAnsi="Arial" w:cs="Arial"/>
        </w:rPr>
      </w:pPr>
      <w:r w:rsidRPr="00DF3703">
        <w:rPr>
          <w:rFonts w:ascii="Arial" w:hAnsi="Arial" w:cs="Arial"/>
        </w:rPr>
        <w:t xml:space="preserve">The Wet tropics NRM region has the highest level of modelled economic activity, with $2.7 billion in expenditure and $1.2 billion in direct value added (see </w:t>
      </w:r>
      <w:fldSimple w:instr=" REF _Ref340919523 \r \h  \* MERGEFORMAT ">
        <w:r w:rsidR="00536D7E" w:rsidRPr="00536D7E">
          <w:rPr>
            <w:rFonts w:ascii="Arial" w:hAnsi="Arial" w:cs="Arial"/>
          </w:rPr>
          <w:t>Table 7.2</w:t>
        </w:r>
      </w:fldSimple>
      <w:r w:rsidRPr="00DF3703">
        <w:rPr>
          <w:rFonts w:ascii="Arial" w:hAnsi="Arial" w:cs="Arial"/>
        </w:rPr>
        <w:t xml:space="preserve">).  Activity within the </w:t>
      </w:r>
      <w:r w:rsidR="003C4DCF" w:rsidRPr="00DF3703">
        <w:rPr>
          <w:rFonts w:ascii="Arial" w:hAnsi="Arial" w:cs="Arial"/>
        </w:rPr>
        <w:t>catchment</w:t>
      </w:r>
      <w:r w:rsidRPr="00DF3703">
        <w:rPr>
          <w:rFonts w:ascii="Arial" w:hAnsi="Arial" w:cs="Arial"/>
        </w:rPr>
        <w:t xml:space="preserve"> area also contributes significantly to other regions of Australia with about $1.3 billion in value added generated in the Rest of Queensland and Australia.</w:t>
      </w:r>
    </w:p>
    <w:p w:rsidR="009B38ED" w:rsidRPr="00DF3703" w:rsidRDefault="006B7D88" w:rsidP="00FF065A">
      <w:pPr>
        <w:pStyle w:val="CaptionTable"/>
        <w:ind w:left="0"/>
        <w:rPr>
          <w:rFonts w:ascii="Arial" w:hAnsi="Arial" w:cs="Arial"/>
        </w:rPr>
      </w:pPr>
      <w:bookmarkStart w:id="139" w:name="_Ref340919523"/>
      <w:bookmarkStart w:id="140" w:name="_Toc355701069"/>
      <w:r w:rsidRPr="00DF3703">
        <w:rPr>
          <w:rFonts w:ascii="Arial" w:hAnsi="Arial" w:cs="Arial"/>
        </w:rPr>
        <w:lastRenderedPageBreak/>
        <w:t>: Total Economic contribution by region, 2012</w:t>
      </w:r>
      <w:bookmarkEnd w:id="139"/>
      <w:bookmarkEnd w:id="140"/>
    </w:p>
    <w:tbl>
      <w:tblPr>
        <w:tblStyle w:val="TableAEGrey"/>
        <w:tblW w:w="4528" w:type="pct"/>
        <w:tblLook w:val="04A0"/>
      </w:tblPr>
      <w:tblGrid>
        <w:gridCol w:w="2681"/>
        <w:gridCol w:w="1565"/>
        <w:gridCol w:w="1426"/>
        <w:gridCol w:w="1968"/>
      </w:tblGrid>
      <w:tr w:rsidR="009B38ED" w:rsidRPr="00DF3703" w:rsidTr="00EF6A34">
        <w:trPr>
          <w:cnfStyle w:val="100000000000"/>
        </w:trPr>
        <w:tc>
          <w:tcPr>
            <w:tcW w:w="1755" w:type="pct"/>
          </w:tcPr>
          <w:p w:rsidR="009B38ED" w:rsidRPr="00DF3703" w:rsidRDefault="009B38ED" w:rsidP="009B38ED">
            <w:pPr>
              <w:pStyle w:val="TableHeadingCentre"/>
              <w:rPr>
                <w:rFonts w:ascii="Arial" w:hAnsi="Arial" w:cs="Arial"/>
              </w:rPr>
            </w:pPr>
          </w:p>
        </w:tc>
        <w:tc>
          <w:tcPr>
            <w:tcW w:w="1024" w:type="pct"/>
          </w:tcPr>
          <w:p w:rsidR="009B38ED" w:rsidRPr="00DF3703" w:rsidRDefault="006B7D88" w:rsidP="009B38ED">
            <w:pPr>
              <w:pStyle w:val="TableHeadingCentre"/>
              <w:jc w:val="right"/>
              <w:rPr>
                <w:rFonts w:ascii="Arial" w:hAnsi="Arial" w:cs="Arial"/>
              </w:rPr>
            </w:pPr>
            <w:r w:rsidRPr="00DF3703">
              <w:rPr>
                <w:rFonts w:ascii="Arial" w:hAnsi="Arial" w:cs="Arial"/>
              </w:rPr>
              <w:t>Expenditure</w:t>
            </w:r>
          </w:p>
        </w:tc>
        <w:tc>
          <w:tcPr>
            <w:tcW w:w="933" w:type="pct"/>
            <w:vAlign w:val="center"/>
          </w:tcPr>
          <w:p w:rsidR="009B38ED" w:rsidRPr="00DF3703" w:rsidRDefault="006B7D88" w:rsidP="009B38ED">
            <w:pPr>
              <w:pStyle w:val="TableHeadingCentre"/>
              <w:jc w:val="right"/>
              <w:rPr>
                <w:rFonts w:ascii="Arial" w:hAnsi="Arial" w:cs="Arial"/>
              </w:rPr>
            </w:pPr>
            <w:r w:rsidRPr="00DF3703">
              <w:rPr>
                <w:rFonts w:ascii="Arial" w:hAnsi="Arial" w:cs="Arial"/>
              </w:rPr>
              <w:t>Value-added</w:t>
            </w:r>
          </w:p>
          <w:p w:rsidR="009B38ED" w:rsidRPr="00DF3703" w:rsidRDefault="006B7D88" w:rsidP="009B38ED">
            <w:pPr>
              <w:pStyle w:val="TableHeadingCentre"/>
              <w:jc w:val="right"/>
              <w:rPr>
                <w:rFonts w:ascii="Arial" w:hAnsi="Arial" w:cs="Arial"/>
              </w:rPr>
            </w:pPr>
            <w:r w:rsidRPr="00DF3703">
              <w:rPr>
                <w:rFonts w:ascii="Arial" w:hAnsi="Arial" w:cs="Arial"/>
              </w:rPr>
              <w:t>($m)</w:t>
            </w:r>
          </w:p>
        </w:tc>
        <w:tc>
          <w:tcPr>
            <w:tcW w:w="1288" w:type="pct"/>
            <w:vAlign w:val="center"/>
          </w:tcPr>
          <w:p w:rsidR="009B38ED" w:rsidRPr="00DF3703" w:rsidRDefault="006B7D88" w:rsidP="009B38ED">
            <w:pPr>
              <w:pStyle w:val="TableHeadingCentre"/>
              <w:jc w:val="right"/>
              <w:rPr>
                <w:rFonts w:ascii="Arial" w:hAnsi="Arial" w:cs="Arial"/>
              </w:rPr>
            </w:pPr>
            <w:r w:rsidRPr="00DF3703">
              <w:rPr>
                <w:rFonts w:ascii="Arial" w:hAnsi="Arial" w:cs="Arial"/>
              </w:rPr>
              <w:t>Employment</w:t>
            </w:r>
          </w:p>
          <w:p w:rsidR="009B38ED" w:rsidRPr="00DF3703" w:rsidRDefault="006B7D88" w:rsidP="009B38ED">
            <w:pPr>
              <w:pStyle w:val="TableHeadingCentre"/>
              <w:jc w:val="right"/>
              <w:rPr>
                <w:rFonts w:ascii="Arial" w:hAnsi="Arial" w:cs="Arial"/>
              </w:rPr>
            </w:pPr>
            <w:r w:rsidRPr="00DF3703">
              <w:rPr>
                <w:rFonts w:ascii="Arial" w:hAnsi="Arial" w:cs="Arial"/>
              </w:rPr>
              <w:t>(FTE)</w:t>
            </w:r>
          </w:p>
        </w:tc>
      </w:tr>
      <w:tr w:rsidR="00EF6A34" w:rsidRPr="00DF3703" w:rsidTr="00EF6A34">
        <w:tc>
          <w:tcPr>
            <w:tcW w:w="5000" w:type="pct"/>
            <w:gridSpan w:val="4"/>
            <w:vAlign w:val="bottom"/>
          </w:tcPr>
          <w:p w:rsidR="00EF6A34" w:rsidRPr="00DF3703" w:rsidRDefault="006B7D88" w:rsidP="00EF6A34">
            <w:pPr>
              <w:pStyle w:val="TableHeadingRight"/>
              <w:jc w:val="left"/>
              <w:rPr>
                <w:rFonts w:ascii="Arial" w:hAnsi="Arial" w:cs="Arial"/>
              </w:rPr>
            </w:pPr>
            <w:r w:rsidRPr="00DF3703">
              <w:rPr>
                <w:rFonts w:ascii="Arial" w:hAnsi="Arial" w:cs="Arial"/>
              </w:rPr>
              <w:t>Tourism, Recreational activity and Commercial fishing</w:t>
            </w:r>
          </w:p>
        </w:tc>
      </w:tr>
      <w:tr w:rsidR="00316FA2" w:rsidRPr="00DF3703" w:rsidTr="00EF6A34">
        <w:tc>
          <w:tcPr>
            <w:tcW w:w="1755" w:type="pct"/>
            <w:vAlign w:val="bottom"/>
          </w:tcPr>
          <w:p w:rsidR="00316FA2" w:rsidRPr="00DF3703" w:rsidRDefault="006B7D88" w:rsidP="009B38ED">
            <w:pPr>
              <w:pStyle w:val="TableHeadingRight"/>
              <w:jc w:val="left"/>
              <w:rPr>
                <w:rFonts w:ascii="Arial" w:hAnsi="Arial" w:cs="Arial"/>
                <w:sz w:val="20"/>
              </w:rPr>
            </w:pPr>
            <w:r w:rsidRPr="00DF3703">
              <w:rPr>
                <w:rFonts w:ascii="Arial" w:hAnsi="Arial" w:cs="Arial"/>
              </w:rPr>
              <w:t>Direct</w:t>
            </w:r>
          </w:p>
        </w:tc>
        <w:tc>
          <w:tcPr>
            <w:tcW w:w="1024" w:type="pct"/>
            <w:vAlign w:val="bottom"/>
          </w:tcPr>
          <w:p w:rsidR="00316FA2" w:rsidRPr="00DF3703" w:rsidRDefault="00316FA2" w:rsidP="00180A93">
            <w:pPr>
              <w:jc w:val="right"/>
              <w:rPr>
                <w:rFonts w:ascii="Arial" w:hAnsi="Arial" w:cs="Arial"/>
                <w:sz w:val="20"/>
              </w:rPr>
            </w:pPr>
          </w:p>
        </w:tc>
        <w:tc>
          <w:tcPr>
            <w:tcW w:w="933" w:type="pct"/>
            <w:vAlign w:val="bottom"/>
          </w:tcPr>
          <w:p w:rsidR="00316FA2" w:rsidRPr="00DF3703" w:rsidRDefault="00316FA2" w:rsidP="00180A93">
            <w:pPr>
              <w:jc w:val="right"/>
              <w:rPr>
                <w:rFonts w:ascii="Arial" w:hAnsi="Arial" w:cs="Arial"/>
                <w:sz w:val="20"/>
              </w:rPr>
            </w:pPr>
          </w:p>
        </w:tc>
        <w:tc>
          <w:tcPr>
            <w:tcW w:w="1288" w:type="pct"/>
            <w:vAlign w:val="bottom"/>
          </w:tcPr>
          <w:p w:rsidR="00316FA2" w:rsidRPr="00DF3703" w:rsidRDefault="00316FA2" w:rsidP="00180A93">
            <w:pPr>
              <w:jc w:val="right"/>
              <w:rPr>
                <w:rFonts w:ascii="Arial" w:hAnsi="Arial" w:cs="Arial"/>
                <w:sz w:val="20"/>
              </w:rPr>
            </w:pPr>
          </w:p>
        </w:tc>
      </w:tr>
      <w:tr w:rsidR="00FC735F" w:rsidRPr="00DF3703" w:rsidTr="00452009">
        <w:tc>
          <w:tcPr>
            <w:tcW w:w="1755" w:type="pct"/>
            <w:vAlign w:val="bottom"/>
          </w:tcPr>
          <w:p w:rsidR="00FC735F" w:rsidRPr="00DF3703" w:rsidRDefault="00FC735F" w:rsidP="00EF6A34">
            <w:pPr>
              <w:ind w:firstLineChars="200" w:firstLine="420"/>
              <w:rPr>
                <w:rFonts w:ascii="Arial" w:hAnsi="Arial" w:cs="Arial"/>
                <w:sz w:val="21"/>
                <w:szCs w:val="21"/>
              </w:rPr>
            </w:pPr>
            <w:r w:rsidRPr="00DF3703">
              <w:rPr>
                <w:rFonts w:ascii="Arial" w:hAnsi="Arial" w:cs="Arial"/>
                <w:sz w:val="21"/>
                <w:szCs w:val="21"/>
              </w:rPr>
              <w:t>Torres Strait</w:t>
            </w:r>
          </w:p>
        </w:tc>
        <w:tc>
          <w:tcPr>
            <w:tcW w:w="1024"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2.9</w:t>
            </w:r>
          </w:p>
        </w:tc>
        <w:tc>
          <w:tcPr>
            <w:tcW w:w="933"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1.2</w:t>
            </w:r>
          </w:p>
        </w:tc>
        <w:tc>
          <w:tcPr>
            <w:tcW w:w="1288"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18</w:t>
            </w:r>
          </w:p>
        </w:tc>
      </w:tr>
      <w:tr w:rsidR="00FC735F" w:rsidRPr="00DF3703" w:rsidTr="00452009">
        <w:tc>
          <w:tcPr>
            <w:tcW w:w="1755" w:type="pct"/>
            <w:vAlign w:val="bottom"/>
          </w:tcPr>
          <w:p w:rsidR="00FC735F" w:rsidRPr="00DF3703" w:rsidRDefault="00FC735F" w:rsidP="00EF6A34">
            <w:pPr>
              <w:ind w:firstLineChars="200" w:firstLine="420"/>
              <w:rPr>
                <w:rFonts w:ascii="Arial" w:hAnsi="Arial" w:cs="Arial"/>
                <w:sz w:val="21"/>
                <w:szCs w:val="21"/>
              </w:rPr>
            </w:pPr>
            <w:r w:rsidRPr="00DF3703">
              <w:rPr>
                <w:rFonts w:ascii="Arial" w:hAnsi="Arial" w:cs="Arial"/>
                <w:sz w:val="21"/>
                <w:szCs w:val="21"/>
              </w:rPr>
              <w:t>Cape York</w:t>
            </w:r>
          </w:p>
        </w:tc>
        <w:tc>
          <w:tcPr>
            <w:tcW w:w="1024"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234.2</w:t>
            </w:r>
          </w:p>
        </w:tc>
        <w:tc>
          <w:tcPr>
            <w:tcW w:w="933"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106.9</w:t>
            </w:r>
          </w:p>
        </w:tc>
        <w:tc>
          <w:tcPr>
            <w:tcW w:w="1288"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1,442</w:t>
            </w:r>
          </w:p>
        </w:tc>
      </w:tr>
      <w:tr w:rsidR="00FC735F" w:rsidRPr="00DF3703" w:rsidTr="00452009">
        <w:tc>
          <w:tcPr>
            <w:tcW w:w="1755" w:type="pct"/>
            <w:vAlign w:val="bottom"/>
          </w:tcPr>
          <w:p w:rsidR="00FC735F" w:rsidRPr="00DF3703" w:rsidRDefault="00FC735F" w:rsidP="00EF6A34">
            <w:pPr>
              <w:ind w:firstLineChars="200" w:firstLine="420"/>
              <w:rPr>
                <w:rFonts w:ascii="Arial" w:hAnsi="Arial" w:cs="Arial"/>
                <w:sz w:val="21"/>
                <w:szCs w:val="21"/>
              </w:rPr>
            </w:pPr>
            <w:r w:rsidRPr="00DF3703">
              <w:rPr>
                <w:rFonts w:ascii="Arial" w:hAnsi="Arial" w:cs="Arial"/>
                <w:sz w:val="21"/>
                <w:szCs w:val="21"/>
              </w:rPr>
              <w:t>Wet Tropics</w:t>
            </w:r>
          </w:p>
        </w:tc>
        <w:tc>
          <w:tcPr>
            <w:tcW w:w="1024"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2,694.4</w:t>
            </w:r>
          </w:p>
        </w:tc>
        <w:tc>
          <w:tcPr>
            <w:tcW w:w="933"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1,213.3</w:t>
            </w:r>
          </w:p>
        </w:tc>
        <w:tc>
          <w:tcPr>
            <w:tcW w:w="1288"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18,629</w:t>
            </w:r>
          </w:p>
        </w:tc>
      </w:tr>
      <w:tr w:rsidR="00FC735F" w:rsidRPr="00DF3703" w:rsidTr="00452009">
        <w:tc>
          <w:tcPr>
            <w:tcW w:w="1755" w:type="pct"/>
            <w:vAlign w:val="bottom"/>
          </w:tcPr>
          <w:p w:rsidR="00FC735F" w:rsidRPr="00DF3703" w:rsidRDefault="00FC735F" w:rsidP="00EF6A34">
            <w:pPr>
              <w:ind w:firstLineChars="200" w:firstLine="420"/>
              <w:rPr>
                <w:rFonts w:ascii="Arial" w:hAnsi="Arial" w:cs="Arial"/>
                <w:sz w:val="21"/>
                <w:szCs w:val="21"/>
              </w:rPr>
            </w:pPr>
            <w:r w:rsidRPr="00DF3703">
              <w:rPr>
                <w:rFonts w:ascii="Arial" w:hAnsi="Arial" w:cs="Arial"/>
                <w:sz w:val="21"/>
                <w:szCs w:val="21"/>
              </w:rPr>
              <w:t>Burdekin</w:t>
            </w:r>
          </w:p>
        </w:tc>
        <w:tc>
          <w:tcPr>
            <w:tcW w:w="1024"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1,167.9</w:t>
            </w:r>
          </w:p>
        </w:tc>
        <w:tc>
          <w:tcPr>
            <w:tcW w:w="933"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524.2</w:t>
            </w:r>
          </w:p>
        </w:tc>
        <w:tc>
          <w:tcPr>
            <w:tcW w:w="1288"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7,837</w:t>
            </w:r>
          </w:p>
        </w:tc>
      </w:tr>
      <w:tr w:rsidR="00FC735F" w:rsidRPr="00DF3703" w:rsidTr="00452009">
        <w:tc>
          <w:tcPr>
            <w:tcW w:w="1755" w:type="pct"/>
            <w:vAlign w:val="bottom"/>
          </w:tcPr>
          <w:p w:rsidR="00FC735F" w:rsidRPr="00DF3703" w:rsidRDefault="00FC735F" w:rsidP="00EF6A34">
            <w:pPr>
              <w:ind w:firstLineChars="200" w:firstLine="420"/>
              <w:rPr>
                <w:rFonts w:ascii="Arial" w:hAnsi="Arial" w:cs="Arial"/>
                <w:sz w:val="21"/>
                <w:szCs w:val="21"/>
              </w:rPr>
            </w:pPr>
            <w:r w:rsidRPr="00DF3703">
              <w:rPr>
                <w:rFonts w:ascii="Arial" w:hAnsi="Arial" w:cs="Arial"/>
                <w:sz w:val="21"/>
                <w:szCs w:val="21"/>
              </w:rPr>
              <w:t>Mackay-Whitsundays</w:t>
            </w:r>
          </w:p>
        </w:tc>
        <w:tc>
          <w:tcPr>
            <w:tcW w:w="1024"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1,085.9</w:t>
            </w:r>
          </w:p>
        </w:tc>
        <w:tc>
          <w:tcPr>
            <w:tcW w:w="933"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489.0</w:t>
            </w:r>
          </w:p>
        </w:tc>
        <w:tc>
          <w:tcPr>
            <w:tcW w:w="1288"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7,410</w:t>
            </w:r>
          </w:p>
        </w:tc>
      </w:tr>
      <w:tr w:rsidR="00FC735F" w:rsidRPr="00DF3703" w:rsidTr="00452009">
        <w:tc>
          <w:tcPr>
            <w:tcW w:w="1755" w:type="pct"/>
            <w:shd w:val="clear" w:color="auto" w:fill="FFFFFF" w:themeFill="background1"/>
            <w:vAlign w:val="bottom"/>
          </w:tcPr>
          <w:p w:rsidR="00FC735F" w:rsidRPr="00DF3703" w:rsidRDefault="00FC735F" w:rsidP="00EF6A34">
            <w:pPr>
              <w:ind w:firstLineChars="200" w:firstLine="420"/>
              <w:jc w:val="both"/>
              <w:rPr>
                <w:rFonts w:ascii="Arial" w:hAnsi="Arial" w:cs="Arial"/>
                <w:sz w:val="21"/>
                <w:szCs w:val="21"/>
              </w:rPr>
            </w:pPr>
            <w:r w:rsidRPr="00DF3703">
              <w:rPr>
                <w:rFonts w:ascii="Arial" w:hAnsi="Arial" w:cs="Arial"/>
                <w:sz w:val="21"/>
                <w:szCs w:val="21"/>
              </w:rPr>
              <w:t>Fitzroy</w:t>
            </w:r>
          </w:p>
        </w:tc>
        <w:tc>
          <w:tcPr>
            <w:tcW w:w="1024" w:type="pct"/>
            <w:shd w:val="clear" w:color="auto" w:fill="FFFFFF" w:themeFill="background1"/>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1,147.2</w:t>
            </w:r>
          </w:p>
        </w:tc>
        <w:tc>
          <w:tcPr>
            <w:tcW w:w="933" w:type="pct"/>
            <w:shd w:val="clear" w:color="auto" w:fill="FFFFFF" w:themeFill="background1"/>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515.7</w:t>
            </w:r>
          </w:p>
        </w:tc>
        <w:tc>
          <w:tcPr>
            <w:tcW w:w="1288" w:type="pct"/>
            <w:shd w:val="clear" w:color="auto" w:fill="FFFFFF" w:themeFill="background1"/>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7,785</w:t>
            </w:r>
          </w:p>
        </w:tc>
      </w:tr>
      <w:tr w:rsidR="00FC735F" w:rsidRPr="00DF3703" w:rsidTr="00452009">
        <w:tc>
          <w:tcPr>
            <w:tcW w:w="1755" w:type="pct"/>
            <w:vAlign w:val="bottom"/>
          </w:tcPr>
          <w:p w:rsidR="00FC735F" w:rsidRPr="00DF3703" w:rsidRDefault="00FC735F" w:rsidP="00EF6A34">
            <w:pPr>
              <w:ind w:firstLineChars="200" w:firstLine="420"/>
              <w:jc w:val="both"/>
              <w:rPr>
                <w:rFonts w:ascii="Arial" w:hAnsi="Arial" w:cs="Arial"/>
                <w:sz w:val="21"/>
                <w:szCs w:val="21"/>
              </w:rPr>
            </w:pPr>
            <w:r w:rsidRPr="00DF3703">
              <w:rPr>
                <w:rFonts w:ascii="Arial" w:hAnsi="Arial" w:cs="Arial"/>
                <w:sz w:val="21"/>
                <w:szCs w:val="21"/>
              </w:rPr>
              <w:t>Burnett-Mary</w:t>
            </w:r>
          </w:p>
        </w:tc>
        <w:tc>
          <w:tcPr>
            <w:tcW w:w="1024"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603.1</w:t>
            </w:r>
          </w:p>
        </w:tc>
        <w:tc>
          <w:tcPr>
            <w:tcW w:w="933"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267.0</w:t>
            </w:r>
          </w:p>
        </w:tc>
        <w:tc>
          <w:tcPr>
            <w:tcW w:w="1288" w:type="pct"/>
            <w:vAlign w:val="center"/>
          </w:tcPr>
          <w:p w:rsidR="00FC735F" w:rsidRPr="00DF3703" w:rsidRDefault="00FC735F" w:rsidP="00FC735F">
            <w:pPr>
              <w:jc w:val="right"/>
              <w:rPr>
                <w:rFonts w:ascii="Arial" w:hAnsi="Arial" w:cs="Arial"/>
                <w:color w:val="000000"/>
                <w:sz w:val="21"/>
                <w:szCs w:val="21"/>
              </w:rPr>
            </w:pPr>
            <w:r w:rsidRPr="00DF3703">
              <w:rPr>
                <w:rFonts w:ascii="Arial" w:hAnsi="Arial" w:cs="Arial"/>
                <w:color w:val="000000"/>
                <w:sz w:val="21"/>
                <w:szCs w:val="21"/>
              </w:rPr>
              <w:t>4,032</w:t>
            </w:r>
          </w:p>
        </w:tc>
      </w:tr>
      <w:tr w:rsidR="00316FA2" w:rsidRPr="00DF3703" w:rsidTr="00EF6A34">
        <w:tc>
          <w:tcPr>
            <w:tcW w:w="1755" w:type="pct"/>
            <w:vAlign w:val="bottom"/>
          </w:tcPr>
          <w:p w:rsidR="00316FA2" w:rsidRPr="00DF3703" w:rsidRDefault="006B7D88" w:rsidP="009B38ED">
            <w:pPr>
              <w:jc w:val="both"/>
              <w:rPr>
                <w:rFonts w:ascii="Arial" w:hAnsi="Arial" w:cs="Arial"/>
              </w:rPr>
            </w:pPr>
            <w:r w:rsidRPr="00DF3703">
              <w:rPr>
                <w:rFonts w:ascii="Arial" w:hAnsi="Arial" w:cs="Arial"/>
                <w:sz w:val="20"/>
              </w:rPr>
              <w:t>Scientific research</w:t>
            </w:r>
            <w:r w:rsidR="007F0C11" w:rsidRPr="00DF3703">
              <w:rPr>
                <w:rFonts w:ascii="Arial" w:hAnsi="Arial" w:cs="Arial"/>
                <w:sz w:val="20"/>
              </w:rPr>
              <w:t xml:space="preserve"> &amp; management</w:t>
            </w:r>
          </w:p>
        </w:tc>
        <w:tc>
          <w:tcPr>
            <w:tcW w:w="1024" w:type="pct"/>
            <w:vAlign w:val="bottom"/>
          </w:tcPr>
          <w:p w:rsidR="00316FA2" w:rsidRPr="00DF3703" w:rsidRDefault="006B7D88" w:rsidP="00180A93">
            <w:pPr>
              <w:jc w:val="right"/>
              <w:rPr>
                <w:rFonts w:ascii="Arial" w:hAnsi="Arial" w:cs="Arial"/>
                <w:sz w:val="21"/>
                <w:szCs w:val="21"/>
              </w:rPr>
            </w:pPr>
            <w:r w:rsidRPr="00DF3703">
              <w:rPr>
                <w:rFonts w:ascii="Arial" w:hAnsi="Arial" w:cs="Arial"/>
                <w:sz w:val="21"/>
                <w:szCs w:val="21"/>
              </w:rPr>
              <w:t>106.1</w:t>
            </w:r>
          </w:p>
        </w:tc>
        <w:tc>
          <w:tcPr>
            <w:tcW w:w="933" w:type="pct"/>
            <w:vAlign w:val="bottom"/>
          </w:tcPr>
          <w:p w:rsidR="00316FA2" w:rsidRPr="00DF3703" w:rsidRDefault="00B25B6B" w:rsidP="00180A93">
            <w:pPr>
              <w:jc w:val="right"/>
              <w:rPr>
                <w:rFonts w:ascii="Arial" w:hAnsi="Arial" w:cs="Arial"/>
                <w:sz w:val="21"/>
                <w:szCs w:val="21"/>
              </w:rPr>
            </w:pPr>
            <w:r w:rsidRPr="00DF3703">
              <w:rPr>
                <w:rFonts w:ascii="Arial" w:hAnsi="Arial" w:cs="Arial"/>
                <w:sz w:val="21"/>
                <w:szCs w:val="21"/>
              </w:rPr>
              <w:t>50.2</w:t>
            </w:r>
          </w:p>
        </w:tc>
        <w:tc>
          <w:tcPr>
            <w:tcW w:w="1288" w:type="pct"/>
            <w:vAlign w:val="bottom"/>
          </w:tcPr>
          <w:p w:rsidR="00316FA2" w:rsidRPr="00DF3703" w:rsidRDefault="006B7D88" w:rsidP="00180A93">
            <w:pPr>
              <w:jc w:val="right"/>
              <w:rPr>
                <w:rFonts w:ascii="Arial" w:hAnsi="Arial" w:cs="Arial"/>
                <w:sz w:val="21"/>
                <w:szCs w:val="21"/>
              </w:rPr>
            </w:pPr>
            <w:r w:rsidRPr="00DF3703">
              <w:rPr>
                <w:rFonts w:ascii="Arial" w:hAnsi="Arial" w:cs="Arial"/>
                <w:sz w:val="21"/>
                <w:szCs w:val="21"/>
              </w:rPr>
              <w:t>464</w:t>
            </w:r>
          </w:p>
        </w:tc>
      </w:tr>
      <w:tr w:rsidR="00316FA2" w:rsidRPr="00DF3703" w:rsidTr="00EF6A34">
        <w:tc>
          <w:tcPr>
            <w:tcW w:w="1755" w:type="pct"/>
            <w:vAlign w:val="bottom"/>
          </w:tcPr>
          <w:p w:rsidR="00316FA2" w:rsidRPr="00DF3703" w:rsidRDefault="006B7D88" w:rsidP="009B38ED">
            <w:pPr>
              <w:pStyle w:val="TableHeadingRight"/>
              <w:jc w:val="left"/>
              <w:rPr>
                <w:rFonts w:ascii="Arial" w:hAnsi="Arial" w:cs="Arial"/>
              </w:rPr>
            </w:pPr>
            <w:r w:rsidRPr="00DF3703">
              <w:rPr>
                <w:rFonts w:ascii="Arial" w:hAnsi="Arial" w:cs="Arial"/>
              </w:rPr>
              <w:t>Total direct</w:t>
            </w:r>
          </w:p>
        </w:tc>
        <w:tc>
          <w:tcPr>
            <w:tcW w:w="1024" w:type="pct"/>
            <w:vAlign w:val="bottom"/>
          </w:tcPr>
          <w:p w:rsidR="00316FA2" w:rsidRPr="00DF3703" w:rsidRDefault="006B7D88" w:rsidP="00180A93">
            <w:pPr>
              <w:jc w:val="right"/>
              <w:rPr>
                <w:rFonts w:ascii="Arial" w:hAnsi="Arial" w:cs="Arial"/>
                <w:b/>
                <w:color w:val="002060"/>
                <w:sz w:val="21"/>
                <w:szCs w:val="21"/>
              </w:rPr>
            </w:pPr>
            <w:r w:rsidRPr="00DF3703">
              <w:rPr>
                <w:rFonts w:ascii="Arial" w:hAnsi="Arial" w:cs="Arial"/>
                <w:b/>
                <w:color w:val="002060"/>
                <w:sz w:val="21"/>
                <w:szCs w:val="21"/>
              </w:rPr>
              <w:t>7,041.5</w:t>
            </w:r>
          </w:p>
        </w:tc>
        <w:tc>
          <w:tcPr>
            <w:tcW w:w="933" w:type="pct"/>
            <w:vAlign w:val="bottom"/>
          </w:tcPr>
          <w:p w:rsidR="00316FA2" w:rsidRPr="00DF3703" w:rsidRDefault="00B25B6B" w:rsidP="00180A93">
            <w:pPr>
              <w:jc w:val="right"/>
              <w:rPr>
                <w:rFonts w:ascii="Arial" w:hAnsi="Arial" w:cs="Arial"/>
                <w:b/>
                <w:color w:val="002060"/>
                <w:sz w:val="21"/>
                <w:szCs w:val="21"/>
              </w:rPr>
            </w:pPr>
            <w:r w:rsidRPr="00DF3703">
              <w:rPr>
                <w:rFonts w:ascii="Arial" w:hAnsi="Arial" w:cs="Arial"/>
                <w:b/>
                <w:color w:val="002060"/>
                <w:sz w:val="21"/>
                <w:szCs w:val="21"/>
              </w:rPr>
              <w:t>3,167.6</w:t>
            </w:r>
          </w:p>
        </w:tc>
        <w:tc>
          <w:tcPr>
            <w:tcW w:w="1288" w:type="pct"/>
            <w:vAlign w:val="bottom"/>
          </w:tcPr>
          <w:p w:rsidR="00316FA2" w:rsidRPr="00DF3703" w:rsidRDefault="00FC735F" w:rsidP="00180A93">
            <w:pPr>
              <w:jc w:val="right"/>
              <w:rPr>
                <w:rFonts w:ascii="Arial" w:hAnsi="Arial" w:cs="Arial"/>
                <w:b/>
                <w:color w:val="002060"/>
                <w:sz w:val="21"/>
                <w:szCs w:val="21"/>
              </w:rPr>
            </w:pPr>
            <w:r w:rsidRPr="00DF3703">
              <w:rPr>
                <w:rFonts w:ascii="Arial" w:hAnsi="Arial" w:cs="Arial"/>
                <w:b/>
                <w:color w:val="002060"/>
                <w:sz w:val="21"/>
                <w:szCs w:val="21"/>
              </w:rPr>
              <w:t>47,615</w:t>
            </w:r>
          </w:p>
        </w:tc>
      </w:tr>
      <w:tr w:rsidR="00316FA2" w:rsidRPr="00DF3703" w:rsidTr="00EF6A34">
        <w:tc>
          <w:tcPr>
            <w:tcW w:w="1755" w:type="pct"/>
            <w:vAlign w:val="bottom"/>
          </w:tcPr>
          <w:p w:rsidR="00316FA2" w:rsidRPr="00DF3703" w:rsidRDefault="006B7D88" w:rsidP="009B38ED">
            <w:pPr>
              <w:pStyle w:val="TableHeadingRight"/>
              <w:jc w:val="left"/>
              <w:rPr>
                <w:rFonts w:ascii="Arial" w:hAnsi="Arial" w:cs="Arial"/>
              </w:rPr>
            </w:pPr>
            <w:r w:rsidRPr="00DF3703">
              <w:rPr>
                <w:rFonts w:ascii="Arial" w:hAnsi="Arial" w:cs="Arial"/>
              </w:rPr>
              <w:t>Indirect</w:t>
            </w:r>
          </w:p>
        </w:tc>
        <w:tc>
          <w:tcPr>
            <w:tcW w:w="1024" w:type="pct"/>
            <w:vAlign w:val="bottom"/>
          </w:tcPr>
          <w:p w:rsidR="00316FA2" w:rsidRPr="00DF3703" w:rsidRDefault="00316FA2" w:rsidP="00180A93">
            <w:pPr>
              <w:jc w:val="right"/>
              <w:rPr>
                <w:rFonts w:ascii="Arial" w:hAnsi="Arial" w:cs="Arial"/>
                <w:sz w:val="21"/>
                <w:szCs w:val="21"/>
              </w:rPr>
            </w:pPr>
          </w:p>
        </w:tc>
        <w:tc>
          <w:tcPr>
            <w:tcW w:w="933" w:type="pct"/>
            <w:vAlign w:val="bottom"/>
          </w:tcPr>
          <w:p w:rsidR="00316FA2" w:rsidRPr="00DF3703" w:rsidRDefault="00316FA2" w:rsidP="00180A93">
            <w:pPr>
              <w:jc w:val="right"/>
              <w:rPr>
                <w:rFonts w:ascii="Arial" w:hAnsi="Arial" w:cs="Arial"/>
                <w:sz w:val="21"/>
                <w:szCs w:val="21"/>
              </w:rPr>
            </w:pPr>
          </w:p>
        </w:tc>
        <w:tc>
          <w:tcPr>
            <w:tcW w:w="1288" w:type="pct"/>
            <w:vAlign w:val="bottom"/>
          </w:tcPr>
          <w:p w:rsidR="00316FA2" w:rsidRPr="00DF3703" w:rsidRDefault="00316FA2" w:rsidP="00180A93">
            <w:pPr>
              <w:jc w:val="right"/>
              <w:rPr>
                <w:rFonts w:ascii="Arial" w:hAnsi="Arial" w:cs="Arial"/>
                <w:sz w:val="21"/>
                <w:szCs w:val="21"/>
              </w:rPr>
            </w:pPr>
          </w:p>
        </w:tc>
      </w:tr>
      <w:tr w:rsidR="00316FA2" w:rsidRPr="00DF3703" w:rsidTr="00EF6A34">
        <w:tc>
          <w:tcPr>
            <w:tcW w:w="1755" w:type="pct"/>
            <w:vAlign w:val="bottom"/>
          </w:tcPr>
          <w:p w:rsidR="00316FA2" w:rsidRPr="00DF3703" w:rsidRDefault="00036279" w:rsidP="009B38ED">
            <w:pPr>
              <w:ind w:firstLineChars="200" w:firstLine="400"/>
              <w:rPr>
                <w:rFonts w:ascii="Arial" w:hAnsi="Arial" w:cs="Arial"/>
                <w:sz w:val="20"/>
              </w:rPr>
            </w:pPr>
            <w:r w:rsidRPr="00DF3703">
              <w:rPr>
                <w:rFonts w:ascii="Arial" w:hAnsi="Arial" w:cs="Arial"/>
                <w:sz w:val="20"/>
              </w:rPr>
              <w:t>Reef</w:t>
            </w:r>
            <w:r w:rsidR="006B7D88" w:rsidRPr="00DF3703">
              <w:rPr>
                <w:rFonts w:ascii="Arial" w:hAnsi="Arial" w:cs="Arial"/>
                <w:sz w:val="20"/>
              </w:rPr>
              <w:t xml:space="preserve"> </w:t>
            </w:r>
            <w:r w:rsidR="003C4DCF" w:rsidRPr="00DF3703">
              <w:rPr>
                <w:rFonts w:ascii="Arial" w:hAnsi="Arial" w:cs="Arial"/>
                <w:sz w:val="20"/>
              </w:rPr>
              <w:t>catchment</w:t>
            </w:r>
          </w:p>
        </w:tc>
        <w:tc>
          <w:tcPr>
            <w:tcW w:w="1024" w:type="pct"/>
            <w:vAlign w:val="bottom"/>
          </w:tcPr>
          <w:p w:rsidR="00316FA2" w:rsidRPr="00DF3703" w:rsidRDefault="00316FA2" w:rsidP="00180A93">
            <w:pPr>
              <w:jc w:val="right"/>
              <w:rPr>
                <w:rFonts w:ascii="Arial" w:hAnsi="Arial" w:cs="Arial"/>
                <w:sz w:val="21"/>
                <w:szCs w:val="21"/>
              </w:rPr>
            </w:pPr>
          </w:p>
        </w:tc>
        <w:tc>
          <w:tcPr>
            <w:tcW w:w="933" w:type="pct"/>
            <w:vAlign w:val="bottom"/>
          </w:tcPr>
          <w:p w:rsidR="00316FA2" w:rsidRPr="00DF3703" w:rsidRDefault="006B7D88" w:rsidP="00180A93">
            <w:pPr>
              <w:jc w:val="right"/>
              <w:rPr>
                <w:rFonts w:ascii="Arial" w:hAnsi="Arial" w:cs="Arial"/>
                <w:sz w:val="21"/>
                <w:szCs w:val="21"/>
              </w:rPr>
            </w:pPr>
            <w:r w:rsidRPr="00DF3703">
              <w:rPr>
                <w:rFonts w:ascii="Arial" w:hAnsi="Arial" w:cs="Arial"/>
                <w:sz w:val="21"/>
                <w:szCs w:val="21"/>
              </w:rPr>
              <w:t>1,226.3</w:t>
            </w:r>
          </w:p>
        </w:tc>
        <w:tc>
          <w:tcPr>
            <w:tcW w:w="1288" w:type="pct"/>
            <w:vAlign w:val="bottom"/>
          </w:tcPr>
          <w:p w:rsidR="00316FA2" w:rsidRPr="00DF3703" w:rsidRDefault="00FC735F" w:rsidP="00180A93">
            <w:pPr>
              <w:jc w:val="right"/>
              <w:rPr>
                <w:rFonts w:ascii="Arial" w:hAnsi="Arial" w:cs="Arial"/>
                <w:sz w:val="21"/>
                <w:szCs w:val="21"/>
              </w:rPr>
            </w:pPr>
            <w:r w:rsidRPr="00DF3703">
              <w:rPr>
                <w:rFonts w:ascii="Arial" w:hAnsi="Arial" w:cs="Arial"/>
                <w:sz w:val="21"/>
                <w:szCs w:val="21"/>
              </w:rPr>
              <w:t>11,633</w:t>
            </w:r>
          </w:p>
        </w:tc>
      </w:tr>
      <w:tr w:rsidR="00316FA2" w:rsidRPr="00DF3703" w:rsidTr="00EF6A34">
        <w:tc>
          <w:tcPr>
            <w:tcW w:w="1755" w:type="pct"/>
            <w:vAlign w:val="bottom"/>
          </w:tcPr>
          <w:p w:rsidR="00316FA2" w:rsidRPr="00DF3703" w:rsidRDefault="006B7D88" w:rsidP="009B38ED">
            <w:pPr>
              <w:ind w:left="444"/>
              <w:rPr>
                <w:rFonts w:ascii="Arial" w:hAnsi="Arial" w:cs="Arial"/>
                <w:sz w:val="20"/>
              </w:rPr>
            </w:pPr>
            <w:r w:rsidRPr="00DF3703">
              <w:rPr>
                <w:rFonts w:ascii="Arial" w:hAnsi="Arial" w:cs="Arial"/>
                <w:sz w:val="20"/>
              </w:rPr>
              <w:t>Rest of Qld</w:t>
            </w:r>
          </w:p>
        </w:tc>
        <w:tc>
          <w:tcPr>
            <w:tcW w:w="1024" w:type="pct"/>
            <w:vAlign w:val="bottom"/>
          </w:tcPr>
          <w:p w:rsidR="00316FA2" w:rsidRPr="00DF3703" w:rsidRDefault="00316FA2" w:rsidP="00180A93">
            <w:pPr>
              <w:jc w:val="right"/>
              <w:rPr>
                <w:rFonts w:ascii="Arial" w:hAnsi="Arial" w:cs="Arial"/>
                <w:sz w:val="21"/>
                <w:szCs w:val="21"/>
              </w:rPr>
            </w:pPr>
          </w:p>
        </w:tc>
        <w:tc>
          <w:tcPr>
            <w:tcW w:w="933" w:type="pct"/>
            <w:vAlign w:val="bottom"/>
          </w:tcPr>
          <w:p w:rsidR="00316FA2" w:rsidRPr="00DF3703" w:rsidRDefault="006B7D88" w:rsidP="00180A93">
            <w:pPr>
              <w:jc w:val="right"/>
              <w:rPr>
                <w:rFonts w:ascii="Arial" w:hAnsi="Arial" w:cs="Arial"/>
                <w:sz w:val="21"/>
                <w:szCs w:val="21"/>
              </w:rPr>
            </w:pPr>
            <w:r w:rsidRPr="00DF3703">
              <w:rPr>
                <w:rFonts w:ascii="Arial" w:hAnsi="Arial" w:cs="Arial"/>
                <w:sz w:val="21"/>
                <w:szCs w:val="21"/>
              </w:rPr>
              <w:t>192.7</w:t>
            </w:r>
          </w:p>
        </w:tc>
        <w:tc>
          <w:tcPr>
            <w:tcW w:w="1288" w:type="pct"/>
            <w:vAlign w:val="bottom"/>
          </w:tcPr>
          <w:p w:rsidR="00316FA2" w:rsidRPr="00DF3703" w:rsidRDefault="00FC735F" w:rsidP="00180A93">
            <w:pPr>
              <w:jc w:val="right"/>
              <w:rPr>
                <w:rFonts w:ascii="Arial" w:hAnsi="Arial" w:cs="Arial"/>
                <w:sz w:val="21"/>
                <w:szCs w:val="21"/>
              </w:rPr>
            </w:pPr>
            <w:r w:rsidRPr="00DF3703">
              <w:rPr>
                <w:rFonts w:ascii="Arial" w:hAnsi="Arial" w:cs="Arial"/>
                <w:sz w:val="21"/>
                <w:szCs w:val="21"/>
              </w:rPr>
              <w:t>1,415</w:t>
            </w:r>
          </w:p>
        </w:tc>
      </w:tr>
      <w:tr w:rsidR="00316FA2" w:rsidRPr="00DF3703" w:rsidTr="00957737">
        <w:tc>
          <w:tcPr>
            <w:tcW w:w="1755" w:type="pct"/>
            <w:tcBorders>
              <w:bottom w:val="single" w:sz="4" w:space="0" w:color="A6A6A6"/>
            </w:tcBorders>
            <w:vAlign w:val="bottom"/>
          </w:tcPr>
          <w:p w:rsidR="00316FA2" w:rsidRPr="00DF3703" w:rsidRDefault="006B7D88" w:rsidP="009B38ED">
            <w:pPr>
              <w:ind w:firstLineChars="200" w:firstLine="400"/>
              <w:rPr>
                <w:rFonts w:ascii="Arial" w:hAnsi="Arial" w:cs="Arial"/>
                <w:sz w:val="20"/>
              </w:rPr>
            </w:pPr>
            <w:r w:rsidRPr="00DF3703">
              <w:rPr>
                <w:rFonts w:ascii="Arial" w:hAnsi="Arial" w:cs="Arial"/>
                <w:sz w:val="20"/>
              </w:rPr>
              <w:t>Rest of Australia</w:t>
            </w:r>
          </w:p>
        </w:tc>
        <w:tc>
          <w:tcPr>
            <w:tcW w:w="1024" w:type="pct"/>
            <w:tcBorders>
              <w:bottom w:val="single" w:sz="4" w:space="0" w:color="A6A6A6"/>
            </w:tcBorders>
            <w:vAlign w:val="bottom"/>
          </w:tcPr>
          <w:p w:rsidR="00316FA2" w:rsidRPr="00DF3703" w:rsidRDefault="00316FA2" w:rsidP="00180A93">
            <w:pPr>
              <w:jc w:val="right"/>
              <w:rPr>
                <w:rFonts w:ascii="Arial" w:hAnsi="Arial" w:cs="Arial"/>
                <w:sz w:val="21"/>
                <w:szCs w:val="21"/>
              </w:rPr>
            </w:pPr>
          </w:p>
        </w:tc>
        <w:tc>
          <w:tcPr>
            <w:tcW w:w="933" w:type="pct"/>
            <w:tcBorders>
              <w:bottom w:val="single" w:sz="4" w:space="0" w:color="A6A6A6"/>
            </w:tcBorders>
            <w:vAlign w:val="bottom"/>
          </w:tcPr>
          <w:p w:rsidR="00316FA2" w:rsidRPr="00DF3703" w:rsidRDefault="006B7D88" w:rsidP="00180A93">
            <w:pPr>
              <w:jc w:val="right"/>
              <w:rPr>
                <w:rFonts w:ascii="Arial" w:hAnsi="Arial" w:cs="Arial"/>
                <w:sz w:val="21"/>
                <w:szCs w:val="21"/>
              </w:rPr>
            </w:pPr>
            <w:r w:rsidRPr="00DF3703">
              <w:rPr>
                <w:rFonts w:ascii="Arial" w:hAnsi="Arial" w:cs="Arial"/>
                <w:sz w:val="21"/>
                <w:szCs w:val="21"/>
              </w:rPr>
              <w:t>1,091.1</w:t>
            </w:r>
          </w:p>
        </w:tc>
        <w:tc>
          <w:tcPr>
            <w:tcW w:w="1288" w:type="pct"/>
            <w:tcBorders>
              <w:bottom w:val="single" w:sz="4" w:space="0" w:color="A6A6A6"/>
            </w:tcBorders>
            <w:vAlign w:val="bottom"/>
          </w:tcPr>
          <w:p w:rsidR="00316FA2" w:rsidRPr="00DF3703" w:rsidRDefault="00FC735F" w:rsidP="00180A93">
            <w:pPr>
              <w:jc w:val="right"/>
              <w:rPr>
                <w:rFonts w:ascii="Arial" w:hAnsi="Arial" w:cs="Arial"/>
                <w:sz w:val="21"/>
                <w:szCs w:val="21"/>
              </w:rPr>
            </w:pPr>
            <w:r w:rsidRPr="00DF3703">
              <w:rPr>
                <w:rFonts w:ascii="Arial" w:hAnsi="Arial" w:cs="Arial"/>
                <w:sz w:val="21"/>
                <w:szCs w:val="21"/>
              </w:rPr>
              <w:t>8,315</w:t>
            </w:r>
          </w:p>
        </w:tc>
      </w:tr>
      <w:tr w:rsidR="00316FA2" w:rsidRPr="00DF3703" w:rsidTr="00957737">
        <w:tc>
          <w:tcPr>
            <w:tcW w:w="1755" w:type="pct"/>
            <w:tcBorders>
              <w:top w:val="single" w:sz="4" w:space="0" w:color="A6A6A6"/>
              <w:bottom w:val="single" w:sz="12" w:space="0" w:color="002776"/>
            </w:tcBorders>
            <w:vAlign w:val="bottom"/>
          </w:tcPr>
          <w:p w:rsidR="00316FA2" w:rsidRPr="00DF3703" w:rsidRDefault="006B7D88" w:rsidP="009B38ED">
            <w:pPr>
              <w:pStyle w:val="TableHeadingRight"/>
              <w:jc w:val="left"/>
              <w:rPr>
                <w:rFonts w:ascii="Arial" w:hAnsi="Arial" w:cs="Arial"/>
                <w:sz w:val="20"/>
              </w:rPr>
            </w:pPr>
            <w:r w:rsidRPr="00DF3703">
              <w:rPr>
                <w:rFonts w:ascii="Arial" w:hAnsi="Arial" w:cs="Arial"/>
              </w:rPr>
              <w:t>Total Australia</w:t>
            </w:r>
          </w:p>
        </w:tc>
        <w:tc>
          <w:tcPr>
            <w:tcW w:w="1024" w:type="pct"/>
            <w:tcBorders>
              <w:top w:val="single" w:sz="4" w:space="0" w:color="A6A6A6"/>
              <w:bottom w:val="single" w:sz="12" w:space="0" w:color="002776"/>
            </w:tcBorders>
            <w:vAlign w:val="bottom"/>
          </w:tcPr>
          <w:p w:rsidR="00316FA2" w:rsidRPr="00DF3703" w:rsidRDefault="00316FA2" w:rsidP="00180A93">
            <w:pPr>
              <w:jc w:val="right"/>
              <w:rPr>
                <w:rFonts w:ascii="Arial" w:hAnsi="Arial" w:cs="Arial"/>
                <w:sz w:val="20"/>
              </w:rPr>
            </w:pPr>
          </w:p>
        </w:tc>
        <w:tc>
          <w:tcPr>
            <w:tcW w:w="933" w:type="pct"/>
            <w:tcBorders>
              <w:top w:val="single" w:sz="4" w:space="0" w:color="A6A6A6"/>
              <w:bottom w:val="single" w:sz="12" w:space="0" w:color="002776"/>
            </w:tcBorders>
            <w:vAlign w:val="bottom"/>
          </w:tcPr>
          <w:p w:rsidR="00316FA2" w:rsidRPr="00DF3703" w:rsidRDefault="00B25B6B" w:rsidP="00180A93">
            <w:pPr>
              <w:pStyle w:val="TableHeadingRight"/>
              <w:rPr>
                <w:rFonts w:ascii="Arial" w:hAnsi="Arial" w:cs="Arial"/>
              </w:rPr>
            </w:pPr>
            <w:r w:rsidRPr="00DF3703">
              <w:rPr>
                <w:rFonts w:ascii="Arial" w:hAnsi="Arial" w:cs="Arial"/>
              </w:rPr>
              <w:t>5,677.8</w:t>
            </w:r>
          </w:p>
        </w:tc>
        <w:tc>
          <w:tcPr>
            <w:tcW w:w="1288" w:type="pct"/>
            <w:tcBorders>
              <w:top w:val="single" w:sz="4" w:space="0" w:color="A6A6A6"/>
              <w:bottom w:val="single" w:sz="12" w:space="0" w:color="002776"/>
            </w:tcBorders>
            <w:vAlign w:val="bottom"/>
          </w:tcPr>
          <w:p w:rsidR="00316FA2" w:rsidRPr="00DF3703" w:rsidRDefault="006B7D88" w:rsidP="00180A93">
            <w:pPr>
              <w:pStyle w:val="TableHeadingRight"/>
              <w:rPr>
                <w:rFonts w:ascii="Arial" w:hAnsi="Arial" w:cs="Arial"/>
              </w:rPr>
            </w:pPr>
            <w:r w:rsidRPr="00DF3703">
              <w:rPr>
                <w:rFonts w:ascii="Arial" w:hAnsi="Arial" w:cs="Arial"/>
              </w:rPr>
              <w:t>68,978</w:t>
            </w:r>
          </w:p>
        </w:tc>
      </w:tr>
    </w:tbl>
    <w:p w:rsidR="00DA2632" w:rsidRPr="00DF3703" w:rsidRDefault="006B7D88" w:rsidP="009B38ED">
      <w:pPr>
        <w:pStyle w:val="Source"/>
        <w:rPr>
          <w:rFonts w:ascii="Arial" w:hAnsi="Arial"/>
        </w:rPr>
      </w:pPr>
      <w:r w:rsidRPr="00DF3703">
        <w:rPr>
          <w:rFonts w:ascii="Arial" w:hAnsi="Arial"/>
        </w:rPr>
        <w:t>Source: Deloitte Access Economics estimates</w:t>
      </w:r>
    </w:p>
    <w:p w:rsidR="00E76C6A" w:rsidRPr="00DF3703" w:rsidRDefault="006B7D88" w:rsidP="00E76C6A">
      <w:pPr>
        <w:pStyle w:val="Heading2"/>
        <w:rPr>
          <w:rFonts w:ascii="Arial" w:hAnsi="Arial" w:cs="Arial"/>
          <w:sz w:val="32"/>
          <w:szCs w:val="32"/>
        </w:rPr>
      </w:pPr>
      <w:bookmarkStart w:id="141" w:name="_Toc355700999"/>
      <w:r w:rsidRPr="00DF3703">
        <w:rPr>
          <w:rFonts w:ascii="Arial" w:hAnsi="Arial" w:cs="Arial"/>
          <w:sz w:val="32"/>
          <w:szCs w:val="32"/>
        </w:rPr>
        <w:t>Roadmap for future work and data</w:t>
      </w:r>
      <w:bookmarkEnd w:id="141"/>
    </w:p>
    <w:p w:rsidR="0045400A" w:rsidRPr="00DF3703" w:rsidRDefault="006B7D88" w:rsidP="00957737">
      <w:pPr>
        <w:pStyle w:val="BodyText"/>
        <w:rPr>
          <w:rFonts w:ascii="Arial" w:hAnsi="Arial" w:cs="Arial"/>
        </w:rPr>
      </w:pPr>
      <w:r w:rsidRPr="00DF3703">
        <w:rPr>
          <w:rFonts w:ascii="Arial" w:hAnsi="Arial" w:cs="Arial"/>
        </w:rPr>
        <w:t>The analysis provided in this report relies on inputs from a varied number of sources.  For tourism and commercial fishing these inputs have remained the same as previous studies.  For other areas of analysis like recreational activity the data inputs were changed to incorporate data that was better suited to the analysis.</w:t>
      </w:r>
    </w:p>
    <w:p w:rsidR="00E76C6A" w:rsidRPr="00DF3703" w:rsidRDefault="006B7D88" w:rsidP="00957737">
      <w:pPr>
        <w:pStyle w:val="BodyText"/>
        <w:rPr>
          <w:rFonts w:ascii="Arial" w:hAnsi="Arial" w:cs="Arial"/>
        </w:rPr>
      </w:pPr>
      <w:r w:rsidRPr="00DF3703">
        <w:rPr>
          <w:rFonts w:ascii="Arial" w:hAnsi="Arial" w:cs="Arial"/>
        </w:rPr>
        <w:t>Below is a discussion of how the data may be improved for future analysis.  These improvements both relate to determining the overall size of the activity and how to improve the granularity of the analysis.</w:t>
      </w:r>
    </w:p>
    <w:p w:rsidR="0045400A" w:rsidRPr="00DF3703" w:rsidRDefault="006B7D88" w:rsidP="00957737">
      <w:pPr>
        <w:pStyle w:val="BodyText"/>
        <w:rPr>
          <w:rFonts w:ascii="Arial" w:hAnsi="Arial" w:cs="Arial"/>
          <w:i/>
          <w:color w:val="002060"/>
        </w:rPr>
      </w:pPr>
      <w:r w:rsidRPr="00DF3703">
        <w:rPr>
          <w:rFonts w:ascii="Arial" w:hAnsi="Arial" w:cs="Arial"/>
          <w:i/>
          <w:color w:val="002060"/>
        </w:rPr>
        <w:t>Tourism</w:t>
      </w:r>
    </w:p>
    <w:p w:rsidR="002F535D" w:rsidRPr="00DF3703" w:rsidRDefault="006B7D88" w:rsidP="002F535D">
      <w:pPr>
        <w:pStyle w:val="BodyText"/>
        <w:rPr>
          <w:rFonts w:ascii="Arial" w:hAnsi="Arial" w:cs="Arial"/>
        </w:rPr>
      </w:pPr>
      <w:r w:rsidRPr="00DF3703">
        <w:rPr>
          <w:rFonts w:ascii="Arial" w:hAnsi="Arial" w:cs="Arial"/>
        </w:rPr>
        <w:t>While the quality of the tourism data is generally good</w:t>
      </w:r>
      <w:r w:rsidR="004B5E16" w:rsidRPr="00DF3703">
        <w:rPr>
          <w:rFonts w:ascii="Arial" w:hAnsi="Arial" w:cs="Arial"/>
        </w:rPr>
        <w:t>,</w:t>
      </w:r>
      <w:r w:rsidRPr="00DF3703">
        <w:rPr>
          <w:rFonts w:ascii="Arial" w:hAnsi="Arial" w:cs="Arial"/>
        </w:rPr>
        <w:t xml:space="preserve"> there </w:t>
      </w:r>
      <w:r w:rsidR="004B5E16" w:rsidRPr="00DF3703">
        <w:rPr>
          <w:rFonts w:ascii="Arial" w:hAnsi="Arial" w:cs="Arial"/>
        </w:rPr>
        <w:t xml:space="preserve">are </w:t>
      </w:r>
      <w:r w:rsidRPr="00DF3703">
        <w:rPr>
          <w:rFonts w:ascii="Arial" w:hAnsi="Arial" w:cs="Arial"/>
        </w:rPr>
        <w:t>some pockets of tourism activity where further information is needed, for example</w:t>
      </w:r>
      <w:r w:rsidR="004B5E16" w:rsidRPr="00DF3703">
        <w:rPr>
          <w:rFonts w:ascii="Arial" w:hAnsi="Arial" w:cs="Arial"/>
        </w:rPr>
        <w:t>:</w:t>
      </w:r>
    </w:p>
    <w:p w:rsidR="0045400A" w:rsidRPr="00DF3703" w:rsidRDefault="006B7D88" w:rsidP="00A576B9">
      <w:pPr>
        <w:pStyle w:val="Bullet1"/>
        <w:rPr>
          <w:rFonts w:ascii="Arial" w:hAnsi="Arial"/>
        </w:rPr>
      </w:pPr>
      <w:r w:rsidRPr="00DF3703">
        <w:rPr>
          <w:rFonts w:ascii="Arial" w:hAnsi="Arial"/>
        </w:rPr>
        <w:t>Cruising yachts entering into Australia could be excluded from the scope of the TRA surveys.  Where this is the case more information is needed on the level of activity of these yachts, including the number, the days at port, the visitors they carry and the level of expenditure while at port.  There are a number of studies in the public domain including those by Deloitte Access Economics on the cruise sector in Australia</w:t>
      </w:r>
      <w:r w:rsidR="004B5E16" w:rsidRPr="00DF3703">
        <w:rPr>
          <w:rFonts w:ascii="Arial" w:hAnsi="Arial"/>
        </w:rPr>
        <w:t>- (</w:t>
      </w:r>
      <w:r w:rsidRPr="00DF3703">
        <w:rPr>
          <w:rFonts w:ascii="Arial" w:hAnsi="Arial"/>
          <w:i/>
        </w:rPr>
        <w:t>The Economic Contribution of the Cruise Sector to Australia</w:t>
      </w:r>
      <w:r w:rsidR="004B5E16" w:rsidRPr="00DF3703">
        <w:rPr>
          <w:rFonts w:ascii="Arial" w:hAnsi="Arial"/>
          <w:i/>
        </w:rPr>
        <w:t>)</w:t>
      </w:r>
      <w:r w:rsidRPr="00DF3703">
        <w:rPr>
          <w:rFonts w:ascii="Arial" w:hAnsi="Arial"/>
        </w:rPr>
        <w:t>.  These studies may provide an insight into how this analysis is undertaken and the data inputs used.</w:t>
      </w:r>
    </w:p>
    <w:p w:rsidR="002F535D" w:rsidRPr="00DF3703" w:rsidRDefault="006B7D88" w:rsidP="0045400A">
      <w:pPr>
        <w:pStyle w:val="Bullet1"/>
        <w:rPr>
          <w:rFonts w:ascii="Arial" w:hAnsi="Arial"/>
        </w:rPr>
      </w:pPr>
      <w:r w:rsidRPr="00DF3703">
        <w:rPr>
          <w:rFonts w:ascii="Arial" w:hAnsi="Arial"/>
        </w:rPr>
        <w:t xml:space="preserve">Reef-related activity outlined above is based on EMC data, as a result it excludes the activity related to </w:t>
      </w:r>
      <w:r w:rsidR="004B5E16" w:rsidRPr="00DF3703">
        <w:rPr>
          <w:rFonts w:ascii="Arial" w:hAnsi="Arial"/>
        </w:rPr>
        <w:t xml:space="preserve">island </w:t>
      </w:r>
      <w:r w:rsidRPr="00DF3703">
        <w:rPr>
          <w:rFonts w:ascii="Arial" w:hAnsi="Arial"/>
        </w:rPr>
        <w:t xml:space="preserve">transfers.  The transfer activity was excluded because of the insufficient expenditure information on these travellers.  </w:t>
      </w:r>
      <w:r w:rsidRPr="00DF3703">
        <w:rPr>
          <w:rFonts w:ascii="Arial" w:hAnsi="Arial"/>
        </w:rPr>
        <w:lastRenderedPageBreak/>
        <w:t>Where future analysis include</w:t>
      </w:r>
      <w:r w:rsidR="004B5E16" w:rsidRPr="00DF3703">
        <w:rPr>
          <w:rFonts w:ascii="Arial" w:hAnsi="Arial"/>
        </w:rPr>
        <w:t>s</w:t>
      </w:r>
      <w:r w:rsidRPr="00DF3703">
        <w:rPr>
          <w:rFonts w:ascii="Arial" w:hAnsi="Arial"/>
        </w:rPr>
        <w:t xml:space="preserve"> this activity</w:t>
      </w:r>
      <w:r w:rsidR="004B5E16" w:rsidRPr="00DF3703">
        <w:rPr>
          <w:rFonts w:ascii="Arial" w:hAnsi="Arial"/>
        </w:rPr>
        <w:t>,</w:t>
      </w:r>
      <w:r w:rsidRPr="00DF3703">
        <w:rPr>
          <w:rFonts w:ascii="Arial" w:hAnsi="Arial"/>
        </w:rPr>
        <w:t xml:space="preserve"> information on the nature of travel and expenditure would be ideal.</w:t>
      </w:r>
    </w:p>
    <w:p w:rsidR="00A576B9" w:rsidRPr="00DF3703" w:rsidRDefault="006B7D88" w:rsidP="00A576B9">
      <w:pPr>
        <w:pStyle w:val="Bullet1"/>
        <w:rPr>
          <w:rFonts w:ascii="Arial" w:hAnsi="Arial"/>
        </w:rPr>
      </w:pPr>
      <w:r w:rsidRPr="00DF3703">
        <w:rPr>
          <w:rFonts w:ascii="Arial" w:hAnsi="Arial"/>
        </w:rPr>
        <w:t>Tourism Research Australia data does include island activity, but the current data does not provide for this to be granulated from the wider tourism activity.  Moreover it could be the case that island visitor</w:t>
      </w:r>
      <w:r w:rsidR="00F04F3C" w:rsidRPr="00DF3703">
        <w:rPr>
          <w:rFonts w:ascii="Arial" w:hAnsi="Arial"/>
        </w:rPr>
        <w:t>s</w:t>
      </w:r>
      <w:r w:rsidRPr="00DF3703">
        <w:rPr>
          <w:rFonts w:ascii="Arial" w:hAnsi="Arial"/>
        </w:rPr>
        <w:t xml:space="preserve"> spend more than the average visitor to the </w:t>
      </w:r>
      <w:r w:rsidR="001573FF" w:rsidRPr="00DF3703">
        <w:rPr>
          <w:rFonts w:ascii="Arial" w:hAnsi="Arial"/>
        </w:rPr>
        <w:t>R</w:t>
      </w:r>
      <w:r w:rsidRPr="00DF3703">
        <w:rPr>
          <w:rFonts w:ascii="Arial" w:hAnsi="Arial"/>
        </w:rPr>
        <w:t>eef.  Where this is the case, to model the island activity in the future it would be ideal to have both the visitor nights and expenditure for island visitors.</w:t>
      </w:r>
    </w:p>
    <w:p w:rsidR="00A576B9" w:rsidRPr="00DF3703" w:rsidRDefault="006B7D88" w:rsidP="00A576B9">
      <w:pPr>
        <w:pStyle w:val="BodyText"/>
        <w:rPr>
          <w:rFonts w:ascii="Arial" w:hAnsi="Arial" w:cs="Arial"/>
        </w:rPr>
      </w:pPr>
      <w:r w:rsidRPr="00DF3703">
        <w:rPr>
          <w:rFonts w:ascii="Arial" w:hAnsi="Arial" w:cs="Arial"/>
          <w:i/>
          <w:color w:val="002060"/>
        </w:rPr>
        <w:t>Commercial fishing</w:t>
      </w:r>
    </w:p>
    <w:p w:rsidR="00A47EE3" w:rsidRPr="00DF3703" w:rsidRDefault="006B7D88" w:rsidP="00A576B9">
      <w:pPr>
        <w:pStyle w:val="BodyText"/>
        <w:rPr>
          <w:rFonts w:ascii="Arial" w:hAnsi="Arial" w:cs="Arial"/>
        </w:rPr>
      </w:pPr>
      <w:r w:rsidRPr="00DF3703">
        <w:rPr>
          <w:rFonts w:ascii="Arial" w:hAnsi="Arial" w:cs="Arial"/>
        </w:rPr>
        <w:t>Again the quality of commercial fishing and aquaculture data is generally good.  The commercial fishing data is provided with a high degree of regional granularity</w:t>
      </w:r>
      <w:r w:rsidR="004B5E16" w:rsidRPr="00DF3703">
        <w:rPr>
          <w:rFonts w:ascii="Arial" w:hAnsi="Arial" w:cs="Arial"/>
        </w:rPr>
        <w:t xml:space="preserve"> which makes m</w:t>
      </w:r>
      <w:r w:rsidRPr="00DF3703">
        <w:rPr>
          <w:rFonts w:ascii="Arial" w:hAnsi="Arial" w:cs="Arial"/>
        </w:rPr>
        <w:t>atching this activity to the NRM</w:t>
      </w:r>
      <w:r w:rsidR="004B5E16" w:rsidRPr="00DF3703">
        <w:rPr>
          <w:rFonts w:ascii="Arial" w:hAnsi="Arial" w:cs="Arial"/>
        </w:rPr>
        <w:t xml:space="preserve"> region</w:t>
      </w:r>
      <w:r w:rsidRPr="00DF3703">
        <w:rPr>
          <w:rFonts w:ascii="Arial" w:hAnsi="Arial" w:cs="Arial"/>
        </w:rPr>
        <w:t xml:space="preserve"> relatively easy.</w:t>
      </w:r>
    </w:p>
    <w:p w:rsidR="00A47EE3" w:rsidRPr="00DF3703" w:rsidRDefault="006B7D88" w:rsidP="00A576B9">
      <w:pPr>
        <w:pStyle w:val="BodyText"/>
        <w:rPr>
          <w:rFonts w:ascii="Arial" w:hAnsi="Arial" w:cs="Arial"/>
        </w:rPr>
      </w:pPr>
      <w:r w:rsidRPr="00DF3703">
        <w:rPr>
          <w:rFonts w:ascii="Arial" w:hAnsi="Arial" w:cs="Arial"/>
        </w:rPr>
        <w:t>The aquaculture data on the other hand is provided at the statistical division level and apportioning it to the NRM</w:t>
      </w:r>
      <w:r w:rsidR="004B5E16" w:rsidRPr="00DF3703">
        <w:rPr>
          <w:rFonts w:ascii="Arial" w:hAnsi="Arial" w:cs="Arial"/>
        </w:rPr>
        <w:t xml:space="preserve"> region</w:t>
      </w:r>
      <w:r w:rsidRPr="00DF3703">
        <w:rPr>
          <w:rFonts w:ascii="Arial" w:hAnsi="Arial" w:cs="Arial"/>
        </w:rPr>
        <w:t>s rel</w:t>
      </w:r>
      <w:r w:rsidR="004B5E16" w:rsidRPr="00DF3703">
        <w:rPr>
          <w:rFonts w:ascii="Arial" w:hAnsi="Arial" w:cs="Arial"/>
        </w:rPr>
        <w:t>ied</w:t>
      </w:r>
      <w:r w:rsidRPr="00DF3703">
        <w:rPr>
          <w:rFonts w:ascii="Arial" w:hAnsi="Arial" w:cs="Arial"/>
        </w:rPr>
        <w:t xml:space="preserve"> on some assumptions being made.  </w:t>
      </w:r>
      <w:r w:rsidR="004B5E16" w:rsidRPr="00DF3703">
        <w:rPr>
          <w:rFonts w:ascii="Arial" w:hAnsi="Arial" w:cs="Arial"/>
        </w:rPr>
        <w:t>If future</w:t>
      </w:r>
      <w:r w:rsidRPr="00DF3703">
        <w:rPr>
          <w:rFonts w:ascii="Arial" w:hAnsi="Arial" w:cs="Arial"/>
        </w:rPr>
        <w:t xml:space="preserve"> aquaculture data is provided with more regional granularity</w:t>
      </w:r>
      <w:r w:rsidR="004B5E16" w:rsidRPr="00DF3703">
        <w:rPr>
          <w:rFonts w:ascii="Arial" w:hAnsi="Arial" w:cs="Arial"/>
        </w:rPr>
        <w:t>,</w:t>
      </w:r>
      <w:r w:rsidRPr="00DF3703">
        <w:rPr>
          <w:rFonts w:ascii="Arial" w:hAnsi="Arial" w:cs="Arial"/>
        </w:rPr>
        <w:t xml:space="preserve"> the analysis would be based on </w:t>
      </w:r>
      <w:r w:rsidR="004B5E16" w:rsidRPr="00DF3703">
        <w:rPr>
          <w:rFonts w:ascii="Arial" w:hAnsi="Arial" w:cs="Arial"/>
        </w:rPr>
        <w:t>fewer</w:t>
      </w:r>
      <w:r w:rsidRPr="00DF3703">
        <w:rPr>
          <w:rFonts w:ascii="Arial" w:hAnsi="Arial" w:cs="Arial"/>
        </w:rPr>
        <w:t xml:space="preserve"> assumptions and the regional analysis</w:t>
      </w:r>
      <w:r w:rsidR="004B5E16" w:rsidRPr="00DF3703">
        <w:rPr>
          <w:rFonts w:ascii="Arial" w:hAnsi="Arial" w:cs="Arial"/>
        </w:rPr>
        <w:t xml:space="preserve"> would be improved</w:t>
      </w:r>
      <w:r w:rsidRPr="00DF3703">
        <w:rPr>
          <w:rFonts w:ascii="Arial" w:hAnsi="Arial" w:cs="Arial"/>
        </w:rPr>
        <w:t>.</w:t>
      </w:r>
    </w:p>
    <w:p w:rsidR="00A47EE3" w:rsidRPr="00DF3703" w:rsidRDefault="006B7D88" w:rsidP="00A47EE3">
      <w:pPr>
        <w:pStyle w:val="BodyText"/>
        <w:rPr>
          <w:rFonts w:ascii="Arial" w:hAnsi="Arial" w:cs="Arial"/>
        </w:rPr>
      </w:pPr>
      <w:r w:rsidRPr="00DF3703">
        <w:rPr>
          <w:rFonts w:ascii="Arial" w:hAnsi="Arial" w:cs="Arial"/>
          <w:i/>
          <w:color w:val="002060"/>
        </w:rPr>
        <w:t>Recreation</w:t>
      </w:r>
    </w:p>
    <w:p w:rsidR="00E76C6A" w:rsidRPr="00DF3703" w:rsidRDefault="006B7D88" w:rsidP="00957737">
      <w:pPr>
        <w:pStyle w:val="BodyText"/>
        <w:rPr>
          <w:rFonts w:ascii="Arial" w:hAnsi="Arial" w:cs="Arial"/>
          <w:lang w:eastAsia="en-AU"/>
        </w:rPr>
      </w:pPr>
      <w:r w:rsidRPr="00DF3703">
        <w:rPr>
          <w:rFonts w:ascii="Arial" w:hAnsi="Arial" w:cs="Arial"/>
          <w:lang w:eastAsia="en-AU"/>
        </w:rPr>
        <w:t>As outlined above the inputs into the recreation analysis ha</w:t>
      </w:r>
      <w:r w:rsidR="004B5E16" w:rsidRPr="00DF3703">
        <w:rPr>
          <w:rFonts w:ascii="Arial" w:hAnsi="Arial" w:cs="Arial"/>
          <w:lang w:eastAsia="en-AU"/>
        </w:rPr>
        <w:t>ve</w:t>
      </w:r>
      <w:r w:rsidRPr="00DF3703">
        <w:rPr>
          <w:rFonts w:ascii="Arial" w:hAnsi="Arial" w:cs="Arial"/>
          <w:lang w:eastAsia="en-AU"/>
        </w:rPr>
        <w:t xml:space="preserve"> undergone significant change.  This came about because of the analysis undertaken by John Rolfe (et al) on the recreational activity by locals in the </w:t>
      </w:r>
      <w:r w:rsidR="003C4DCF" w:rsidRPr="00DF3703">
        <w:rPr>
          <w:rFonts w:ascii="Arial" w:hAnsi="Arial" w:cs="Arial"/>
          <w:lang w:eastAsia="en-AU"/>
        </w:rPr>
        <w:t>catchment</w:t>
      </w:r>
      <w:r w:rsidRPr="00DF3703">
        <w:rPr>
          <w:rFonts w:ascii="Arial" w:hAnsi="Arial" w:cs="Arial"/>
          <w:lang w:eastAsia="en-AU"/>
        </w:rPr>
        <w:t xml:space="preserve">. </w:t>
      </w:r>
      <w:r w:rsidR="004B5E16" w:rsidRPr="00DF3703">
        <w:rPr>
          <w:rFonts w:ascii="Arial" w:hAnsi="Arial" w:cs="Arial"/>
          <w:lang w:eastAsia="en-AU"/>
        </w:rPr>
        <w:t xml:space="preserve">While this analysis was improved over previous use of recreational fishing surveys, </w:t>
      </w:r>
      <w:r w:rsidRPr="00DF3703">
        <w:rPr>
          <w:rFonts w:ascii="Arial" w:hAnsi="Arial" w:cs="Arial"/>
          <w:lang w:eastAsia="en-AU"/>
        </w:rPr>
        <w:t xml:space="preserve">there are a number of areas where the analysis could be improved </w:t>
      </w:r>
      <w:r w:rsidR="004B5E16" w:rsidRPr="00DF3703">
        <w:rPr>
          <w:rFonts w:ascii="Arial" w:hAnsi="Arial" w:cs="Arial"/>
          <w:lang w:eastAsia="en-AU"/>
        </w:rPr>
        <w:t>including</w:t>
      </w:r>
      <w:r w:rsidRPr="00DF3703">
        <w:rPr>
          <w:rFonts w:ascii="Arial" w:hAnsi="Arial" w:cs="Arial"/>
          <w:lang w:eastAsia="en-AU"/>
        </w:rPr>
        <w:t>;</w:t>
      </w:r>
    </w:p>
    <w:p w:rsidR="005C5805" w:rsidRPr="00DF3703" w:rsidRDefault="006B7D88" w:rsidP="005C5805">
      <w:pPr>
        <w:pStyle w:val="Bullet1"/>
        <w:rPr>
          <w:rFonts w:ascii="Arial" w:hAnsi="Arial"/>
        </w:rPr>
      </w:pPr>
      <w:r w:rsidRPr="00DF3703">
        <w:rPr>
          <w:rFonts w:ascii="Arial" w:hAnsi="Arial"/>
        </w:rPr>
        <w:t xml:space="preserve">Recreational equipment purchases is currently based on the ABS’s Household Expenditure Survey.  This uses Queensland state-wide expenditure information on boats and equipment.  Improvements could be </w:t>
      </w:r>
      <w:r w:rsidR="00500164" w:rsidRPr="00DF3703">
        <w:rPr>
          <w:rFonts w:ascii="Arial" w:hAnsi="Arial"/>
        </w:rPr>
        <w:t>made if</w:t>
      </w:r>
      <w:r w:rsidRPr="00DF3703">
        <w:rPr>
          <w:rFonts w:ascii="Arial" w:hAnsi="Arial"/>
        </w:rPr>
        <w:t xml:space="preserve"> there was specific information for household expenditure for those </w:t>
      </w:r>
      <w:r w:rsidR="00500164" w:rsidRPr="00DF3703">
        <w:rPr>
          <w:rFonts w:ascii="Arial" w:hAnsi="Arial"/>
        </w:rPr>
        <w:t xml:space="preserve">households </w:t>
      </w:r>
      <w:r w:rsidRPr="00DF3703">
        <w:rPr>
          <w:rFonts w:ascii="Arial" w:hAnsi="Arial"/>
        </w:rPr>
        <w:t xml:space="preserve">specifically located in the </w:t>
      </w:r>
      <w:r w:rsidR="003C4DCF" w:rsidRPr="00DF3703">
        <w:rPr>
          <w:rFonts w:ascii="Arial" w:hAnsi="Arial"/>
        </w:rPr>
        <w:t>catchment</w:t>
      </w:r>
      <w:r w:rsidRPr="00DF3703">
        <w:rPr>
          <w:rFonts w:ascii="Arial" w:hAnsi="Arial"/>
        </w:rPr>
        <w:t>.</w:t>
      </w:r>
    </w:p>
    <w:p w:rsidR="00057554" w:rsidRPr="00DF3703" w:rsidRDefault="006B7D88" w:rsidP="005C5805">
      <w:pPr>
        <w:pStyle w:val="Bullet1"/>
        <w:rPr>
          <w:rFonts w:ascii="Arial" w:hAnsi="Arial"/>
        </w:rPr>
      </w:pPr>
      <w:r w:rsidRPr="00DF3703">
        <w:rPr>
          <w:rFonts w:ascii="Arial" w:hAnsi="Arial"/>
        </w:rPr>
        <w:t>In addition more regional information on recreational activity would also improve the analysis.  The current information used does provide some regional granularity but it does not specifically match the NRM boundaries.  This information would include the rates of recreational activity, the frequency and the expenditure.</w:t>
      </w:r>
    </w:p>
    <w:p w:rsidR="00057554" w:rsidRPr="00DF3703" w:rsidRDefault="006B7D88" w:rsidP="005C5805">
      <w:pPr>
        <w:pStyle w:val="Bullet1"/>
        <w:rPr>
          <w:rFonts w:ascii="Arial" w:hAnsi="Arial"/>
        </w:rPr>
      </w:pPr>
      <w:r w:rsidRPr="00DF3703">
        <w:rPr>
          <w:rFonts w:ascii="Arial" w:hAnsi="Arial"/>
        </w:rPr>
        <w:t>The economic contribution of beach activity is not provided in the current analysis.  While there was some information on the level of activity, there was no information on the expenditure associated with going to a beach.</w:t>
      </w:r>
    </w:p>
    <w:p w:rsidR="00057554" w:rsidRPr="00DF3703" w:rsidRDefault="006B7D88" w:rsidP="00057554">
      <w:pPr>
        <w:pStyle w:val="BodyText"/>
        <w:rPr>
          <w:rFonts w:ascii="Arial" w:hAnsi="Arial" w:cs="Arial"/>
        </w:rPr>
      </w:pPr>
      <w:r w:rsidRPr="00DF3703">
        <w:rPr>
          <w:rFonts w:ascii="Arial" w:hAnsi="Arial" w:cs="Arial"/>
          <w:i/>
          <w:color w:val="002060"/>
        </w:rPr>
        <w:t xml:space="preserve">Scientific research and </w:t>
      </w:r>
      <w:r w:rsidR="007F0C11" w:rsidRPr="00DF3703">
        <w:rPr>
          <w:rFonts w:ascii="Arial" w:hAnsi="Arial" w:cs="Arial"/>
          <w:i/>
          <w:color w:val="002060"/>
        </w:rPr>
        <w:t xml:space="preserve">Reef management </w:t>
      </w:r>
    </w:p>
    <w:p w:rsidR="00A83C07" w:rsidRPr="00DF3703" w:rsidRDefault="006B7D88" w:rsidP="00957737">
      <w:pPr>
        <w:pStyle w:val="BodyText"/>
        <w:rPr>
          <w:rFonts w:ascii="Arial" w:hAnsi="Arial" w:cs="Arial"/>
          <w:lang w:eastAsia="en-AU"/>
        </w:rPr>
      </w:pPr>
      <w:r w:rsidRPr="00DF3703">
        <w:rPr>
          <w:rFonts w:ascii="Arial" w:hAnsi="Arial" w:cs="Arial"/>
          <w:lang w:eastAsia="en-AU"/>
        </w:rPr>
        <w:t xml:space="preserve">The recent addition of scientific research and </w:t>
      </w:r>
      <w:r w:rsidR="007F0C11" w:rsidRPr="00DF3703">
        <w:rPr>
          <w:rFonts w:ascii="Arial" w:hAnsi="Arial" w:cs="Arial"/>
          <w:lang w:eastAsia="en-AU"/>
        </w:rPr>
        <w:t xml:space="preserve">management </w:t>
      </w:r>
      <w:r w:rsidRPr="00DF3703">
        <w:rPr>
          <w:rFonts w:ascii="Arial" w:hAnsi="Arial" w:cs="Arial"/>
          <w:lang w:eastAsia="en-AU"/>
        </w:rPr>
        <w:t xml:space="preserve">currently covers only a limited number of organisations; these include AIMS, the </w:t>
      </w:r>
      <w:r w:rsidR="00500164" w:rsidRPr="00DF3703">
        <w:rPr>
          <w:rFonts w:ascii="Arial" w:hAnsi="Arial" w:cs="Arial"/>
          <w:lang w:eastAsia="en-AU"/>
        </w:rPr>
        <w:t>ARC Centre of Excellence in Coral Reef Studies</w:t>
      </w:r>
      <w:r w:rsidRPr="00DF3703">
        <w:rPr>
          <w:rFonts w:ascii="Arial" w:hAnsi="Arial" w:cs="Arial"/>
          <w:lang w:eastAsia="en-AU"/>
        </w:rPr>
        <w:t xml:space="preserve">, the research activities on Heron and Lizard Islands and GBRMPA.  While it is estimated that this covers </w:t>
      </w:r>
      <w:r w:rsidR="00500164" w:rsidRPr="00DF3703">
        <w:rPr>
          <w:rFonts w:ascii="Arial" w:hAnsi="Arial" w:cs="Arial"/>
          <w:lang w:eastAsia="en-AU"/>
        </w:rPr>
        <w:t>the majority</w:t>
      </w:r>
      <w:r w:rsidRPr="00DF3703">
        <w:rPr>
          <w:rFonts w:ascii="Arial" w:hAnsi="Arial" w:cs="Arial"/>
          <w:lang w:eastAsia="en-AU"/>
        </w:rPr>
        <w:t xml:space="preserve"> of scientific research </w:t>
      </w:r>
      <w:r w:rsidR="007F0C11" w:rsidRPr="00DF3703">
        <w:rPr>
          <w:rFonts w:ascii="Arial" w:hAnsi="Arial" w:cs="Arial"/>
          <w:lang w:eastAsia="en-AU"/>
        </w:rPr>
        <w:t xml:space="preserve">and management </w:t>
      </w:r>
      <w:r w:rsidR="00943FD5">
        <w:rPr>
          <w:rFonts w:ascii="Arial" w:hAnsi="Arial" w:cs="Arial"/>
          <w:lang w:eastAsia="en-AU"/>
        </w:rPr>
        <w:t>economic activity</w:t>
      </w:r>
      <w:r w:rsidR="007F0C11" w:rsidRPr="00DF3703">
        <w:rPr>
          <w:rFonts w:ascii="Arial" w:hAnsi="Arial" w:cs="Arial"/>
          <w:lang w:eastAsia="en-AU"/>
        </w:rPr>
        <w:t xml:space="preserve"> </w:t>
      </w:r>
      <w:r w:rsidRPr="00DF3703">
        <w:rPr>
          <w:rFonts w:ascii="Arial" w:hAnsi="Arial" w:cs="Arial"/>
          <w:lang w:eastAsia="en-AU"/>
        </w:rPr>
        <w:t xml:space="preserve">on the Reef, improvements to </w:t>
      </w:r>
      <w:r w:rsidR="00500164" w:rsidRPr="00DF3703">
        <w:rPr>
          <w:rFonts w:ascii="Arial" w:hAnsi="Arial" w:cs="Arial"/>
          <w:lang w:eastAsia="en-AU"/>
        </w:rPr>
        <w:t xml:space="preserve">estimating </w:t>
      </w:r>
      <w:r w:rsidRPr="00DF3703">
        <w:rPr>
          <w:rFonts w:ascii="Arial" w:hAnsi="Arial" w:cs="Arial"/>
          <w:lang w:eastAsia="en-AU"/>
        </w:rPr>
        <w:t xml:space="preserve">the overall magnitude of activity could be made, for example; </w:t>
      </w:r>
      <w:r w:rsidR="00500164" w:rsidRPr="00DF3703">
        <w:rPr>
          <w:rFonts w:ascii="Arial" w:hAnsi="Arial" w:cs="Arial"/>
          <w:lang w:eastAsia="en-AU"/>
        </w:rPr>
        <w:t xml:space="preserve">adding </w:t>
      </w:r>
      <w:r w:rsidRPr="00DF3703">
        <w:rPr>
          <w:rFonts w:ascii="Arial" w:hAnsi="Arial" w:cs="Arial"/>
          <w:lang w:eastAsia="en-AU"/>
        </w:rPr>
        <w:t>One Tree Island and Orpheus Island</w:t>
      </w:r>
      <w:r w:rsidR="007F0C11" w:rsidRPr="00DF3703">
        <w:rPr>
          <w:rFonts w:ascii="Arial" w:hAnsi="Arial" w:cs="Arial"/>
          <w:lang w:eastAsia="en-AU"/>
        </w:rPr>
        <w:t>, and other management agencies</w:t>
      </w:r>
      <w:r w:rsidRPr="00DF3703">
        <w:rPr>
          <w:rFonts w:ascii="Arial" w:hAnsi="Arial" w:cs="Arial"/>
          <w:lang w:eastAsia="en-AU"/>
        </w:rPr>
        <w:t>.</w:t>
      </w:r>
    </w:p>
    <w:p w:rsidR="00A576B9" w:rsidRPr="00DF3703" w:rsidRDefault="006B7D88" w:rsidP="00957737">
      <w:pPr>
        <w:pStyle w:val="BodyText"/>
        <w:rPr>
          <w:rFonts w:ascii="Arial" w:hAnsi="Arial" w:cs="Arial"/>
          <w:lang w:eastAsia="en-AU"/>
        </w:rPr>
      </w:pPr>
      <w:r w:rsidRPr="00DF3703">
        <w:rPr>
          <w:rFonts w:ascii="Arial" w:hAnsi="Arial" w:cs="Arial"/>
          <w:lang w:eastAsia="en-AU"/>
        </w:rPr>
        <w:lastRenderedPageBreak/>
        <w:t xml:space="preserve">Moreover there is also </w:t>
      </w:r>
      <w:r w:rsidR="00943FD5">
        <w:rPr>
          <w:rFonts w:ascii="Arial" w:hAnsi="Arial" w:cs="Arial"/>
          <w:lang w:eastAsia="en-AU"/>
        </w:rPr>
        <w:t>a</w:t>
      </w:r>
      <w:r w:rsidR="00943FD5" w:rsidRPr="00DF3703">
        <w:rPr>
          <w:rFonts w:ascii="Arial" w:hAnsi="Arial" w:cs="Arial"/>
          <w:lang w:eastAsia="en-AU"/>
        </w:rPr>
        <w:t xml:space="preserve"> </w:t>
      </w:r>
      <w:r w:rsidR="00500164" w:rsidRPr="00DF3703">
        <w:rPr>
          <w:rFonts w:ascii="Arial" w:hAnsi="Arial" w:cs="Arial"/>
          <w:lang w:eastAsia="en-AU"/>
        </w:rPr>
        <w:t>much broader range</w:t>
      </w:r>
      <w:r w:rsidRPr="00DF3703">
        <w:rPr>
          <w:rFonts w:ascii="Arial" w:hAnsi="Arial" w:cs="Arial"/>
          <w:lang w:eastAsia="en-AU"/>
        </w:rPr>
        <w:t xml:space="preserve"> of organisations that may undertake Reef-related scientific research </w:t>
      </w:r>
      <w:r w:rsidR="007F0C11" w:rsidRPr="00DF3703">
        <w:rPr>
          <w:rFonts w:ascii="Arial" w:hAnsi="Arial" w:cs="Arial"/>
          <w:lang w:eastAsia="en-AU"/>
        </w:rPr>
        <w:t xml:space="preserve">and management </w:t>
      </w:r>
      <w:r w:rsidRPr="00DF3703">
        <w:rPr>
          <w:rFonts w:ascii="Arial" w:hAnsi="Arial" w:cs="Arial"/>
          <w:lang w:eastAsia="en-AU"/>
        </w:rPr>
        <w:t xml:space="preserve">including the </w:t>
      </w:r>
      <w:r w:rsidR="007F0C11" w:rsidRPr="00DF3703">
        <w:rPr>
          <w:rFonts w:ascii="Arial" w:hAnsi="Arial" w:cs="Arial"/>
          <w:lang w:eastAsia="en-AU"/>
        </w:rPr>
        <w:t>Commonwealth Department of Sustainability Environment Water Population and Communities (DSEWPaC)</w:t>
      </w:r>
      <w:r w:rsidR="00943FD5">
        <w:rPr>
          <w:rFonts w:ascii="Arial" w:hAnsi="Arial" w:cs="Arial"/>
          <w:lang w:eastAsia="en-AU"/>
        </w:rPr>
        <w:t>,</w:t>
      </w:r>
      <w:r w:rsidR="007F0C11" w:rsidRPr="00DF3703">
        <w:rPr>
          <w:rFonts w:ascii="Arial" w:hAnsi="Arial" w:cs="Arial"/>
          <w:lang w:eastAsia="en-AU"/>
        </w:rPr>
        <w:t xml:space="preserve"> </w:t>
      </w:r>
      <w:r w:rsidRPr="00DF3703">
        <w:rPr>
          <w:rFonts w:ascii="Arial" w:hAnsi="Arial" w:cs="Arial"/>
          <w:lang w:eastAsia="en-AU"/>
        </w:rPr>
        <w:t xml:space="preserve">CSIRO, </w:t>
      </w:r>
      <w:r w:rsidR="006630BC">
        <w:rPr>
          <w:rFonts w:ascii="Arial" w:hAnsi="Arial" w:cs="Arial"/>
          <w:lang w:eastAsia="en-AU"/>
        </w:rPr>
        <w:t xml:space="preserve">relevant Queensland Government agencies (including </w:t>
      </w:r>
      <w:r w:rsidRPr="00DF3703">
        <w:rPr>
          <w:rFonts w:ascii="Arial" w:hAnsi="Arial" w:cs="Arial"/>
          <w:lang w:eastAsia="en-AU"/>
        </w:rPr>
        <w:t>Queensland Fisheries</w:t>
      </w:r>
      <w:r w:rsidR="006630BC">
        <w:rPr>
          <w:rFonts w:ascii="Arial" w:hAnsi="Arial" w:cs="Arial"/>
          <w:lang w:eastAsia="en-AU"/>
        </w:rPr>
        <w:t>)</w:t>
      </w:r>
      <w:r w:rsidRPr="00DF3703">
        <w:rPr>
          <w:rFonts w:ascii="Arial" w:hAnsi="Arial" w:cs="Arial"/>
          <w:lang w:eastAsia="en-AU"/>
        </w:rPr>
        <w:t>, the Fisheries Research and Development Corporation and other Australian universities.</w:t>
      </w:r>
    </w:p>
    <w:p w:rsidR="002010DD" w:rsidRPr="00DF3703" w:rsidRDefault="006B7D88" w:rsidP="002010DD">
      <w:pPr>
        <w:pStyle w:val="MajorHeading"/>
        <w:rPr>
          <w:rFonts w:ascii="Segoe UI" w:hAnsi="Segoe UI" w:cs="Segoe UI"/>
          <w:lang w:eastAsia="en-AU"/>
        </w:rPr>
      </w:pPr>
      <w:bookmarkStart w:id="142" w:name="_Toc355701000"/>
      <w:r w:rsidRPr="00DF3703">
        <w:rPr>
          <w:rFonts w:ascii="Segoe UI" w:hAnsi="Segoe UI" w:cs="Segoe UI"/>
          <w:lang w:eastAsia="en-AU"/>
        </w:rPr>
        <w:lastRenderedPageBreak/>
        <w:t>References</w:t>
      </w:r>
      <w:bookmarkEnd w:id="142"/>
    </w:p>
    <w:p w:rsidR="00934404" w:rsidRPr="00DF3703" w:rsidRDefault="006B7D88" w:rsidP="002010DD">
      <w:pPr>
        <w:pStyle w:val="BodyText"/>
        <w:ind w:left="567" w:hanging="567"/>
        <w:rPr>
          <w:rFonts w:ascii="Arial" w:hAnsi="Arial" w:cs="Arial"/>
          <w:i/>
        </w:rPr>
      </w:pPr>
      <w:r w:rsidRPr="00DF3703">
        <w:rPr>
          <w:rFonts w:ascii="Arial" w:hAnsi="Arial" w:cs="Arial"/>
        </w:rPr>
        <w:t xml:space="preserve">Australian Bureau of Statistics, </w:t>
      </w:r>
      <w:r w:rsidRPr="00DF3703">
        <w:rPr>
          <w:rFonts w:ascii="Arial" w:hAnsi="Arial" w:cs="Arial"/>
          <w:i/>
        </w:rPr>
        <w:t>Household Expenditure Survey 2009-10 (ABS cat. no. 6530.0)</w:t>
      </w:r>
    </w:p>
    <w:p w:rsidR="00E910D6" w:rsidRPr="00DF3703" w:rsidRDefault="006B7D88" w:rsidP="002010DD">
      <w:pPr>
        <w:pStyle w:val="BodyText"/>
        <w:ind w:left="567" w:hanging="567"/>
        <w:rPr>
          <w:rFonts w:ascii="Arial" w:hAnsi="Arial" w:cs="Arial"/>
        </w:rPr>
      </w:pPr>
      <w:r w:rsidRPr="00DF3703">
        <w:rPr>
          <w:rFonts w:ascii="Arial" w:hAnsi="Arial" w:cs="Arial"/>
        </w:rPr>
        <w:t xml:space="preserve">Australian Bureau of Statistics, </w:t>
      </w:r>
      <w:r w:rsidRPr="00DF3703">
        <w:rPr>
          <w:rFonts w:ascii="Arial" w:hAnsi="Arial" w:cs="Arial"/>
          <w:i/>
        </w:rPr>
        <w:t>Census of Population and Housing</w:t>
      </w:r>
      <w:r w:rsidRPr="00DF3703">
        <w:rPr>
          <w:rFonts w:ascii="Arial" w:hAnsi="Arial" w:cs="Arial"/>
        </w:rPr>
        <w:t>, various data 2011</w:t>
      </w:r>
    </w:p>
    <w:p w:rsidR="006A23E4" w:rsidRPr="00DF3703" w:rsidRDefault="006B7D88" w:rsidP="006A23E4">
      <w:pPr>
        <w:pStyle w:val="BodyText"/>
        <w:ind w:left="567" w:hanging="567"/>
        <w:rPr>
          <w:rFonts w:ascii="Arial" w:hAnsi="Arial" w:cs="Arial"/>
          <w:i/>
        </w:rPr>
      </w:pPr>
      <w:r w:rsidRPr="00DF3703">
        <w:rPr>
          <w:rFonts w:ascii="Arial" w:hAnsi="Arial" w:cs="Arial"/>
        </w:rPr>
        <w:t xml:space="preserve">Australian Bureau of Statistics, </w:t>
      </w:r>
      <w:r w:rsidRPr="00DF3703">
        <w:rPr>
          <w:rFonts w:ascii="Arial" w:hAnsi="Arial" w:cs="Arial"/>
          <w:i/>
        </w:rPr>
        <w:t>Australian National Accounts: Input-Output Tables, 2008-09 (ABS cat. no. 5209.0.55.001)</w:t>
      </w:r>
    </w:p>
    <w:p w:rsidR="003D47E7" w:rsidRPr="00DF3703" w:rsidRDefault="006B7D88" w:rsidP="002010DD">
      <w:pPr>
        <w:pStyle w:val="BodyText"/>
        <w:ind w:left="567" w:hanging="567"/>
        <w:rPr>
          <w:rFonts w:ascii="Arial" w:hAnsi="Arial" w:cs="Arial"/>
          <w:lang w:eastAsia="en-AU"/>
        </w:rPr>
      </w:pPr>
      <w:r w:rsidRPr="00DF3703">
        <w:rPr>
          <w:rFonts w:ascii="Arial" w:hAnsi="Arial" w:cs="Arial"/>
          <w:lang w:eastAsia="en-AU"/>
        </w:rPr>
        <w:t>Australian Coral Reef Society, 2010. “Newsletter – 2010”. Accessed online via http://www.australiancoralreefsociety.org/c/document_library/get_file?uuid=3a891b1b-dee1-4041-a100-68d42ccad8b9&amp;groupId=10136</w:t>
      </w:r>
    </w:p>
    <w:p w:rsidR="00934404" w:rsidRPr="00DF3703" w:rsidRDefault="006B7D88" w:rsidP="002010DD">
      <w:pPr>
        <w:pStyle w:val="BodyText"/>
        <w:ind w:left="567" w:hanging="567"/>
        <w:rPr>
          <w:rFonts w:ascii="Arial" w:hAnsi="Arial" w:cs="Arial"/>
          <w:lang w:eastAsia="en-AU"/>
        </w:rPr>
      </w:pPr>
      <w:r w:rsidRPr="00DF3703">
        <w:rPr>
          <w:rFonts w:ascii="Arial" w:hAnsi="Arial" w:cs="Arial"/>
          <w:lang w:eastAsia="en-AU"/>
        </w:rPr>
        <w:t xml:space="preserve">Australian Institute of Marine Science, </w:t>
      </w:r>
      <w:r w:rsidRPr="00DF3703">
        <w:rPr>
          <w:rFonts w:ascii="Arial" w:hAnsi="Arial" w:cs="Arial"/>
          <w:i/>
          <w:lang w:eastAsia="en-AU"/>
        </w:rPr>
        <w:t>Annual Report 2011-12</w:t>
      </w:r>
    </w:p>
    <w:p w:rsidR="00934404" w:rsidRPr="00DF3703" w:rsidRDefault="006B7D88" w:rsidP="002010DD">
      <w:pPr>
        <w:pStyle w:val="BodyText"/>
        <w:ind w:left="567" w:hanging="567"/>
        <w:rPr>
          <w:rFonts w:ascii="Arial" w:hAnsi="Arial" w:cs="Arial"/>
          <w:lang w:eastAsia="en-AU"/>
        </w:rPr>
      </w:pPr>
      <w:r w:rsidRPr="00DF3703">
        <w:rPr>
          <w:rFonts w:ascii="Arial" w:hAnsi="Arial" w:cs="Arial"/>
          <w:lang w:eastAsia="en-AU"/>
        </w:rPr>
        <w:t xml:space="preserve">Australian Museum, </w:t>
      </w:r>
      <w:r w:rsidRPr="00DF3703">
        <w:rPr>
          <w:rFonts w:ascii="Arial" w:hAnsi="Arial" w:cs="Arial"/>
          <w:i/>
          <w:lang w:eastAsia="en-AU"/>
        </w:rPr>
        <w:t>Lizard Island Research Station Upgrade 1 July 2010 to 30 June 2011</w:t>
      </w:r>
      <w:r w:rsidRPr="00DF3703">
        <w:rPr>
          <w:rFonts w:ascii="Arial" w:hAnsi="Arial" w:cs="Arial"/>
          <w:lang w:eastAsia="en-AU"/>
        </w:rPr>
        <w:t>, November 2011</w:t>
      </w:r>
    </w:p>
    <w:p w:rsidR="00093D2B" w:rsidRPr="00DF3703" w:rsidRDefault="006B7D88" w:rsidP="002010DD">
      <w:pPr>
        <w:pStyle w:val="BodyText"/>
        <w:ind w:left="567" w:hanging="567"/>
        <w:rPr>
          <w:rFonts w:ascii="Arial" w:hAnsi="Arial" w:cs="Arial"/>
          <w:lang w:eastAsia="en-AU"/>
        </w:rPr>
      </w:pPr>
      <w:r w:rsidRPr="00DF3703">
        <w:rPr>
          <w:rFonts w:ascii="Arial" w:hAnsi="Arial" w:cs="Arial"/>
          <w:lang w:eastAsia="en-AU"/>
        </w:rPr>
        <w:t xml:space="preserve">Australian Research Council, 2012 </w:t>
      </w:r>
      <w:r w:rsidRPr="00DF3703">
        <w:rPr>
          <w:rFonts w:ascii="Arial" w:hAnsi="Arial" w:cs="Arial"/>
          <w:i/>
          <w:lang w:eastAsia="en-AU"/>
        </w:rPr>
        <w:t>National Competitive Grants Program Dataset</w:t>
      </w:r>
      <w:r w:rsidRPr="00DF3703">
        <w:rPr>
          <w:rFonts w:ascii="Arial" w:hAnsi="Arial" w:cs="Arial"/>
          <w:lang w:eastAsia="en-AU"/>
        </w:rPr>
        <w:t xml:space="preserve"> Accessed online via http://www.arc.gov.au/general/searchable_data.htm</w:t>
      </w:r>
    </w:p>
    <w:p w:rsidR="00E4121D" w:rsidRPr="00DF3703" w:rsidRDefault="006B7D88" w:rsidP="00E4121D">
      <w:pPr>
        <w:pStyle w:val="BodyText"/>
        <w:ind w:left="567" w:hanging="567"/>
        <w:rPr>
          <w:rStyle w:val="Hyperlink"/>
          <w:rFonts w:ascii="Arial" w:hAnsi="Arial" w:cs="Arial"/>
          <w:lang w:eastAsia="en-AU"/>
        </w:rPr>
      </w:pPr>
      <w:r w:rsidRPr="00DF3703">
        <w:rPr>
          <w:rFonts w:ascii="Arial" w:hAnsi="Arial" w:cs="Arial"/>
          <w:lang w:eastAsia="en-AU"/>
        </w:rPr>
        <w:t xml:space="preserve">Great Barrier Reef Marine Park Authority (GBRMPA), 2011 </w:t>
      </w:r>
      <w:r w:rsidRPr="00DF3703">
        <w:rPr>
          <w:rFonts w:ascii="Arial" w:hAnsi="Arial" w:cs="Arial"/>
          <w:i/>
          <w:lang w:eastAsia="en-AU"/>
        </w:rPr>
        <w:t>Animals</w:t>
      </w:r>
      <w:r w:rsidRPr="00DF3703">
        <w:rPr>
          <w:rFonts w:ascii="Arial" w:hAnsi="Arial" w:cs="Arial"/>
          <w:lang w:eastAsia="en-AU"/>
        </w:rPr>
        <w:t xml:space="preserve"> Accessed online via </w:t>
      </w:r>
      <w:hyperlink r:id="rId39" w:history="1">
        <w:r w:rsidRPr="00DF3703">
          <w:rPr>
            <w:rStyle w:val="Hyperlink"/>
            <w:rFonts w:ascii="Arial" w:hAnsi="Arial" w:cs="Arial"/>
            <w:lang w:eastAsia="en-AU"/>
          </w:rPr>
          <w:t>http://www.gbrmpa.gov.au/about-the-reef/animals</w:t>
        </w:r>
      </w:hyperlink>
    </w:p>
    <w:p w:rsidR="00934404" w:rsidRPr="00DF3703" w:rsidRDefault="006B7D88" w:rsidP="00E4121D">
      <w:pPr>
        <w:pStyle w:val="BodyText"/>
        <w:ind w:left="567" w:hanging="567"/>
        <w:rPr>
          <w:rFonts w:ascii="Arial" w:hAnsi="Arial" w:cs="Arial"/>
          <w:i/>
          <w:lang w:eastAsia="en-AU"/>
        </w:rPr>
      </w:pPr>
      <w:r w:rsidRPr="00DF3703">
        <w:rPr>
          <w:rFonts w:ascii="Arial" w:hAnsi="Arial" w:cs="Arial"/>
          <w:lang w:eastAsia="en-AU"/>
        </w:rPr>
        <w:t xml:space="preserve">Great Barrier Reef Marine Park Authority (GBRMPA), 2012, </w:t>
      </w:r>
      <w:r w:rsidRPr="00DF3703">
        <w:rPr>
          <w:rFonts w:ascii="Arial" w:hAnsi="Arial" w:cs="Arial"/>
          <w:i/>
          <w:lang w:eastAsia="en-AU"/>
        </w:rPr>
        <w:t>Annual Report 2011-12</w:t>
      </w:r>
    </w:p>
    <w:p w:rsidR="00B41333" w:rsidRPr="00DF3703" w:rsidRDefault="006B7D88" w:rsidP="00E4121D">
      <w:pPr>
        <w:pStyle w:val="BodyText"/>
        <w:ind w:left="567" w:hanging="567"/>
        <w:rPr>
          <w:rFonts w:ascii="Arial" w:hAnsi="Arial" w:cs="Arial"/>
          <w:lang w:eastAsia="en-AU"/>
        </w:rPr>
      </w:pPr>
      <w:r w:rsidRPr="00DF3703">
        <w:rPr>
          <w:rFonts w:ascii="Arial" w:hAnsi="Arial" w:cs="Arial"/>
          <w:lang w:eastAsia="en-AU"/>
        </w:rPr>
        <w:t xml:space="preserve">John Rolfe, Daniel Gregg and Gail Tucker </w:t>
      </w:r>
      <w:r w:rsidRPr="00DF3703">
        <w:rPr>
          <w:rFonts w:ascii="Arial" w:hAnsi="Arial" w:cs="Arial"/>
          <w:i/>
          <w:lang w:eastAsia="en-AU"/>
        </w:rPr>
        <w:t>Valuing local recreation in the Great Barrier Reef, Australia</w:t>
      </w:r>
      <w:r w:rsidRPr="00DF3703">
        <w:rPr>
          <w:rFonts w:ascii="Arial" w:hAnsi="Arial" w:cs="Arial"/>
          <w:lang w:eastAsia="en-AU"/>
        </w:rPr>
        <w:t xml:space="preserve"> August 2011</w:t>
      </w:r>
    </w:p>
    <w:p w:rsidR="006A23E4" w:rsidRPr="00DF3703" w:rsidRDefault="006B7D88" w:rsidP="00E4121D">
      <w:pPr>
        <w:pStyle w:val="BodyText"/>
        <w:ind w:left="567" w:hanging="567"/>
        <w:rPr>
          <w:rFonts w:ascii="Arial" w:hAnsi="Arial" w:cs="Arial"/>
          <w:lang w:eastAsia="en-AU"/>
        </w:rPr>
      </w:pPr>
      <w:r w:rsidRPr="00DF3703">
        <w:rPr>
          <w:rFonts w:ascii="Arial" w:hAnsi="Arial" w:cs="Arial"/>
        </w:rPr>
        <w:t>Max Wingfield and Dan Willett, Ross Lobegeiger Report to Farmers, July 2011</w:t>
      </w:r>
    </w:p>
    <w:p w:rsidR="0082152B" w:rsidRPr="00DF3703" w:rsidRDefault="006B7D88" w:rsidP="002010DD">
      <w:pPr>
        <w:pStyle w:val="BodyText"/>
        <w:ind w:left="567" w:hanging="567"/>
        <w:rPr>
          <w:rStyle w:val="Hyperlink"/>
          <w:rFonts w:ascii="Arial" w:hAnsi="Arial" w:cs="Arial"/>
          <w:lang w:eastAsia="en-AU"/>
        </w:rPr>
      </w:pPr>
      <w:r w:rsidRPr="00DF3703">
        <w:rPr>
          <w:rFonts w:ascii="Arial" w:hAnsi="Arial" w:cs="Arial"/>
          <w:lang w:eastAsia="en-AU"/>
        </w:rPr>
        <w:t xml:space="preserve">National Geographic, n.d., “Great Barrier Reef – World Heritage Site” Accessed online via </w:t>
      </w:r>
      <w:hyperlink r:id="rId40" w:history="1">
        <w:r w:rsidRPr="00DF3703">
          <w:rPr>
            <w:rStyle w:val="Hyperlink"/>
            <w:rFonts w:ascii="Arial" w:hAnsi="Arial" w:cs="Arial"/>
            <w:lang w:eastAsia="en-AU"/>
          </w:rPr>
          <w:t>http://travel.nationalgeographic.com/travel/world-heritage/great-barrier-reef/</w:t>
        </w:r>
      </w:hyperlink>
    </w:p>
    <w:p w:rsidR="00611C17" w:rsidRDefault="006B7D88" w:rsidP="00611C17">
      <w:pPr>
        <w:pStyle w:val="BodyText"/>
        <w:ind w:left="567" w:hanging="567"/>
        <w:rPr>
          <w:rFonts w:ascii="Arial" w:hAnsi="Arial" w:cs="Arial"/>
        </w:rPr>
      </w:pPr>
      <w:r w:rsidRPr="00DF3703">
        <w:rPr>
          <w:rFonts w:ascii="Arial" w:hAnsi="Arial" w:cs="Arial"/>
        </w:rPr>
        <w:t xml:space="preserve">Productivity Commission (1999), </w:t>
      </w:r>
      <w:r w:rsidRPr="00DF3703">
        <w:rPr>
          <w:rFonts w:ascii="Arial" w:hAnsi="Arial" w:cs="Arial"/>
          <w:i/>
        </w:rPr>
        <w:t>Australia’s Gambling Industries</w:t>
      </w:r>
      <w:r w:rsidRPr="00DF3703">
        <w:rPr>
          <w:rFonts w:ascii="Arial" w:hAnsi="Arial" w:cs="Arial"/>
        </w:rPr>
        <w:t>, Report No. 10, AusInfo, Canberra, (page 4.19).</w:t>
      </w:r>
    </w:p>
    <w:p w:rsidR="00611C17" w:rsidRPr="00611C17" w:rsidRDefault="00611C17" w:rsidP="00611C17">
      <w:pPr>
        <w:pStyle w:val="BodyText"/>
        <w:ind w:left="567" w:hanging="567"/>
        <w:rPr>
          <w:rFonts w:ascii="Arial" w:hAnsi="Arial" w:cs="Arial"/>
          <w:szCs w:val="22"/>
        </w:rPr>
      </w:pPr>
      <w:r w:rsidRPr="00611C17">
        <w:rPr>
          <w:rFonts w:ascii="Arial" w:hAnsi="Arial" w:cs="Arial"/>
          <w:szCs w:val="22"/>
        </w:rPr>
        <w:t>Tour</w:t>
      </w:r>
      <w:r>
        <w:rPr>
          <w:rFonts w:ascii="Arial" w:hAnsi="Arial" w:cs="Arial"/>
          <w:szCs w:val="22"/>
        </w:rPr>
        <w:t xml:space="preserve">ism Research Australia (2012), </w:t>
      </w:r>
      <w:r w:rsidRPr="00611C17">
        <w:rPr>
          <w:rFonts w:ascii="Arial" w:hAnsi="Arial" w:cs="Arial"/>
          <w:i/>
          <w:szCs w:val="22"/>
        </w:rPr>
        <w:t>International Visitors in Australia</w:t>
      </w:r>
      <w:r w:rsidRPr="00611C17">
        <w:rPr>
          <w:rFonts w:ascii="Arial" w:hAnsi="Arial" w:cs="Arial"/>
          <w:szCs w:val="22"/>
        </w:rPr>
        <w:t xml:space="preserve">, Quarterly Results of the International Visitor Survey June 2012 (and associated online data). </w:t>
      </w:r>
    </w:p>
    <w:p w:rsidR="00611C17" w:rsidRPr="00611C17" w:rsidRDefault="00611C17" w:rsidP="00611C17">
      <w:pPr>
        <w:pStyle w:val="BodyText"/>
        <w:ind w:left="567" w:hanging="567"/>
        <w:rPr>
          <w:rFonts w:ascii="Arial" w:hAnsi="Arial" w:cs="Arial"/>
          <w:szCs w:val="22"/>
        </w:rPr>
      </w:pPr>
      <w:r w:rsidRPr="00611C17">
        <w:rPr>
          <w:rFonts w:ascii="Arial" w:hAnsi="Arial" w:cs="Arial"/>
          <w:szCs w:val="22"/>
        </w:rPr>
        <w:t>Tourism Research Australia</w:t>
      </w:r>
      <w:r>
        <w:rPr>
          <w:rFonts w:ascii="Arial" w:hAnsi="Arial" w:cs="Arial"/>
          <w:szCs w:val="22"/>
        </w:rPr>
        <w:t xml:space="preserve"> (2012), </w:t>
      </w:r>
      <w:r w:rsidRPr="00611C17">
        <w:rPr>
          <w:rFonts w:ascii="Arial" w:hAnsi="Arial" w:cs="Arial"/>
          <w:i/>
          <w:szCs w:val="22"/>
        </w:rPr>
        <w:t>Travel by Australians</w:t>
      </w:r>
      <w:r w:rsidRPr="00611C17">
        <w:rPr>
          <w:rFonts w:ascii="Arial" w:hAnsi="Arial" w:cs="Arial"/>
          <w:szCs w:val="22"/>
        </w:rPr>
        <w:t xml:space="preserve">, Quarterly Results of the National Visitor Survey June 2012 (and associated online data). </w:t>
      </w:r>
    </w:p>
    <w:p w:rsidR="00611C17" w:rsidRPr="00611C17" w:rsidRDefault="00611C17" w:rsidP="00611C17">
      <w:pPr>
        <w:pStyle w:val="BodyText"/>
        <w:ind w:left="567" w:hanging="567"/>
        <w:rPr>
          <w:rFonts w:ascii="Arial" w:hAnsi="Arial" w:cs="Arial"/>
          <w:szCs w:val="22"/>
        </w:rPr>
      </w:pPr>
      <w:r w:rsidRPr="00611C17">
        <w:rPr>
          <w:rFonts w:ascii="Arial" w:hAnsi="Arial" w:cs="Arial"/>
          <w:szCs w:val="22"/>
        </w:rPr>
        <w:t>Tour</w:t>
      </w:r>
      <w:r>
        <w:rPr>
          <w:rFonts w:ascii="Arial" w:hAnsi="Arial" w:cs="Arial"/>
          <w:szCs w:val="22"/>
        </w:rPr>
        <w:t xml:space="preserve">ism Research Australia (2012), </w:t>
      </w:r>
      <w:r w:rsidRPr="00611C17">
        <w:rPr>
          <w:rFonts w:ascii="Arial" w:hAnsi="Arial" w:cs="Arial"/>
          <w:i/>
          <w:szCs w:val="22"/>
        </w:rPr>
        <w:t>Regional Tourism Profiles 2011/12</w:t>
      </w:r>
      <w:r w:rsidRPr="00611C17">
        <w:rPr>
          <w:rFonts w:ascii="Arial" w:hAnsi="Arial" w:cs="Arial"/>
          <w:szCs w:val="22"/>
        </w:rPr>
        <w:t xml:space="preserve">, available from: </w:t>
      </w:r>
      <w:hyperlink r:id="rId41" w:history="1">
        <w:r w:rsidRPr="00611C17">
          <w:rPr>
            <w:rStyle w:val="Hyperlink"/>
            <w:rFonts w:ascii="Arial" w:hAnsi="Arial" w:cs="Arial"/>
            <w:szCs w:val="22"/>
          </w:rPr>
          <w:t>http://www.ret.gov.au/tourism/research/tra/Pages/default.aspx</w:t>
        </w:r>
      </w:hyperlink>
      <w:r w:rsidRPr="00611C17">
        <w:rPr>
          <w:rFonts w:ascii="Arial" w:hAnsi="Arial" w:cs="Arial"/>
          <w:szCs w:val="22"/>
        </w:rPr>
        <w:t xml:space="preserve"> (Excel database). Earlier versions of this data are available here: </w:t>
      </w:r>
      <w:hyperlink r:id="rId42" w:history="1">
        <w:r w:rsidRPr="00611C17">
          <w:rPr>
            <w:rStyle w:val="Hyperlink"/>
            <w:rFonts w:ascii="Arial" w:hAnsi="Arial" w:cs="Arial"/>
            <w:szCs w:val="22"/>
          </w:rPr>
          <w:t>http://www.ret.gov.au/Department/archive/tourism-review/tra/regional/tourism/Pages/default.aspx</w:t>
        </w:r>
      </w:hyperlink>
      <w:r w:rsidRPr="00611C17">
        <w:rPr>
          <w:rFonts w:ascii="Arial" w:hAnsi="Arial" w:cs="Arial"/>
          <w:szCs w:val="22"/>
        </w:rPr>
        <w:t>.</w:t>
      </w:r>
    </w:p>
    <w:p w:rsidR="00611C17" w:rsidRPr="00611C17" w:rsidRDefault="00611C17" w:rsidP="00611C17">
      <w:pPr>
        <w:pStyle w:val="BodyText"/>
        <w:ind w:left="567" w:hanging="567"/>
        <w:rPr>
          <w:rFonts w:ascii="Arial" w:hAnsi="Arial" w:cs="Arial"/>
          <w:szCs w:val="22"/>
        </w:rPr>
      </w:pPr>
      <w:r w:rsidRPr="00611C17">
        <w:rPr>
          <w:rFonts w:ascii="Arial" w:hAnsi="Arial" w:cs="Arial"/>
          <w:szCs w:val="22"/>
        </w:rPr>
        <w:t>Australia</w:t>
      </w:r>
      <w:r>
        <w:rPr>
          <w:rFonts w:ascii="Arial" w:hAnsi="Arial" w:cs="Arial"/>
          <w:szCs w:val="22"/>
        </w:rPr>
        <w:t xml:space="preserve">n Bureau of Statistics (2011), </w:t>
      </w:r>
      <w:r w:rsidRPr="00611C17">
        <w:rPr>
          <w:rFonts w:ascii="Arial" w:hAnsi="Arial" w:cs="Arial"/>
          <w:i/>
          <w:szCs w:val="22"/>
        </w:rPr>
        <w:t>Australian National Accounts: Tourism Satellite Account, 2010-11</w:t>
      </w:r>
      <w:r w:rsidRPr="00611C17">
        <w:rPr>
          <w:rFonts w:ascii="Arial" w:hAnsi="Arial" w:cs="Arial"/>
          <w:szCs w:val="22"/>
        </w:rPr>
        <w:t>,Catalogue Number 5249.0.</w:t>
      </w:r>
    </w:p>
    <w:p w:rsidR="00611C17" w:rsidRPr="00611C17" w:rsidRDefault="00611C17" w:rsidP="00611C17">
      <w:pPr>
        <w:pStyle w:val="BodyText"/>
        <w:ind w:left="567" w:hanging="567"/>
        <w:rPr>
          <w:rFonts w:ascii="Arial" w:hAnsi="Arial" w:cs="Arial"/>
          <w:szCs w:val="22"/>
          <w:lang w:eastAsia="en-AU"/>
        </w:rPr>
      </w:pPr>
      <w:r w:rsidRPr="00611C17">
        <w:rPr>
          <w:rFonts w:ascii="Arial" w:hAnsi="Arial" w:cs="Arial"/>
          <w:szCs w:val="22"/>
        </w:rPr>
        <w:t>To</w:t>
      </w:r>
      <w:r>
        <w:rPr>
          <w:rFonts w:ascii="Arial" w:hAnsi="Arial" w:cs="Arial"/>
          <w:szCs w:val="22"/>
        </w:rPr>
        <w:t xml:space="preserve">urism Research Australia 2012. </w:t>
      </w:r>
      <w:r w:rsidRPr="00611C17">
        <w:rPr>
          <w:rFonts w:ascii="Arial" w:hAnsi="Arial" w:cs="Arial"/>
          <w:i/>
          <w:szCs w:val="22"/>
        </w:rPr>
        <w:t>State Tourism Satellite Accounts 2010-11</w:t>
      </w:r>
      <w:r w:rsidRPr="00611C17">
        <w:rPr>
          <w:rFonts w:ascii="Arial" w:hAnsi="Arial" w:cs="Arial"/>
          <w:szCs w:val="22"/>
        </w:rPr>
        <w:t xml:space="preserve">. </w:t>
      </w:r>
    </w:p>
    <w:p w:rsidR="00335498" w:rsidRPr="00DF3703" w:rsidRDefault="006B7D88" w:rsidP="002010DD">
      <w:pPr>
        <w:pStyle w:val="BodyText"/>
        <w:ind w:left="567" w:hanging="567"/>
        <w:rPr>
          <w:rStyle w:val="Hyperlink"/>
          <w:rFonts w:ascii="Arial" w:hAnsi="Arial" w:cs="Arial"/>
          <w:lang w:eastAsia="en-AU"/>
        </w:rPr>
      </w:pPr>
      <w:r w:rsidRPr="00DF3703">
        <w:rPr>
          <w:rFonts w:ascii="Arial" w:hAnsi="Arial" w:cs="Arial"/>
          <w:lang w:eastAsia="en-AU"/>
        </w:rPr>
        <w:t>United Nation Educational, Scientific and Cultura</w:t>
      </w:r>
      <w:r w:rsidR="00611C17">
        <w:rPr>
          <w:rFonts w:ascii="Arial" w:hAnsi="Arial" w:cs="Arial"/>
          <w:lang w:eastAsia="en-AU"/>
        </w:rPr>
        <w:t xml:space="preserve">l Organization (UNESCO), n.d., </w:t>
      </w:r>
      <w:r w:rsidRPr="00611C17">
        <w:rPr>
          <w:rFonts w:ascii="Arial" w:hAnsi="Arial" w:cs="Arial"/>
          <w:i/>
          <w:lang w:eastAsia="en-AU"/>
        </w:rPr>
        <w:t>Great Barrier Reef</w:t>
      </w:r>
      <w:r w:rsidR="00611C17" w:rsidRPr="00611C17">
        <w:rPr>
          <w:rFonts w:ascii="Arial" w:hAnsi="Arial" w:cs="Arial"/>
          <w:i/>
          <w:lang w:eastAsia="en-AU"/>
        </w:rPr>
        <w:t xml:space="preserve"> – UNESCO World Heritage Centre</w:t>
      </w:r>
      <w:r w:rsidRPr="00DF3703">
        <w:rPr>
          <w:rFonts w:ascii="Arial" w:hAnsi="Arial" w:cs="Arial"/>
          <w:lang w:eastAsia="en-AU"/>
        </w:rPr>
        <w:t xml:space="preserve">. Accessed online via </w:t>
      </w:r>
      <w:hyperlink r:id="rId43" w:history="1">
        <w:r w:rsidRPr="00DF3703">
          <w:rPr>
            <w:rStyle w:val="Hyperlink"/>
            <w:rFonts w:ascii="Arial" w:hAnsi="Arial" w:cs="Arial"/>
            <w:lang w:eastAsia="en-AU"/>
          </w:rPr>
          <w:t>http://whc.unesco.org/en/list/154</w:t>
        </w:r>
      </w:hyperlink>
    </w:p>
    <w:p w:rsidR="00E4121D" w:rsidRPr="00DF3703" w:rsidRDefault="006B7D88" w:rsidP="002010DD">
      <w:pPr>
        <w:pStyle w:val="BodyText"/>
        <w:ind w:left="567" w:hanging="567"/>
        <w:rPr>
          <w:rFonts w:ascii="Arial" w:hAnsi="Arial" w:cs="Arial"/>
          <w:lang w:eastAsia="en-AU"/>
        </w:rPr>
      </w:pPr>
      <w:r w:rsidRPr="00DF3703">
        <w:rPr>
          <w:rStyle w:val="Hyperlink"/>
          <w:rFonts w:ascii="Arial" w:hAnsi="Arial" w:cs="Arial"/>
          <w:lang w:eastAsia="en-AU"/>
        </w:rPr>
        <w:t>University of Queensland, The, n.d. “Heron Island Research Station: About Us”. Accessed online via http://www.uq.edu.au/heron-island-research-station/about-us</w:t>
      </w:r>
    </w:p>
    <w:p w:rsidR="00D13B29" w:rsidRPr="00DF3703" w:rsidRDefault="006B21AB" w:rsidP="007A0E95">
      <w:pPr>
        <w:pStyle w:val="Appendix"/>
        <w:numPr>
          <w:ilvl w:val="0"/>
          <w:numId w:val="35"/>
        </w:numPr>
        <w:rPr>
          <w:rFonts w:ascii="Arial" w:hAnsi="Arial" w:cs="Arial"/>
        </w:rPr>
      </w:pPr>
      <w:bookmarkStart w:id="143" w:name="_Toc215906321"/>
      <w:bookmarkStart w:id="144" w:name="_Toc227746678"/>
      <w:bookmarkStart w:id="145" w:name="_Toc227746682"/>
      <w:bookmarkStart w:id="146" w:name="_Toc227746686"/>
      <w:bookmarkStart w:id="147" w:name="_Toc227746690"/>
      <w:bookmarkStart w:id="148" w:name="_Toc227748312"/>
      <w:bookmarkStart w:id="149" w:name="_Toc227748330"/>
      <w:bookmarkStart w:id="150" w:name="_Toc227748334"/>
      <w:bookmarkStart w:id="151" w:name="_Toc227748338"/>
      <w:bookmarkStart w:id="152" w:name="_Toc227748377"/>
      <w:bookmarkStart w:id="153" w:name="_Toc227748381"/>
      <w:bookmarkStart w:id="154" w:name="_Toc227748385"/>
      <w:bookmarkStart w:id="155" w:name="_Toc227748497"/>
      <w:bookmarkStart w:id="156" w:name="_Toc227748501"/>
      <w:bookmarkStart w:id="157" w:name="_Toc228005208"/>
      <w:bookmarkStart w:id="158" w:name="_Toc228092499"/>
      <w:bookmarkStart w:id="159" w:name="_Toc228264954"/>
      <w:bookmarkStart w:id="160" w:name="_Toc228264976"/>
      <w:bookmarkStart w:id="161" w:name="_Toc228264980"/>
      <w:bookmarkStart w:id="162" w:name="_Toc228264984"/>
      <w:bookmarkStart w:id="163" w:name="_Toc228264988"/>
      <w:bookmarkStart w:id="164" w:name="_Toc228265218"/>
      <w:bookmarkStart w:id="165" w:name="_Ref347987637"/>
      <w:bookmarkStart w:id="166" w:name="_Toc355701001"/>
      <w:bookmarkStart w:id="167" w:name="_Ref340916226"/>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DF3703">
        <w:rPr>
          <w:rFonts w:ascii="Arial" w:hAnsi="Arial" w:cs="Arial"/>
        </w:rPr>
        <w:lastRenderedPageBreak/>
        <w:t xml:space="preserve">: Tourism Satellite Account </w:t>
      </w:r>
      <w:r w:rsidR="008D02A5" w:rsidRPr="00DF3703">
        <w:rPr>
          <w:rFonts w:ascii="Arial" w:hAnsi="Arial" w:cs="Arial"/>
        </w:rPr>
        <w:t>Method</w:t>
      </w:r>
      <w:bookmarkEnd w:id="165"/>
      <w:bookmarkEnd w:id="166"/>
    </w:p>
    <w:bookmarkEnd w:id="167"/>
    <w:p w:rsidR="00D13B29" w:rsidRPr="00DF3703" w:rsidRDefault="006B7D88" w:rsidP="00D13B29">
      <w:pPr>
        <w:pStyle w:val="Source"/>
        <w:spacing w:before="240"/>
        <w:rPr>
          <w:rFonts w:ascii="Arial" w:hAnsi="Arial"/>
          <w:sz w:val="22"/>
          <w:szCs w:val="22"/>
        </w:rPr>
      </w:pPr>
      <w:r w:rsidRPr="00DF3703">
        <w:rPr>
          <w:rFonts w:ascii="Arial" w:hAnsi="Arial"/>
          <w:sz w:val="22"/>
          <w:szCs w:val="22"/>
        </w:rPr>
        <w:t>This appendix provides an account of the economic contribution to Gross Domestic Product using the Tourism Satellite Accounting (TSA) framework.  Unlike the expenditure based approach outlined above in the tourism section</w:t>
      </w:r>
      <w:r w:rsidR="00070B65" w:rsidRPr="00DF3703">
        <w:rPr>
          <w:rFonts w:ascii="Arial" w:hAnsi="Arial"/>
          <w:sz w:val="22"/>
          <w:szCs w:val="22"/>
        </w:rPr>
        <w:t>,</w:t>
      </w:r>
      <w:r w:rsidRPr="00DF3703">
        <w:rPr>
          <w:rFonts w:ascii="Arial" w:hAnsi="Arial"/>
          <w:sz w:val="22"/>
          <w:szCs w:val="22"/>
        </w:rPr>
        <w:t xml:space="preserve"> the TSA framework provides for a wider scope of tourism-related consumption.  Under the TSA framework expenditure by tourists before and after a trip can be taken into account as long as they relate to the trip.  This may include buying of luggage or printing photos.</w:t>
      </w:r>
    </w:p>
    <w:p w:rsidR="00D13B29" w:rsidRPr="00DF3703" w:rsidRDefault="006B7D88" w:rsidP="00D13B29">
      <w:pPr>
        <w:pStyle w:val="Source"/>
        <w:spacing w:before="120"/>
        <w:rPr>
          <w:rFonts w:ascii="Arial" w:hAnsi="Arial"/>
          <w:sz w:val="22"/>
          <w:szCs w:val="22"/>
        </w:rPr>
      </w:pPr>
      <w:r w:rsidRPr="00DF3703">
        <w:rPr>
          <w:rFonts w:ascii="Arial" w:hAnsi="Arial"/>
          <w:sz w:val="22"/>
          <w:szCs w:val="22"/>
        </w:rPr>
        <w:t>Moreover the TSA also include non-expenditure items imputed into the tourism consumption bundle.  Imputed consumption, as defined in the TSA</w:t>
      </w:r>
      <w:r w:rsidR="00070B65" w:rsidRPr="00DF3703">
        <w:rPr>
          <w:rFonts w:ascii="Arial" w:hAnsi="Arial"/>
          <w:sz w:val="22"/>
          <w:szCs w:val="22"/>
        </w:rPr>
        <w:t>,</w:t>
      </w:r>
      <w:r w:rsidRPr="00DF3703">
        <w:rPr>
          <w:rFonts w:ascii="Arial" w:hAnsi="Arial"/>
          <w:sz w:val="22"/>
          <w:szCs w:val="22"/>
        </w:rPr>
        <w:t xml:space="preserve"> includes:</w:t>
      </w:r>
    </w:p>
    <w:p w:rsidR="00D13B29" w:rsidRPr="00DF3703" w:rsidRDefault="006B7D88" w:rsidP="00D13B29">
      <w:pPr>
        <w:pStyle w:val="Bullet1"/>
        <w:rPr>
          <w:rFonts w:ascii="Arial" w:hAnsi="Arial"/>
        </w:rPr>
      </w:pPr>
      <w:r w:rsidRPr="00DF3703">
        <w:rPr>
          <w:rFonts w:ascii="Arial" w:hAnsi="Arial"/>
        </w:rPr>
        <w:t>Services provided by one household to the visiting members of another household free of charge, including the value of goods such as food and purchased services provided by the host.</w:t>
      </w:r>
    </w:p>
    <w:p w:rsidR="00D13B29" w:rsidRPr="00DF3703" w:rsidRDefault="006B7D88" w:rsidP="00D13B29">
      <w:pPr>
        <w:pStyle w:val="Bullet1"/>
        <w:rPr>
          <w:rFonts w:ascii="Arial" w:hAnsi="Arial"/>
        </w:rPr>
      </w:pPr>
      <w:r w:rsidRPr="00DF3703">
        <w:rPr>
          <w:rFonts w:ascii="Arial" w:hAnsi="Arial"/>
        </w:rPr>
        <w:t>Housing services provided by holiday homes.</w:t>
      </w:r>
    </w:p>
    <w:p w:rsidR="00D13B29" w:rsidRPr="00DF3703" w:rsidRDefault="006B7D88" w:rsidP="00D13B29">
      <w:pPr>
        <w:pStyle w:val="Bullet1"/>
        <w:rPr>
          <w:rFonts w:ascii="Arial" w:hAnsi="Arial"/>
        </w:rPr>
      </w:pPr>
      <w:r w:rsidRPr="00DF3703">
        <w:rPr>
          <w:rFonts w:ascii="Arial" w:hAnsi="Arial"/>
        </w:rPr>
        <w:t>Imputed values of non-market services provided directly to visitors such as public museums, even though these may be provided free or at a price which is not economically significant.</w:t>
      </w:r>
    </w:p>
    <w:p w:rsidR="00D13B29" w:rsidRPr="00DF3703" w:rsidRDefault="006B7D88" w:rsidP="00D13B29">
      <w:pPr>
        <w:pStyle w:val="Source"/>
        <w:spacing w:before="240"/>
        <w:rPr>
          <w:rFonts w:ascii="Arial" w:hAnsi="Arial"/>
          <w:sz w:val="22"/>
          <w:szCs w:val="22"/>
        </w:rPr>
      </w:pPr>
      <w:r w:rsidRPr="00DF3703">
        <w:rPr>
          <w:rFonts w:ascii="Arial" w:hAnsi="Arial"/>
          <w:sz w:val="22"/>
          <w:szCs w:val="22"/>
        </w:rPr>
        <w:t xml:space="preserve">The Australian Bureau of Statistics publishes the national TSA, where Tourism Research Australia publishes the state equivalent.  The analysis below uses the Queensland-wide 2010-11 imputed tourism consumption to provide an indicative estimate of the tourism contribution using the TSA </w:t>
      </w:r>
      <w:r w:rsidR="008D02A5" w:rsidRPr="00DF3703">
        <w:rPr>
          <w:rFonts w:ascii="Arial" w:hAnsi="Arial"/>
          <w:sz w:val="22"/>
          <w:szCs w:val="22"/>
        </w:rPr>
        <w:t>method</w:t>
      </w:r>
      <w:r w:rsidRPr="00DF3703">
        <w:rPr>
          <w:rFonts w:ascii="Arial" w:hAnsi="Arial"/>
          <w:sz w:val="22"/>
          <w:szCs w:val="22"/>
        </w:rPr>
        <w:t>.</w:t>
      </w:r>
    </w:p>
    <w:p w:rsidR="00D13B29" w:rsidRPr="00DF3703" w:rsidRDefault="006B7D88" w:rsidP="00D13B29">
      <w:pPr>
        <w:pStyle w:val="Source"/>
        <w:spacing w:before="240"/>
        <w:rPr>
          <w:rFonts w:ascii="Arial" w:hAnsi="Arial"/>
          <w:sz w:val="22"/>
          <w:szCs w:val="22"/>
        </w:rPr>
      </w:pPr>
      <w:r w:rsidRPr="00DF3703">
        <w:rPr>
          <w:rFonts w:ascii="Arial" w:hAnsi="Arial"/>
          <w:sz w:val="22"/>
          <w:szCs w:val="22"/>
        </w:rPr>
        <w:t xml:space="preserve">Using the TSA </w:t>
      </w:r>
      <w:r w:rsidR="008D02A5" w:rsidRPr="00DF3703">
        <w:rPr>
          <w:rFonts w:ascii="Arial" w:hAnsi="Arial"/>
          <w:sz w:val="22"/>
          <w:szCs w:val="22"/>
        </w:rPr>
        <w:t>method</w:t>
      </w:r>
      <w:r w:rsidRPr="00DF3703">
        <w:rPr>
          <w:rFonts w:ascii="Arial" w:hAnsi="Arial"/>
          <w:sz w:val="22"/>
          <w:szCs w:val="22"/>
        </w:rPr>
        <w:t xml:space="preserve"> the contribution to GSP is $7.26 billion in the year 2012.  This is based on a modelled tourist consumption of just over $8.0 billion, see </w:t>
      </w:r>
      <w:fldSimple w:instr=" REF _Ref340511005 \r \h  \* MERGEFORMAT ">
        <w:r w:rsidR="00536D7E" w:rsidRPr="00536D7E">
          <w:rPr>
            <w:rFonts w:ascii="Arial" w:hAnsi="Arial"/>
            <w:sz w:val="22"/>
            <w:szCs w:val="22"/>
          </w:rPr>
          <w:t>Table A.1</w:t>
        </w:r>
      </w:fldSimple>
      <w:r w:rsidRPr="00DF3703">
        <w:rPr>
          <w:rFonts w:ascii="Arial" w:hAnsi="Arial"/>
          <w:sz w:val="22"/>
          <w:szCs w:val="22"/>
        </w:rPr>
        <w:t>.</w:t>
      </w:r>
    </w:p>
    <w:p w:rsidR="00D13B29" w:rsidRPr="00DF3703" w:rsidRDefault="006B7D88" w:rsidP="00D13B29">
      <w:pPr>
        <w:pStyle w:val="AppendixTableCaption"/>
        <w:rPr>
          <w:rFonts w:ascii="Arial" w:hAnsi="Arial" w:cs="Arial"/>
        </w:rPr>
      </w:pPr>
      <w:bookmarkStart w:id="168" w:name="_Ref340511005"/>
      <w:bookmarkStart w:id="169" w:name="_Toc355701070"/>
      <w:r w:rsidRPr="00DF3703">
        <w:rPr>
          <w:rFonts w:ascii="Arial" w:hAnsi="Arial" w:cs="Arial"/>
        </w:rPr>
        <w:t xml:space="preserve">: Contribution to GSP TSA </w:t>
      </w:r>
      <w:r w:rsidR="008D02A5" w:rsidRPr="00DF3703">
        <w:rPr>
          <w:rFonts w:ascii="Arial" w:hAnsi="Arial" w:cs="Arial"/>
        </w:rPr>
        <w:t>method</w:t>
      </w:r>
      <w:r w:rsidRPr="00DF3703">
        <w:rPr>
          <w:rFonts w:ascii="Arial" w:hAnsi="Arial" w:cs="Arial"/>
        </w:rPr>
        <w:t xml:space="preserve"> (2011-2012)</w:t>
      </w:r>
      <w:bookmarkEnd w:id="168"/>
      <w:bookmarkEnd w:id="169"/>
    </w:p>
    <w:tbl>
      <w:tblPr>
        <w:tblStyle w:val="TableAE"/>
        <w:tblW w:w="0" w:type="auto"/>
        <w:tblLayout w:type="fixed"/>
        <w:tblLook w:val="04A0"/>
      </w:tblPr>
      <w:tblGrid>
        <w:gridCol w:w="2402"/>
        <w:gridCol w:w="1687"/>
        <w:gridCol w:w="1133"/>
        <w:gridCol w:w="1420"/>
        <w:gridCol w:w="1142"/>
      </w:tblGrid>
      <w:tr w:rsidR="00D13B29" w:rsidRPr="00DF3703" w:rsidTr="0062003E">
        <w:trPr>
          <w:cnfStyle w:val="100000000000"/>
        </w:trPr>
        <w:tc>
          <w:tcPr>
            <w:tcW w:w="2402" w:type="dxa"/>
            <w:vAlign w:val="bottom"/>
          </w:tcPr>
          <w:p w:rsidR="00D13B29" w:rsidRPr="00DF3703" w:rsidRDefault="006B7D88" w:rsidP="0062003E">
            <w:pPr>
              <w:pStyle w:val="TableHeadingCentre"/>
              <w:rPr>
                <w:rFonts w:ascii="Arial" w:hAnsi="Arial" w:cs="Arial"/>
              </w:rPr>
            </w:pPr>
            <w:r w:rsidRPr="00DF3703">
              <w:rPr>
                <w:rFonts w:ascii="Arial" w:hAnsi="Arial" w:cs="Arial"/>
              </w:rPr>
              <w:t>($m 2012)</w:t>
            </w:r>
          </w:p>
        </w:tc>
        <w:tc>
          <w:tcPr>
            <w:tcW w:w="1687" w:type="dxa"/>
            <w:vAlign w:val="bottom"/>
          </w:tcPr>
          <w:p w:rsidR="00D13B29" w:rsidRPr="00DF3703" w:rsidRDefault="006B7D88" w:rsidP="0062003E">
            <w:pPr>
              <w:pStyle w:val="TableHeadingCentre"/>
              <w:rPr>
                <w:rFonts w:ascii="Arial" w:hAnsi="Arial" w:cs="Arial"/>
              </w:rPr>
            </w:pPr>
            <w:r w:rsidRPr="00DF3703">
              <w:rPr>
                <w:rFonts w:ascii="Arial" w:hAnsi="Arial" w:cs="Arial"/>
              </w:rPr>
              <w:t>International</w:t>
            </w:r>
          </w:p>
        </w:tc>
        <w:tc>
          <w:tcPr>
            <w:tcW w:w="1133" w:type="dxa"/>
            <w:vAlign w:val="bottom"/>
          </w:tcPr>
          <w:p w:rsidR="00D13B29" w:rsidRPr="00DF3703" w:rsidRDefault="006B7D88" w:rsidP="0062003E">
            <w:pPr>
              <w:pStyle w:val="TableHeadingCentre"/>
              <w:rPr>
                <w:rFonts w:ascii="Arial" w:hAnsi="Arial" w:cs="Arial"/>
              </w:rPr>
            </w:pPr>
            <w:r w:rsidRPr="00DF3703">
              <w:rPr>
                <w:rFonts w:ascii="Arial" w:hAnsi="Arial" w:cs="Arial"/>
              </w:rPr>
              <w:t>Day</w:t>
            </w:r>
          </w:p>
        </w:tc>
        <w:tc>
          <w:tcPr>
            <w:tcW w:w="1420" w:type="dxa"/>
            <w:vAlign w:val="bottom"/>
          </w:tcPr>
          <w:p w:rsidR="00D13B29" w:rsidRPr="00DF3703" w:rsidRDefault="006B7D88" w:rsidP="0062003E">
            <w:pPr>
              <w:pStyle w:val="TableHeadingCentre"/>
              <w:rPr>
                <w:rFonts w:ascii="Arial" w:hAnsi="Arial" w:cs="Arial"/>
              </w:rPr>
            </w:pPr>
            <w:r w:rsidRPr="00DF3703">
              <w:rPr>
                <w:rFonts w:ascii="Arial" w:hAnsi="Arial" w:cs="Arial"/>
              </w:rPr>
              <w:t>Overnight</w:t>
            </w:r>
          </w:p>
        </w:tc>
        <w:tc>
          <w:tcPr>
            <w:tcW w:w="1142" w:type="dxa"/>
          </w:tcPr>
          <w:p w:rsidR="00D13B29" w:rsidRPr="00DF3703" w:rsidRDefault="006B7D88" w:rsidP="0062003E">
            <w:pPr>
              <w:pStyle w:val="TableHeadingCentre"/>
              <w:rPr>
                <w:rFonts w:ascii="Arial" w:hAnsi="Arial" w:cs="Arial"/>
              </w:rPr>
            </w:pPr>
            <w:r w:rsidRPr="00DF3703">
              <w:rPr>
                <w:rFonts w:ascii="Arial" w:hAnsi="Arial" w:cs="Arial"/>
              </w:rPr>
              <w:t xml:space="preserve">Total </w:t>
            </w:r>
          </w:p>
        </w:tc>
      </w:tr>
      <w:tr w:rsidR="007A0E95" w:rsidRPr="00DF3703" w:rsidTr="0062003E">
        <w:tc>
          <w:tcPr>
            <w:tcW w:w="2402" w:type="dxa"/>
            <w:vAlign w:val="bottom"/>
          </w:tcPr>
          <w:p w:rsidR="007A0E95" w:rsidRPr="00DF3703" w:rsidRDefault="006B7D88" w:rsidP="0062003E">
            <w:pPr>
              <w:rPr>
                <w:rFonts w:ascii="Arial" w:hAnsi="Arial" w:cs="Arial"/>
                <w:sz w:val="20"/>
              </w:rPr>
            </w:pPr>
            <w:r w:rsidRPr="00DF3703">
              <w:rPr>
                <w:rFonts w:ascii="Arial" w:hAnsi="Arial" w:cs="Arial"/>
                <w:sz w:val="20"/>
              </w:rPr>
              <w:t>TRA expenditure</w:t>
            </w:r>
          </w:p>
        </w:tc>
        <w:tc>
          <w:tcPr>
            <w:tcW w:w="1687" w:type="dxa"/>
            <w:vAlign w:val="bottom"/>
          </w:tcPr>
          <w:p w:rsidR="007A0E95" w:rsidRPr="00DF3703" w:rsidRDefault="006B7D88" w:rsidP="007A0E95">
            <w:pPr>
              <w:jc w:val="right"/>
              <w:rPr>
                <w:rFonts w:ascii="Arial" w:hAnsi="Arial" w:cs="Arial"/>
                <w:sz w:val="20"/>
              </w:rPr>
            </w:pPr>
            <w:r w:rsidRPr="00DF3703">
              <w:rPr>
                <w:rFonts w:ascii="Arial" w:hAnsi="Arial" w:cs="Arial"/>
                <w:sz w:val="20"/>
              </w:rPr>
              <w:t>1,101.8</w:t>
            </w:r>
          </w:p>
        </w:tc>
        <w:tc>
          <w:tcPr>
            <w:tcW w:w="1133" w:type="dxa"/>
            <w:vAlign w:val="bottom"/>
          </w:tcPr>
          <w:p w:rsidR="007A0E95" w:rsidRPr="00DF3703" w:rsidRDefault="006B7D88" w:rsidP="007A0E95">
            <w:pPr>
              <w:jc w:val="right"/>
              <w:rPr>
                <w:rFonts w:ascii="Arial" w:hAnsi="Arial" w:cs="Arial"/>
                <w:sz w:val="20"/>
              </w:rPr>
            </w:pPr>
            <w:r w:rsidRPr="00DF3703">
              <w:rPr>
                <w:rFonts w:ascii="Arial" w:hAnsi="Arial" w:cs="Arial"/>
                <w:sz w:val="20"/>
              </w:rPr>
              <w:t>931.5</w:t>
            </w:r>
          </w:p>
        </w:tc>
        <w:tc>
          <w:tcPr>
            <w:tcW w:w="1420" w:type="dxa"/>
            <w:vAlign w:val="bottom"/>
          </w:tcPr>
          <w:p w:rsidR="007A0E95" w:rsidRPr="00DF3703" w:rsidRDefault="006B7D88" w:rsidP="007A0E95">
            <w:pPr>
              <w:jc w:val="right"/>
              <w:rPr>
                <w:rFonts w:ascii="Arial" w:hAnsi="Arial" w:cs="Arial"/>
                <w:sz w:val="20"/>
              </w:rPr>
            </w:pPr>
            <w:r w:rsidRPr="00DF3703">
              <w:rPr>
                <w:rFonts w:ascii="Arial" w:hAnsi="Arial" w:cs="Arial"/>
                <w:sz w:val="20"/>
              </w:rPr>
              <w:t>4,342.2</w:t>
            </w:r>
          </w:p>
        </w:tc>
        <w:tc>
          <w:tcPr>
            <w:tcW w:w="1142" w:type="dxa"/>
            <w:vAlign w:val="bottom"/>
          </w:tcPr>
          <w:p w:rsidR="007A0E95" w:rsidRPr="00DF3703" w:rsidRDefault="006B7D88" w:rsidP="007A0E95">
            <w:pPr>
              <w:jc w:val="right"/>
              <w:rPr>
                <w:rFonts w:ascii="Arial" w:hAnsi="Arial" w:cs="Arial"/>
                <w:sz w:val="20"/>
              </w:rPr>
            </w:pPr>
            <w:r w:rsidRPr="00DF3703">
              <w:rPr>
                <w:rFonts w:ascii="Arial" w:hAnsi="Arial" w:cs="Arial"/>
                <w:sz w:val="20"/>
              </w:rPr>
              <w:t>6,375.5</w:t>
            </w:r>
          </w:p>
        </w:tc>
      </w:tr>
      <w:tr w:rsidR="007A0E95" w:rsidRPr="00DF3703" w:rsidTr="0062003E">
        <w:tc>
          <w:tcPr>
            <w:tcW w:w="2402" w:type="dxa"/>
            <w:vAlign w:val="bottom"/>
          </w:tcPr>
          <w:p w:rsidR="007A0E95" w:rsidRPr="00DF3703" w:rsidRDefault="006B7D88" w:rsidP="0062003E">
            <w:pPr>
              <w:rPr>
                <w:rFonts w:ascii="Arial" w:hAnsi="Arial" w:cs="Arial"/>
                <w:sz w:val="20"/>
              </w:rPr>
            </w:pPr>
            <w:r w:rsidRPr="00DF3703">
              <w:rPr>
                <w:rFonts w:ascii="Arial" w:hAnsi="Arial" w:cs="Arial"/>
                <w:sz w:val="20"/>
              </w:rPr>
              <w:t>Tourist consumption</w:t>
            </w:r>
          </w:p>
        </w:tc>
        <w:tc>
          <w:tcPr>
            <w:tcW w:w="1687" w:type="dxa"/>
            <w:vAlign w:val="bottom"/>
          </w:tcPr>
          <w:p w:rsidR="007A0E95" w:rsidRPr="00DF3703" w:rsidRDefault="006B7D88" w:rsidP="007A0E95">
            <w:pPr>
              <w:jc w:val="right"/>
              <w:rPr>
                <w:rFonts w:ascii="Arial" w:hAnsi="Arial" w:cs="Arial"/>
                <w:sz w:val="20"/>
              </w:rPr>
            </w:pPr>
            <w:r w:rsidRPr="00DF3703">
              <w:rPr>
                <w:rFonts w:ascii="Arial" w:hAnsi="Arial" w:cs="Arial"/>
                <w:sz w:val="20"/>
              </w:rPr>
              <w:t>1,376.5</w:t>
            </w:r>
          </w:p>
        </w:tc>
        <w:tc>
          <w:tcPr>
            <w:tcW w:w="1133" w:type="dxa"/>
            <w:vAlign w:val="bottom"/>
          </w:tcPr>
          <w:p w:rsidR="007A0E95" w:rsidRPr="00DF3703" w:rsidRDefault="006B7D88" w:rsidP="007A0E95">
            <w:pPr>
              <w:jc w:val="right"/>
              <w:rPr>
                <w:rFonts w:ascii="Arial" w:hAnsi="Arial" w:cs="Arial"/>
                <w:sz w:val="20"/>
              </w:rPr>
            </w:pPr>
            <w:r w:rsidRPr="00DF3703">
              <w:rPr>
                <w:rFonts w:ascii="Arial" w:hAnsi="Arial" w:cs="Arial"/>
                <w:sz w:val="20"/>
              </w:rPr>
              <w:t>936.6</w:t>
            </w:r>
          </w:p>
        </w:tc>
        <w:tc>
          <w:tcPr>
            <w:tcW w:w="1420" w:type="dxa"/>
            <w:vAlign w:val="bottom"/>
          </w:tcPr>
          <w:p w:rsidR="007A0E95" w:rsidRPr="00DF3703" w:rsidRDefault="006B7D88" w:rsidP="007A0E95">
            <w:pPr>
              <w:jc w:val="right"/>
              <w:rPr>
                <w:rFonts w:ascii="Arial" w:hAnsi="Arial" w:cs="Arial"/>
                <w:sz w:val="20"/>
              </w:rPr>
            </w:pPr>
            <w:r w:rsidRPr="00DF3703">
              <w:rPr>
                <w:rFonts w:ascii="Arial" w:hAnsi="Arial" w:cs="Arial"/>
                <w:sz w:val="20"/>
              </w:rPr>
              <w:t>5,701.7</w:t>
            </w:r>
          </w:p>
        </w:tc>
        <w:tc>
          <w:tcPr>
            <w:tcW w:w="1142" w:type="dxa"/>
            <w:vAlign w:val="bottom"/>
          </w:tcPr>
          <w:p w:rsidR="007A0E95" w:rsidRPr="00DF3703" w:rsidRDefault="006B7D88" w:rsidP="007A0E95">
            <w:pPr>
              <w:jc w:val="right"/>
              <w:rPr>
                <w:rFonts w:ascii="Arial" w:hAnsi="Arial" w:cs="Arial"/>
                <w:sz w:val="20"/>
              </w:rPr>
            </w:pPr>
            <w:r w:rsidRPr="00DF3703">
              <w:rPr>
                <w:rFonts w:ascii="Arial" w:hAnsi="Arial" w:cs="Arial"/>
                <w:sz w:val="20"/>
              </w:rPr>
              <w:t>8,014.8</w:t>
            </w:r>
          </w:p>
        </w:tc>
      </w:tr>
      <w:tr w:rsidR="007A0E95" w:rsidRPr="00DF3703" w:rsidTr="0062003E">
        <w:tc>
          <w:tcPr>
            <w:tcW w:w="2402" w:type="dxa"/>
            <w:vAlign w:val="bottom"/>
          </w:tcPr>
          <w:p w:rsidR="007A0E95" w:rsidRPr="00DF3703" w:rsidRDefault="006B7D88" w:rsidP="0062003E">
            <w:pPr>
              <w:rPr>
                <w:rFonts w:ascii="Arial" w:hAnsi="Arial" w:cs="Arial"/>
                <w:sz w:val="20"/>
              </w:rPr>
            </w:pPr>
            <w:r w:rsidRPr="00DF3703">
              <w:rPr>
                <w:rFonts w:ascii="Arial" w:hAnsi="Arial" w:cs="Arial"/>
                <w:sz w:val="20"/>
              </w:rPr>
              <w:t>GVA</w:t>
            </w:r>
          </w:p>
        </w:tc>
        <w:tc>
          <w:tcPr>
            <w:tcW w:w="1687" w:type="dxa"/>
            <w:vAlign w:val="bottom"/>
          </w:tcPr>
          <w:p w:rsidR="007A0E95" w:rsidRPr="00DF3703" w:rsidRDefault="006B7D88" w:rsidP="007A0E95">
            <w:pPr>
              <w:jc w:val="right"/>
              <w:rPr>
                <w:rFonts w:ascii="Arial" w:hAnsi="Arial" w:cs="Arial"/>
                <w:sz w:val="20"/>
              </w:rPr>
            </w:pPr>
            <w:r w:rsidRPr="00DF3703">
              <w:rPr>
                <w:rFonts w:ascii="Arial" w:hAnsi="Arial" w:cs="Arial"/>
                <w:sz w:val="20"/>
              </w:rPr>
              <w:t>1,168.2</w:t>
            </w:r>
          </w:p>
        </w:tc>
        <w:tc>
          <w:tcPr>
            <w:tcW w:w="1133" w:type="dxa"/>
            <w:vAlign w:val="bottom"/>
          </w:tcPr>
          <w:p w:rsidR="007A0E95" w:rsidRPr="00DF3703" w:rsidRDefault="006B7D88" w:rsidP="007A0E95">
            <w:pPr>
              <w:jc w:val="right"/>
              <w:rPr>
                <w:rFonts w:ascii="Arial" w:hAnsi="Arial" w:cs="Arial"/>
                <w:sz w:val="20"/>
              </w:rPr>
            </w:pPr>
            <w:r w:rsidRPr="00DF3703">
              <w:rPr>
                <w:rFonts w:ascii="Arial" w:hAnsi="Arial" w:cs="Arial"/>
                <w:sz w:val="20"/>
              </w:rPr>
              <w:t>794.9</w:t>
            </w:r>
          </w:p>
        </w:tc>
        <w:tc>
          <w:tcPr>
            <w:tcW w:w="1420" w:type="dxa"/>
            <w:vAlign w:val="bottom"/>
          </w:tcPr>
          <w:p w:rsidR="007A0E95" w:rsidRPr="00DF3703" w:rsidRDefault="006B7D88" w:rsidP="007A0E95">
            <w:pPr>
              <w:jc w:val="right"/>
              <w:rPr>
                <w:rFonts w:ascii="Arial" w:hAnsi="Arial" w:cs="Arial"/>
                <w:sz w:val="20"/>
              </w:rPr>
            </w:pPr>
            <w:r w:rsidRPr="00DF3703">
              <w:rPr>
                <w:rFonts w:ascii="Arial" w:hAnsi="Arial" w:cs="Arial"/>
                <w:sz w:val="20"/>
              </w:rPr>
              <w:t>4,839.0</w:t>
            </w:r>
          </w:p>
        </w:tc>
        <w:tc>
          <w:tcPr>
            <w:tcW w:w="1142" w:type="dxa"/>
            <w:vAlign w:val="bottom"/>
          </w:tcPr>
          <w:p w:rsidR="007A0E95" w:rsidRPr="00DF3703" w:rsidRDefault="006B7D88" w:rsidP="007A0E95">
            <w:pPr>
              <w:jc w:val="right"/>
              <w:rPr>
                <w:rFonts w:ascii="Arial" w:hAnsi="Arial" w:cs="Arial"/>
                <w:sz w:val="20"/>
              </w:rPr>
            </w:pPr>
            <w:r w:rsidRPr="00DF3703">
              <w:rPr>
                <w:rFonts w:ascii="Arial" w:hAnsi="Arial" w:cs="Arial"/>
                <w:sz w:val="20"/>
              </w:rPr>
              <w:t>6,802.1</w:t>
            </w:r>
          </w:p>
        </w:tc>
      </w:tr>
      <w:tr w:rsidR="007A0E95" w:rsidRPr="00DF3703" w:rsidTr="0062003E">
        <w:tc>
          <w:tcPr>
            <w:tcW w:w="2402" w:type="dxa"/>
            <w:tcBorders>
              <w:top w:val="single" w:sz="12" w:space="0" w:color="002776"/>
              <w:bottom w:val="single" w:sz="12" w:space="0" w:color="002776"/>
            </w:tcBorders>
            <w:vAlign w:val="bottom"/>
          </w:tcPr>
          <w:p w:rsidR="007A0E95" w:rsidRPr="00DF3703" w:rsidRDefault="006B7D88" w:rsidP="0062003E">
            <w:pPr>
              <w:rPr>
                <w:rFonts w:ascii="Arial" w:hAnsi="Arial" w:cs="Arial"/>
                <w:sz w:val="20"/>
              </w:rPr>
            </w:pPr>
            <w:r w:rsidRPr="00DF3703">
              <w:rPr>
                <w:rFonts w:ascii="Arial" w:hAnsi="Arial" w:cs="Arial"/>
                <w:sz w:val="20"/>
              </w:rPr>
              <w:t>GSP</w:t>
            </w:r>
          </w:p>
        </w:tc>
        <w:tc>
          <w:tcPr>
            <w:tcW w:w="1687" w:type="dxa"/>
            <w:tcBorders>
              <w:top w:val="single" w:sz="12" w:space="0" w:color="002776"/>
              <w:bottom w:val="single" w:sz="12" w:space="0" w:color="002776"/>
            </w:tcBorders>
            <w:vAlign w:val="bottom"/>
          </w:tcPr>
          <w:p w:rsidR="007A0E95" w:rsidRPr="00DF3703" w:rsidRDefault="006B7D88" w:rsidP="007A0E95">
            <w:pPr>
              <w:jc w:val="right"/>
              <w:rPr>
                <w:rFonts w:ascii="Arial" w:hAnsi="Arial" w:cs="Arial"/>
                <w:sz w:val="20"/>
              </w:rPr>
            </w:pPr>
            <w:r w:rsidRPr="00DF3703">
              <w:rPr>
                <w:rFonts w:ascii="Arial" w:hAnsi="Arial" w:cs="Arial"/>
                <w:sz w:val="20"/>
              </w:rPr>
              <w:t>1,247.6</w:t>
            </w:r>
          </w:p>
        </w:tc>
        <w:tc>
          <w:tcPr>
            <w:tcW w:w="1133" w:type="dxa"/>
            <w:tcBorders>
              <w:top w:val="single" w:sz="12" w:space="0" w:color="002776"/>
              <w:bottom w:val="single" w:sz="12" w:space="0" w:color="002776"/>
            </w:tcBorders>
            <w:vAlign w:val="bottom"/>
          </w:tcPr>
          <w:p w:rsidR="007A0E95" w:rsidRPr="00DF3703" w:rsidRDefault="006B7D88" w:rsidP="007A0E95">
            <w:pPr>
              <w:jc w:val="right"/>
              <w:rPr>
                <w:rFonts w:ascii="Arial" w:hAnsi="Arial" w:cs="Arial"/>
                <w:sz w:val="20"/>
              </w:rPr>
            </w:pPr>
            <w:r w:rsidRPr="00DF3703">
              <w:rPr>
                <w:rFonts w:ascii="Arial" w:hAnsi="Arial" w:cs="Arial"/>
                <w:sz w:val="20"/>
              </w:rPr>
              <w:t>848.9</w:t>
            </w:r>
          </w:p>
        </w:tc>
        <w:tc>
          <w:tcPr>
            <w:tcW w:w="1420" w:type="dxa"/>
            <w:tcBorders>
              <w:top w:val="single" w:sz="12" w:space="0" w:color="002776"/>
              <w:bottom w:val="single" w:sz="12" w:space="0" w:color="002776"/>
            </w:tcBorders>
            <w:vAlign w:val="bottom"/>
          </w:tcPr>
          <w:p w:rsidR="007A0E95" w:rsidRPr="00DF3703" w:rsidRDefault="006B7D88" w:rsidP="007A0E95">
            <w:pPr>
              <w:jc w:val="right"/>
              <w:rPr>
                <w:rFonts w:ascii="Arial" w:hAnsi="Arial" w:cs="Arial"/>
                <w:sz w:val="20"/>
              </w:rPr>
            </w:pPr>
            <w:r w:rsidRPr="00DF3703">
              <w:rPr>
                <w:rFonts w:ascii="Arial" w:hAnsi="Arial" w:cs="Arial"/>
                <w:sz w:val="20"/>
              </w:rPr>
              <w:t>5,167.7</w:t>
            </w:r>
          </w:p>
        </w:tc>
        <w:tc>
          <w:tcPr>
            <w:tcW w:w="1142" w:type="dxa"/>
            <w:tcBorders>
              <w:top w:val="single" w:sz="12" w:space="0" w:color="002776"/>
              <w:bottom w:val="single" w:sz="12" w:space="0" w:color="002776"/>
            </w:tcBorders>
            <w:vAlign w:val="bottom"/>
          </w:tcPr>
          <w:p w:rsidR="007A0E95" w:rsidRPr="00DF3703" w:rsidRDefault="006B7D88" w:rsidP="007A0E95">
            <w:pPr>
              <w:jc w:val="right"/>
              <w:rPr>
                <w:rFonts w:ascii="Arial" w:hAnsi="Arial" w:cs="Arial"/>
                <w:sz w:val="20"/>
              </w:rPr>
            </w:pPr>
            <w:r w:rsidRPr="00DF3703">
              <w:rPr>
                <w:rFonts w:ascii="Arial" w:hAnsi="Arial" w:cs="Arial"/>
                <w:sz w:val="20"/>
              </w:rPr>
              <w:t>7,264.1</w:t>
            </w:r>
          </w:p>
        </w:tc>
      </w:tr>
    </w:tbl>
    <w:p w:rsidR="00D13B29" w:rsidRPr="00DF3703" w:rsidRDefault="006B7D88" w:rsidP="00D13B29">
      <w:pPr>
        <w:pStyle w:val="Source"/>
        <w:rPr>
          <w:rFonts w:ascii="Arial" w:hAnsi="Arial"/>
        </w:rPr>
      </w:pPr>
      <w:r w:rsidRPr="00DF3703">
        <w:rPr>
          <w:rFonts w:ascii="Arial" w:hAnsi="Arial"/>
        </w:rPr>
        <w:t>Source: Deloitte Access Economics</w:t>
      </w:r>
    </w:p>
    <w:p w:rsidR="00D13B29" w:rsidRPr="00DF3703" w:rsidRDefault="006B7D88" w:rsidP="00D13B29">
      <w:pPr>
        <w:pStyle w:val="Source"/>
        <w:spacing w:before="240"/>
        <w:rPr>
          <w:rFonts w:ascii="Arial" w:hAnsi="Arial"/>
          <w:sz w:val="22"/>
          <w:szCs w:val="22"/>
        </w:rPr>
      </w:pPr>
      <w:r w:rsidRPr="00DF3703">
        <w:rPr>
          <w:rFonts w:ascii="Arial" w:hAnsi="Arial"/>
          <w:sz w:val="22"/>
          <w:szCs w:val="22"/>
        </w:rPr>
        <w:t>Overnight and international travellers are modelled to have significantly higher tourist consumption relative to their expenditure, at 25% and just over 30% respectively.  Conversely tourist consumption for day travellers is modelled slightly higher to expenditure.  This could be the case because they are less likely to receive imputed housing services from holiday homes or friends and relatives.</w:t>
      </w:r>
    </w:p>
    <w:p w:rsidR="00D13B29" w:rsidRPr="00DF3703" w:rsidRDefault="006B7D88" w:rsidP="00D13B29">
      <w:pPr>
        <w:pStyle w:val="Source"/>
        <w:spacing w:before="240"/>
        <w:rPr>
          <w:rFonts w:ascii="Arial" w:hAnsi="Arial"/>
          <w:sz w:val="22"/>
          <w:szCs w:val="22"/>
        </w:rPr>
      </w:pPr>
      <w:r w:rsidRPr="00DF3703">
        <w:rPr>
          <w:rFonts w:ascii="Arial" w:hAnsi="Arial"/>
          <w:sz w:val="22"/>
          <w:szCs w:val="22"/>
        </w:rPr>
        <w:lastRenderedPageBreak/>
        <w:t>The contribution by traveller follows the same patterns as to the tourist expenditure outlined in the body of the report.  Domestic overnight travellers account for about 70% of the GSP and international travellers about 17%.</w:t>
      </w:r>
    </w:p>
    <w:p w:rsidR="00D13B29" w:rsidRPr="00DF3703" w:rsidRDefault="006B7D88" w:rsidP="00D13B29">
      <w:pPr>
        <w:pStyle w:val="Source"/>
        <w:spacing w:before="240"/>
        <w:rPr>
          <w:rFonts w:ascii="Arial" w:hAnsi="Arial"/>
          <w:sz w:val="22"/>
          <w:szCs w:val="22"/>
        </w:rPr>
      </w:pPr>
      <w:r w:rsidRPr="00DF3703">
        <w:rPr>
          <w:rFonts w:ascii="Arial" w:hAnsi="Arial"/>
          <w:sz w:val="22"/>
          <w:szCs w:val="22"/>
        </w:rPr>
        <w:t>It is worth noting that this analysis is based on a number of limitations and should be viewed as merely an indication of the economic contribution of tourist consumption in the World Heritage Area.  These limitations include:</w:t>
      </w:r>
    </w:p>
    <w:p w:rsidR="00D13B29" w:rsidRPr="00DF3703" w:rsidRDefault="006B7D88" w:rsidP="00D13B29">
      <w:pPr>
        <w:pStyle w:val="Bullet1"/>
        <w:rPr>
          <w:rFonts w:ascii="Arial" w:hAnsi="Arial"/>
          <w:szCs w:val="22"/>
        </w:rPr>
      </w:pPr>
      <w:r w:rsidRPr="00DF3703">
        <w:rPr>
          <w:rFonts w:ascii="Arial" w:hAnsi="Arial"/>
          <w:szCs w:val="22"/>
        </w:rPr>
        <w:t>The adjustment factors used to model tourist consumption from TRA expenditure information is based on Queensland state-wide averages</w:t>
      </w:r>
    </w:p>
    <w:p w:rsidR="00D13B29" w:rsidRPr="00DF3703" w:rsidRDefault="006B7D88" w:rsidP="00D13B29">
      <w:pPr>
        <w:pStyle w:val="Bullet1"/>
        <w:rPr>
          <w:rFonts w:ascii="Arial" w:hAnsi="Arial"/>
          <w:szCs w:val="22"/>
        </w:rPr>
      </w:pPr>
      <w:r w:rsidRPr="00DF3703">
        <w:rPr>
          <w:rFonts w:ascii="Arial" w:hAnsi="Arial"/>
          <w:szCs w:val="22"/>
        </w:rPr>
        <w:t>As a result, where imputed use of housing by tourists in the World Heritage Area is lower than the rest of the state average the modelled tourist consumption as outlined above should be considered a high-side estimate.</w:t>
      </w:r>
    </w:p>
    <w:p w:rsidR="00D13B29" w:rsidRPr="00DF3703" w:rsidRDefault="006B7D88" w:rsidP="00D13B29">
      <w:pPr>
        <w:pStyle w:val="Bullet1"/>
        <w:rPr>
          <w:rFonts w:ascii="Arial" w:hAnsi="Arial"/>
          <w:szCs w:val="22"/>
        </w:rPr>
      </w:pPr>
      <w:r w:rsidRPr="00DF3703">
        <w:rPr>
          <w:rFonts w:ascii="Arial" w:hAnsi="Arial"/>
          <w:szCs w:val="22"/>
        </w:rPr>
        <w:t>The adjustment factors used in the analysis are from the 2010-11 State Tourism Satellite Account.</w:t>
      </w:r>
    </w:p>
    <w:p w:rsidR="00D13B29" w:rsidRPr="00DF3703" w:rsidRDefault="00D13B29" w:rsidP="00D13B29">
      <w:pPr>
        <w:pStyle w:val="Source"/>
        <w:spacing w:before="240"/>
        <w:rPr>
          <w:rFonts w:ascii="Arial" w:hAnsi="Arial"/>
          <w:sz w:val="22"/>
          <w:szCs w:val="22"/>
        </w:rPr>
      </w:pPr>
    </w:p>
    <w:p w:rsidR="00D13B29" w:rsidRPr="00DF3703" w:rsidRDefault="00D13B29" w:rsidP="00D13B29">
      <w:pPr>
        <w:pStyle w:val="Source"/>
        <w:spacing w:before="240"/>
        <w:rPr>
          <w:rFonts w:ascii="Arial" w:hAnsi="Arial"/>
          <w:sz w:val="22"/>
          <w:szCs w:val="22"/>
        </w:rPr>
      </w:pPr>
    </w:p>
    <w:p w:rsidR="00D13B29" w:rsidRPr="00DF3703" w:rsidRDefault="006B21AB" w:rsidP="00D13B29">
      <w:pPr>
        <w:pStyle w:val="Appendix"/>
        <w:rPr>
          <w:rFonts w:ascii="Arial" w:hAnsi="Arial" w:cs="Arial"/>
        </w:rPr>
      </w:pPr>
      <w:bookmarkStart w:id="170" w:name="_Ref347920071"/>
      <w:bookmarkStart w:id="171" w:name="_Toc355701002"/>
      <w:bookmarkStart w:id="172" w:name="_Ref340916249"/>
      <w:r w:rsidRPr="00DF3703">
        <w:rPr>
          <w:rFonts w:ascii="Arial" w:hAnsi="Arial" w:cs="Arial"/>
        </w:rPr>
        <w:lastRenderedPageBreak/>
        <w:t xml:space="preserve">: </w:t>
      </w:r>
      <w:r w:rsidR="00070B65" w:rsidRPr="00DF3703">
        <w:rPr>
          <w:rFonts w:ascii="Arial" w:hAnsi="Arial" w:cs="Arial"/>
        </w:rPr>
        <w:t>Methods and Limitations</w:t>
      </w:r>
      <w:bookmarkEnd w:id="170"/>
      <w:bookmarkEnd w:id="171"/>
    </w:p>
    <w:bookmarkEnd w:id="172"/>
    <w:p w:rsidR="00D13B29" w:rsidRPr="00DF3703" w:rsidRDefault="006B7D88" w:rsidP="00D13B29">
      <w:pPr>
        <w:pStyle w:val="BodyText"/>
        <w:rPr>
          <w:rFonts w:ascii="Arial" w:hAnsi="Arial" w:cs="Arial"/>
        </w:rPr>
      </w:pPr>
      <w:r w:rsidRPr="00DF3703">
        <w:rPr>
          <w:rFonts w:ascii="Arial" w:hAnsi="Arial" w:cs="Arial"/>
        </w:rPr>
        <w:t xml:space="preserve">The economic contribution study outlined above has quantified measures such as value added, output and employment associated with the use of the </w:t>
      </w:r>
      <w:r w:rsidR="00036279" w:rsidRPr="00DF3703">
        <w:rPr>
          <w:rFonts w:ascii="Arial" w:hAnsi="Arial" w:cs="Arial"/>
        </w:rPr>
        <w:t>Reef</w:t>
      </w:r>
      <w:r w:rsidRPr="00DF3703">
        <w:rPr>
          <w:rFonts w:ascii="Arial" w:hAnsi="Arial" w:cs="Arial"/>
        </w:rPr>
        <w:t xml:space="preserve"> </w:t>
      </w:r>
      <w:r w:rsidR="003C4DCF" w:rsidRPr="00DF3703">
        <w:rPr>
          <w:rFonts w:ascii="Arial" w:hAnsi="Arial" w:cs="Arial"/>
        </w:rPr>
        <w:t>catchment</w:t>
      </w:r>
      <w:r w:rsidRPr="00DF3703">
        <w:rPr>
          <w:rFonts w:ascii="Arial" w:hAnsi="Arial" w:cs="Arial"/>
        </w:rPr>
        <w:t xml:space="preserve"> for the reference year of 2011-12.  The economic contribution is a measure of the value of production by that use to the Australian economy.  </w:t>
      </w:r>
    </w:p>
    <w:p w:rsidR="00D13B29" w:rsidRPr="00DF3703" w:rsidRDefault="006B7D88" w:rsidP="00D13B29">
      <w:pPr>
        <w:pStyle w:val="HeadingB"/>
        <w:rPr>
          <w:rFonts w:ascii="Arial" w:hAnsi="Arial" w:cs="Arial"/>
        </w:rPr>
      </w:pPr>
      <w:r w:rsidRPr="00DF3703">
        <w:rPr>
          <w:rFonts w:ascii="Arial" w:hAnsi="Arial" w:cs="Arial"/>
        </w:rPr>
        <w:t>Value added</w:t>
      </w:r>
    </w:p>
    <w:p w:rsidR="00D13B29" w:rsidRPr="00DF3703" w:rsidRDefault="006B7D88" w:rsidP="00D13B29">
      <w:pPr>
        <w:pStyle w:val="BodyText"/>
        <w:rPr>
          <w:rFonts w:ascii="Arial" w:hAnsi="Arial" w:cs="Arial"/>
        </w:rPr>
      </w:pPr>
      <w:r w:rsidRPr="00DF3703">
        <w:rPr>
          <w:rFonts w:ascii="Arial" w:hAnsi="Arial" w:cs="Arial"/>
        </w:rPr>
        <w:t>Value added is the most appropriate measure of an industry’s/company’s economic contribution to gross domestic product (GDP) at the national level, or gross state product (GSP) at the state level.</w:t>
      </w:r>
    </w:p>
    <w:p w:rsidR="00D13B29" w:rsidRPr="00DF3703" w:rsidRDefault="006B7D88" w:rsidP="00D13B29">
      <w:pPr>
        <w:pStyle w:val="BodyText"/>
        <w:rPr>
          <w:rFonts w:ascii="Arial" w:hAnsi="Arial" w:cs="Arial"/>
        </w:rPr>
      </w:pPr>
      <w:r w:rsidRPr="00DF3703">
        <w:rPr>
          <w:rFonts w:ascii="Arial" w:hAnsi="Arial" w:cs="Arial"/>
        </w:rPr>
        <w:t xml:space="preserve">The value added of each industry in the value chain can be added without the risk of double counting across industries caused by including the value added by other industries earlier in the production chain.  The value added in the supply chain is driven by the costs used in producing goods and services.  These costs are intermediate inputs used </w:t>
      </w:r>
      <w:r w:rsidR="00070B65" w:rsidRPr="00DF3703">
        <w:rPr>
          <w:rFonts w:ascii="Arial" w:hAnsi="Arial" w:cs="Arial"/>
        </w:rPr>
        <w:t xml:space="preserve">in </w:t>
      </w:r>
      <w:r w:rsidRPr="00DF3703">
        <w:rPr>
          <w:rFonts w:ascii="Arial" w:hAnsi="Arial" w:cs="Arial"/>
        </w:rPr>
        <w:t>businesses.</w:t>
      </w:r>
    </w:p>
    <w:p w:rsidR="00D13B29" w:rsidRPr="00DF3703" w:rsidRDefault="006B7D88" w:rsidP="00D13B29">
      <w:pPr>
        <w:pStyle w:val="HeadingC"/>
        <w:spacing w:after="120"/>
        <w:rPr>
          <w:rFonts w:ascii="Arial" w:hAnsi="Arial" w:cs="Arial"/>
        </w:rPr>
      </w:pPr>
      <w:r w:rsidRPr="00DF3703">
        <w:rPr>
          <w:rFonts w:ascii="Arial" w:hAnsi="Arial" w:cs="Arial"/>
        </w:rPr>
        <w:t>Measuring the economic contribution</w:t>
      </w:r>
    </w:p>
    <w:p w:rsidR="00D13B29" w:rsidRPr="00DF3703" w:rsidRDefault="006B7D88" w:rsidP="00D13B29">
      <w:pPr>
        <w:pStyle w:val="BodyText"/>
        <w:spacing w:after="120"/>
        <w:rPr>
          <w:rFonts w:ascii="Arial" w:hAnsi="Arial" w:cs="Arial"/>
        </w:rPr>
      </w:pPr>
      <w:r w:rsidRPr="00DF3703">
        <w:rPr>
          <w:rFonts w:ascii="Arial" w:hAnsi="Arial" w:cs="Arial"/>
        </w:rPr>
        <w:t>There are several commonly used measures of economic activity, each of which describes a different aspect of an industry’s economic contribution:</w:t>
      </w:r>
    </w:p>
    <w:p w:rsidR="00D13B29" w:rsidRPr="00DF3703" w:rsidRDefault="006B7D88" w:rsidP="00D13B29">
      <w:pPr>
        <w:pStyle w:val="Bullet1"/>
        <w:tabs>
          <w:tab w:val="num" w:pos="567"/>
        </w:tabs>
        <w:ind w:left="562" w:hanging="562"/>
        <w:rPr>
          <w:rFonts w:ascii="Arial" w:hAnsi="Arial"/>
        </w:rPr>
      </w:pPr>
      <w:r w:rsidRPr="00DF3703">
        <w:rPr>
          <w:rFonts w:ascii="Arial" w:hAnsi="Arial"/>
          <w:b/>
          <w:color w:val="002776"/>
        </w:rPr>
        <w:t>Value added</w:t>
      </w:r>
      <w:r w:rsidRPr="00DF3703">
        <w:rPr>
          <w:rFonts w:ascii="Arial" w:hAnsi="Arial"/>
        </w:rPr>
        <w:t xml:space="preserve"> measures the value of output (i.e. goods and services) generated by the entity’s factors of production (i.e. labour and capital) as measured in the income to those factors of production.  The sum of value added across all entities in the economy equals gross domestic product.  Given the relationship to GDP, the value added measure can be thought of as the increased contribution to welfare.</w:t>
      </w:r>
    </w:p>
    <w:p w:rsidR="00D13B29" w:rsidRPr="00DF3703" w:rsidRDefault="006B7D88" w:rsidP="00D13B29">
      <w:pPr>
        <w:pStyle w:val="BodyText"/>
        <w:spacing w:before="120" w:after="120"/>
        <w:ind w:left="562"/>
        <w:rPr>
          <w:rFonts w:ascii="Arial" w:hAnsi="Arial" w:cs="Arial"/>
        </w:rPr>
      </w:pPr>
      <w:r w:rsidRPr="00DF3703">
        <w:rPr>
          <w:rFonts w:ascii="Arial" w:hAnsi="Arial" w:cs="Arial"/>
        </w:rPr>
        <w:t>Value added is the sum of:</w:t>
      </w:r>
    </w:p>
    <w:p w:rsidR="00D13B29" w:rsidRPr="00DF3703" w:rsidRDefault="006B7D88" w:rsidP="00D13B29">
      <w:pPr>
        <w:pStyle w:val="Bullet2"/>
        <w:ind w:left="1287" w:hanging="360"/>
        <w:rPr>
          <w:rFonts w:ascii="Arial" w:hAnsi="Arial" w:cs="Arial"/>
        </w:rPr>
      </w:pPr>
      <w:r w:rsidRPr="00DF3703">
        <w:rPr>
          <w:rFonts w:ascii="Arial" w:hAnsi="Arial" w:cs="Arial"/>
        </w:rPr>
        <w:t>Gross operating surplus (GOS).  GOS represents the value of income generated by the entity’s direct capital inputs, generally measured as the earnings before interest, tax, depreciation and amortisation (EBITDA).</w:t>
      </w:r>
    </w:p>
    <w:p w:rsidR="00D13B29" w:rsidRPr="00DF3703" w:rsidRDefault="006B7D88" w:rsidP="00D13B29">
      <w:pPr>
        <w:pStyle w:val="Bullet2"/>
        <w:ind w:left="1287" w:hanging="360"/>
        <w:rPr>
          <w:rFonts w:ascii="Arial" w:hAnsi="Arial" w:cs="Arial"/>
        </w:rPr>
      </w:pPr>
      <w:r w:rsidRPr="00DF3703">
        <w:rPr>
          <w:rFonts w:ascii="Arial" w:hAnsi="Arial" w:cs="Arial"/>
        </w:rPr>
        <w:t>Tax on production less subsidy provided for production.  This generally includes company taxes and taxes on employment.  Note: given the returns to capital before tax (EBITDA) are calculated, company tax is not included or this would double count that tax.</w:t>
      </w:r>
    </w:p>
    <w:p w:rsidR="00D13B29" w:rsidRPr="00DF3703" w:rsidRDefault="006B7D88" w:rsidP="00D13B29">
      <w:pPr>
        <w:pStyle w:val="Bullet2"/>
        <w:ind w:left="1287" w:hanging="360"/>
        <w:rPr>
          <w:rFonts w:ascii="Arial" w:hAnsi="Arial" w:cs="Arial"/>
        </w:rPr>
      </w:pPr>
      <w:r w:rsidRPr="00DF3703">
        <w:rPr>
          <w:rFonts w:ascii="Arial" w:hAnsi="Arial" w:cs="Arial"/>
        </w:rPr>
        <w:t>Labour income is a subcomponent of value added.  It represents the value of output generated by the entity’s direct labour inputs, as measured by the income to labour.</w:t>
      </w:r>
    </w:p>
    <w:p w:rsidR="00D13B29" w:rsidRPr="00DF3703" w:rsidRDefault="006B7D88" w:rsidP="00D13B29">
      <w:pPr>
        <w:pStyle w:val="Bullet1"/>
        <w:tabs>
          <w:tab w:val="num" w:pos="567"/>
        </w:tabs>
        <w:rPr>
          <w:rFonts w:ascii="Arial" w:hAnsi="Arial"/>
        </w:rPr>
      </w:pPr>
      <w:r w:rsidRPr="00DF3703">
        <w:rPr>
          <w:rFonts w:ascii="Arial" w:hAnsi="Arial"/>
          <w:b/>
          <w:color w:val="002776"/>
        </w:rPr>
        <w:t>Gross output</w:t>
      </w:r>
      <w:r w:rsidRPr="00DF3703">
        <w:rPr>
          <w:rFonts w:ascii="Arial" w:hAnsi="Arial"/>
          <w:b/>
          <w:color w:val="931638"/>
        </w:rPr>
        <w:t xml:space="preserve"> </w:t>
      </w:r>
      <w:r w:rsidRPr="00DF3703">
        <w:rPr>
          <w:rFonts w:ascii="Arial" w:hAnsi="Arial"/>
        </w:rPr>
        <w:t xml:space="preserve">measures the total value of the goods and services supplied by the entity.  This is a broader measure than value added because it is an addition to the value added generated by the entity.  It also includes the value of </w:t>
      </w:r>
      <w:r w:rsidRPr="00DF3703">
        <w:rPr>
          <w:rFonts w:ascii="Arial" w:hAnsi="Arial"/>
        </w:rPr>
        <w:lastRenderedPageBreak/>
        <w:t>intermediate inputs used by the entity that flow from value added generated by other entities.</w:t>
      </w:r>
    </w:p>
    <w:p w:rsidR="00D13B29" w:rsidRPr="00DF3703" w:rsidRDefault="006B7D88" w:rsidP="00D13B29">
      <w:pPr>
        <w:pStyle w:val="Bullet1"/>
        <w:tabs>
          <w:tab w:val="num" w:pos="567"/>
        </w:tabs>
        <w:rPr>
          <w:rFonts w:ascii="Arial" w:hAnsi="Arial"/>
        </w:rPr>
      </w:pPr>
      <w:r w:rsidRPr="00DF3703">
        <w:rPr>
          <w:rFonts w:ascii="Arial" w:hAnsi="Arial"/>
          <w:b/>
          <w:color w:val="002776"/>
        </w:rPr>
        <w:t>Employment</w:t>
      </w:r>
      <w:r w:rsidRPr="00DF3703">
        <w:rPr>
          <w:rFonts w:ascii="Arial" w:hAnsi="Arial"/>
        </w:rPr>
        <w:t xml:space="preserve"> is a fundamentally different measure of activity to those above.  It measures the number of workers that are employed.</w:t>
      </w:r>
      <w:r w:rsidR="00FC735F" w:rsidRPr="00DF3703">
        <w:rPr>
          <w:rFonts w:ascii="Arial" w:hAnsi="Arial"/>
        </w:rPr>
        <w:t xml:space="preserve">  The Input-Output tables as provided by the ABS allow for the employment intensity to be measured by industry.</w:t>
      </w:r>
    </w:p>
    <w:p w:rsidR="00D13B29" w:rsidRPr="00DF3703" w:rsidRDefault="00EB023D" w:rsidP="00D13B29">
      <w:pPr>
        <w:pStyle w:val="BodyText"/>
        <w:rPr>
          <w:rFonts w:ascii="Arial" w:hAnsi="Arial" w:cs="Arial"/>
        </w:rPr>
      </w:pPr>
      <w:fldSimple w:instr=" REF _Ref235953014 \r \h  \* MERGEFORMAT ">
        <w:r w:rsidR="00536D7E" w:rsidRPr="00536D7E">
          <w:rPr>
            <w:rFonts w:ascii="Arial" w:hAnsi="Arial" w:cs="Arial"/>
          </w:rPr>
          <w:t>Figure B.1</w:t>
        </w:r>
      </w:fldSimple>
      <w:r w:rsidR="006B7D88" w:rsidRPr="00DF3703">
        <w:rPr>
          <w:rFonts w:ascii="Arial" w:hAnsi="Arial" w:cs="Arial"/>
        </w:rPr>
        <w:t xml:space="preserve"> shows the accounting framework used to evaluate economic activity, along with the components that make up gross output.  Gross output is the sum of value added and the value of intermediate inputs.  Value added can be calculated directly by summing the payments to the primary factors of production, labour (i.e. salaries) and capital (i.e. gross operating surplus (GOS), or profit), as well as production taxes less subsidies.  The value of intermediate inputs can also be calculated directly by summing up expenses related to non-primary factor inputs.</w:t>
      </w:r>
    </w:p>
    <w:p w:rsidR="00D13B29" w:rsidRPr="00DF3703" w:rsidRDefault="006B7D88" w:rsidP="00D13B29">
      <w:pPr>
        <w:pStyle w:val="AppendixFigureCaption"/>
        <w:rPr>
          <w:rFonts w:ascii="Arial" w:hAnsi="Arial" w:cs="Arial"/>
        </w:rPr>
      </w:pPr>
      <w:bookmarkStart w:id="173" w:name="_Ref235953014"/>
      <w:bookmarkStart w:id="174" w:name="_Toc257737660"/>
      <w:bookmarkStart w:id="175" w:name="_Toc269401249"/>
      <w:bookmarkStart w:id="176" w:name="_Toc283883615"/>
      <w:bookmarkStart w:id="177" w:name="_Toc286410352"/>
      <w:bookmarkStart w:id="178" w:name="_Toc314755925"/>
      <w:bookmarkStart w:id="179" w:name="_Toc318285295"/>
      <w:bookmarkStart w:id="180" w:name="_Toc338316426"/>
      <w:bookmarkStart w:id="181" w:name="_Toc355701073"/>
      <w:r w:rsidRPr="00DF3703">
        <w:rPr>
          <w:rFonts w:ascii="Arial" w:hAnsi="Arial" w:cs="Arial"/>
        </w:rPr>
        <w:t>: Economic activity accounting framework</w:t>
      </w:r>
      <w:bookmarkEnd w:id="173"/>
      <w:bookmarkEnd w:id="174"/>
      <w:bookmarkEnd w:id="175"/>
      <w:bookmarkEnd w:id="176"/>
      <w:bookmarkEnd w:id="177"/>
      <w:bookmarkEnd w:id="178"/>
      <w:bookmarkEnd w:id="179"/>
      <w:bookmarkEnd w:id="180"/>
      <w:bookmarkEnd w:id="181"/>
    </w:p>
    <w:p w:rsidR="00D13B29" w:rsidRPr="00DF3703" w:rsidRDefault="003747D4" w:rsidP="00D13B29">
      <w:pPr>
        <w:pStyle w:val="Picture"/>
        <w:jc w:val="left"/>
        <w:rPr>
          <w:rFonts w:ascii="Arial" w:hAnsi="Arial" w:cs="Arial"/>
        </w:rPr>
      </w:pPr>
      <w:r w:rsidRPr="00DF3703">
        <w:rPr>
          <w:rFonts w:ascii="Arial" w:hAnsi="Arial" w:cs="Arial"/>
          <w:noProof/>
          <w:lang w:eastAsia="en-AU"/>
        </w:rPr>
        <w:drawing>
          <wp:inline distT="0" distB="0" distL="0" distR="0">
            <wp:extent cx="5267325" cy="2638425"/>
            <wp:effectExtent l="0" t="0" r="0" b="9525"/>
            <wp:docPr id="22" name="Picture 1" descr="Economic activity accounting framework. Output, or total revenue, is the sum of intermediate inputs plus value added. Value added is the sum of labour, gross operating surplus, and production taxes less subsi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67325" cy="2638425"/>
                    </a:xfrm>
                    <a:prstGeom prst="rect">
                      <a:avLst/>
                    </a:prstGeom>
                    <a:noFill/>
                    <a:ln w="9525">
                      <a:noFill/>
                      <a:miter lim="800000"/>
                      <a:headEnd/>
                      <a:tailEnd/>
                    </a:ln>
                  </pic:spPr>
                </pic:pic>
              </a:graphicData>
            </a:graphic>
          </wp:inline>
        </w:drawing>
      </w:r>
    </w:p>
    <w:p w:rsidR="00D13B29" w:rsidRPr="00DF3703" w:rsidRDefault="006B7D88" w:rsidP="00D13B29">
      <w:pPr>
        <w:pStyle w:val="TableNote"/>
        <w:ind w:left="990"/>
        <w:rPr>
          <w:rFonts w:ascii="Arial" w:hAnsi="Arial" w:cs="Arial"/>
        </w:rPr>
      </w:pPr>
      <w:r w:rsidRPr="00DF3703">
        <w:rPr>
          <w:rFonts w:ascii="Arial" w:hAnsi="Arial" w:cs="Arial"/>
        </w:rPr>
        <w:t>Source:  Deloitte Access Economics.</w:t>
      </w:r>
    </w:p>
    <w:p w:rsidR="00D13B29" w:rsidRPr="00DF3703" w:rsidRDefault="006B7D88" w:rsidP="00D13B29">
      <w:pPr>
        <w:pStyle w:val="HeadingB"/>
        <w:rPr>
          <w:rFonts w:ascii="Arial" w:hAnsi="Arial" w:cs="Arial"/>
        </w:rPr>
      </w:pPr>
      <w:r w:rsidRPr="00DF3703">
        <w:rPr>
          <w:rFonts w:ascii="Arial" w:hAnsi="Arial" w:cs="Arial"/>
        </w:rPr>
        <w:t>Direct and indirect contributions</w:t>
      </w:r>
    </w:p>
    <w:p w:rsidR="00D13B29" w:rsidRPr="00DF3703" w:rsidRDefault="006B7D88" w:rsidP="00D13B29">
      <w:pPr>
        <w:pStyle w:val="BodyText"/>
        <w:rPr>
          <w:rFonts w:ascii="Arial" w:hAnsi="Arial" w:cs="Arial"/>
        </w:rPr>
      </w:pPr>
      <w:r w:rsidRPr="00DF3703">
        <w:rPr>
          <w:rFonts w:ascii="Arial" w:hAnsi="Arial" w:cs="Arial"/>
        </w:rPr>
        <w:t xml:space="preserve">The </w:t>
      </w:r>
      <w:r w:rsidRPr="00DF3703">
        <w:rPr>
          <w:rFonts w:ascii="Arial" w:hAnsi="Arial" w:cs="Arial"/>
          <w:b/>
          <w:color w:val="002776"/>
          <w:lang w:eastAsia="en-AU"/>
        </w:rPr>
        <w:t xml:space="preserve">direct </w:t>
      </w:r>
      <w:r w:rsidRPr="00DF3703">
        <w:rPr>
          <w:rFonts w:ascii="Arial" w:hAnsi="Arial" w:cs="Arial"/>
        </w:rPr>
        <w:t>economic contribution is a representation of the flow from labour and capital in the economic entity directly transacting with the consumer.  For example in the case of tourism activity, suppose a traveller purchases a meal at a restaurant, the direct economic contribution is the value added generated in the restaurant sector.</w:t>
      </w:r>
    </w:p>
    <w:p w:rsidR="00D13B29" w:rsidRPr="00DF3703" w:rsidRDefault="006B7D88" w:rsidP="00D13B29">
      <w:pPr>
        <w:pStyle w:val="BodyText"/>
        <w:rPr>
          <w:rFonts w:ascii="Arial" w:hAnsi="Arial" w:cs="Arial"/>
          <w:lang w:val="en-GB"/>
        </w:rPr>
      </w:pPr>
      <w:r w:rsidRPr="00DF3703">
        <w:rPr>
          <w:rFonts w:ascii="Arial" w:hAnsi="Arial" w:cs="Arial"/>
        </w:rPr>
        <w:t xml:space="preserve">The </w:t>
      </w:r>
      <w:r w:rsidRPr="00DF3703">
        <w:rPr>
          <w:rFonts w:ascii="Arial" w:hAnsi="Arial" w:cs="Arial"/>
          <w:b/>
          <w:color w:val="002776"/>
          <w:lang w:eastAsia="en-AU"/>
        </w:rPr>
        <w:t>indirect</w:t>
      </w:r>
      <w:r w:rsidRPr="00DF3703">
        <w:rPr>
          <w:rFonts w:ascii="Arial" w:hAnsi="Arial" w:cs="Arial"/>
          <w:b/>
          <w:color w:val="931638"/>
        </w:rPr>
        <w:t xml:space="preserve"> </w:t>
      </w:r>
      <w:r w:rsidRPr="00DF3703">
        <w:rPr>
          <w:rFonts w:ascii="Arial" w:hAnsi="Arial" w:cs="Arial"/>
        </w:rPr>
        <w:t xml:space="preserve">contribution is a measure of the demand for goods and services produced in other sectors as a result of demand generated by the direct consumer.  Estimation of the indirect economic contribution is undertaken in an input-output (IO) framework using </w:t>
      </w:r>
      <w:r w:rsidRPr="00DF3703">
        <w:rPr>
          <w:rFonts w:ascii="Arial" w:hAnsi="Arial" w:cs="Arial"/>
          <w:lang w:val="en-GB"/>
        </w:rPr>
        <w:t>Australian Bureau of Statistics input-output tables which report the inputs and outputs of specific sectors of the economy.  Continuing the example above, the indirect economic contribution generated when the restaurant buys supplies from wholesalers.</w:t>
      </w:r>
    </w:p>
    <w:p w:rsidR="00D13B29" w:rsidRPr="00DF3703" w:rsidRDefault="006B7D88" w:rsidP="00D13B29">
      <w:pPr>
        <w:pStyle w:val="BodyText"/>
        <w:rPr>
          <w:rFonts w:ascii="Arial" w:hAnsi="Arial" w:cs="Arial"/>
        </w:rPr>
      </w:pPr>
      <w:r w:rsidRPr="00DF3703">
        <w:rPr>
          <w:rFonts w:ascii="Arial" w:hAnsi="Arial" w:cs="Arial"/>
        </w:rPr>
        <w:lastRenderedPageBreak/>
        <w:t>The total economic contribution to the economy is the sum of the direct and indirect economic contributions.</w:t>
      </w:r>
    </w:p>
    <w:p w:rsidR="00D13B29" w:rsidRPr="00DF3703" w:rsidRDefault="006B7D88" w:rsidP="00D13B29">
      <w:pPr>
        <w:pStyle w:val="HeadingB"/>
        <w:rPr>
          <w:rFonts w:ascii="Arial" w:hAnsi="Arial" w:cs="Arial"/>
        </w:rPr>
      </w:pPr>
      <w:r w:rsidRPr="00DF3703">
        <w:rPr>
          <w:rFonts w:ascii="Arial" w:hAnsi="Arial" w:cs="Arial"/>
        </w:rPr>
        <w:t>Limitations of economic contribution studies</w:t>
      </w:r>
    </w:p>
    <w:p w:rsidR="00D13B29" w:rsidRPr="00DF3703" w:rsidRDefault="006B7D88" w:rsidP="00D13B29">
      <w:pPr>
        <w:pStyle w:val="BodyText"/>
        <w:rPr>
          <w:rFonts w:ascii="Arial" w:hAnsi="Arial" w:cs="Arial"/>
        </w:rPr>
      </w:pPr>
      <w:r w:rsidRPr="00DF3703">
        <w:rPr>
          <w:rFonts w:ascii="Arial" w:hAnsi="Arial" w:cs="Arial"/>
        </w:rPr>
        <w:t>While describing the geographic origin of production inputs may be a guide to the linkages one sector has with the local economy, it should be recognised that these are the type of normal industry linkages that characterise all economic activities.</w:t>
      </w:r>
    </w:p>
    <w:p w:rsidR="00D13B29" w:rsidRPr="00DF3703" w:rsidRDefault="006B7D88" w:rsidP="00D13B29">
      <w:pPr>
        <w:pStyle w:val="BodyText"/>
        <w:rPr>
          <w:rFonts w:ascii="Arial" w:hAnsi="Arial" w:cs="Arial"/>
        </w:rPr>
      </w:pPr>
      <w:r w:rsidRPr="00DF3703">
        <w:rPr>
          <w:rFonts w:ascii="Arial" w:hAnsi="Arial" w:cs="Arial"/>
        </w:rPr>
        <w:t>Unless there is significant unused capacity in the economy (such as unemployed labour) there is only a weak relationship between a firm’s economic contribution as measured by value added (or other static aggregates) and the welfare or living standard of the community.  Indeed, the use of labour and capital by demand created from the industry comes at an opportunity cost as it may reduce the amount of resources available to spend on other economic activities.</w:t>
      </w:r>
    </w:p>
    <w:p w:rsidR="00D13B29" w:rsidRPr="00DF3703" w:rsidRDefault="006B7D88" w:rsidP="00D13B29">
      <w:pPr>
        <w:pStyle w:val="BodyText"/>
        <w:rPr>
          <w:rFonts w:ascii="Arial" w:hAnsi="Arial" w:cs="Arial"/>
        </w:rPr>
      </w:pPr>
      <w:r w:rsidRPr="00DF3703">
        <w:rPr>
          <w:rFonts w:ascii="Arial" w:hAnsi="Arial" w:cs="Arial"/>
        </w:rPr>
        <w:t>This is not to say that the economic contribution, including employment, is not important.  As stated by the Productivity Commission in the context of Australia’s gambling industries:</w:t>
      </w:r>
      <w:r w:rsidR="00D13B29" w:rsidRPr="00DF3703">
        <w:rPr>
          <w:rStyle w:val="FootnoteReference"/>
          <w:rFonts w:cs="Arial"/>
        </w:rPr>
        <w:footnoteReference w:id="9"/>
      </w:r>
      <w:r w:rsidRPr="00DF3703">
        <w:rPr>
          <w:rFonts w:ascii="Arial" w:hAnsi="Arial" w:cs="Arial"/>
        </w:rPr>
        <w:t xml:space="preserve"> </w:t>
      </w:r>
    </w:p>
    <w:p w:rsidR="00D13B29" w:rsidRPr="00DF3703" w:rsidRDefault="006B7D88" w:rsidP="00D13B29">
      <w:pPr>
        <w:pStyle w:val="IndentQuote"/>
        <w:rPr>
          <w:rFonts w:ascii="Arial" w:hAnsi="Arial" w:cs="Arial"/>
        </w:rPr>
      </w:pPr>
      <w:r w:rsidRPr="00DF3703">
        <w:rPr>
          <w:rFonts w:ascii="Arial" w:hAnsi="Arial" w:cs="Arial"/>
        </w:rPr>
        <w:t>Value added, trade and job creation arguments need to be considered in the context of the economy as a whole … income from trade uses real resources, which could have been employed to generate benefits elsewhere.  These arguments do not mean that jobs, trade and activity are unimportant in an economy.  To the contrary they are critical to people’s well-being.  However, any particular industry’s contribution to these benefits is much smaller than might at first be thought, because substitute industries could produce similar, though not equal gains.</w:t>
      </w:r>
    </w:p>
    <w:p w:rsidR="00D13B29" w:rsidRPr="00DF3703" w:rsidRDefault="006B7D88" w:rsidP="00D13B29">
      <w:pPr>
        <w:pStyle w:val="BodyText"/>
        <w:rPr>
          <w:rFonts w:ascii="Arial" w:hAnsi="Arial" w:cs="Arial"/>
        </w:rPr>
      </w:pPr>
      <w:r w:rsidRPr="00DF3703">
        <w:rPr>
          <w:rFonts w:ascii="Arial" w:hAnsi="Arial" w:cs="Arial"/>
        </w:rPr>
        <w:t>In a fundamental sense, economic contribution studies are simply historical accounting exercises.  No ‘what-if’, or counterfactual inferences – such as ‘what would happen to living standards if the firm disappeared?’ – should be drawn from them.</w:t>
      </w:r>
    </w:p>
    <w:p w:rsidR="00D13B29" w:rsidRPr="00DF3703" w:rsidRDefault="006B7D88" w:rsidP="00D13B29">
      <w:pPr>
        <w:pStyle w:val="BodyText"/>
        <w:rPr>
          <w:rFonts w:ascii="Arial" w:hAnsi="Arial" w:cs="Arial"/>
        </w:rPr>
      </w:pPr>
      <w:r w:rsidRPr="00DF3703">
        <w:rPr>
          <w:rFonts w:ascii="Arial" w:hAnsi="Arial" w:cs="Arial"/>
        </w:rPr>
        <w:t>The analysis – as discussed in the report – relies on a national input-output table modelling framework and there are some limitations to this modelling framework.  The analysis assumes that goods and services provided to the sector is produced by factors of production that are located completely within the state or region defined and that income flows do not leak to other states.</w:t>
      </w:r>
    </w:p>
    <w:p w:rsidR="00D13B29" w:rsidRPr="00DF3703" w:rsidRDefault="006B7D88" w:rsidP="00D13B29">
      <w:pPr>
        <w:pStyle w:val="BodyText"/>
        <w:rPr>
          <w:rFonts w:ascii="Arial" w:hAnsi="Arial" w:cs="Arial"/>
        </w:rPr>
      </w:pPr>
      <w:r w:rsidRPr="00DF3703">
        <w:rPr>
          <w:rFonts w:ascii="Arial" w:hAnsi="Arial" w:cs="Arial"/>
        </w:rPr>
        <w:t>The IO framework and the derivation of the multipliers also assume that the relevant economic activity takes place within an unconstrained environment.  That is, an increase in economic activity in one area of the economy does not increase prices and subsequently crowd out economic activity in another area of the economy.  As a result, the modelled total and indirect contribution can be regarded as an upper-bound estimate of the contribution made by the supply of intermediate inputs.</w:t>
      </w:r>
    </w:p>
    <w:p w:rsidR="00D13B29" w:rsidRPr="00DF3703" w:rsidRDefault="006B7D88" w:rsidP="00D13B29">
      <w:pPr>
        <w:pStyle w:val="BodyText"/>
        <w:rPr>
          <w:rFonts w:ascii="Arial" w:hAnsi="Arial" w:cs="Arial"/>
        </w:rPr>
      </w:pPr>
      <w:r w:rsidRPr="00DF3703">
        <w:rPr>
          <w:rFonts w:ascii="Arial" w:hAnsi="Arial" w:cs="Arial"/>
        </w:rPr>
        <w:t>Similarly the IO framework does not account for further flow-on benefits as captured in a more dynamic modelling environment like the CGE model.</w:t>
      </w:r>
    </w:p>
    <w:p w:rsidR="00D13B29" w:rsidRPr="00DF3703" w:rsidRDefault="006B7D88" w:rsidP="00D13B29">
      <w:pPr>
        <w:pStyle w:val="HeadingB"/>
        <w:rPr>
          <w:rFonts w:ascii="Arial" w:hAnsi="Arial" w:cs="Arial"/>
        </w:rPr>
      </w:pPr>
      <w:bookmarkStart w:id="182" w:name="_Toc214865622"/>
      <w:bookmarkStart w:id="183" w:name="_Ref214849131"/>
      <w:bookmarkStart w:id="184" w:name="_Toc220465552"/>
      <w:bookmarkStart w:id="185" w:name="_Toc251679715"/>
      <w:bookmarkStart w:id="186" w:name="_Toc257737641"/>
      <w:r w:rsidRPr="00DF3703">
        <w:rPr>
          <w:rFonts w:ascii="Arial" w:hAnsi="Arial" w:cs="Arial"/>
        </w:rPr>
        <w:lastRenderedPageBreak/>
        <w:t>Input-output analysis</w:t>
      </w:r>
      <w:bookmarkEnd w:id="182"/>
      <w:bookmarkEnd w:id="183"/>
      <w:bookmarkEnd w:id="184"/>
      <w:bookmarkEnd w:id="185"/>
      <w:bookmarkEnd w:id="186"/>
    </w:p>
    <w:p w:rsidR="00D13B29" w:rsidRPr="00DF3703" w:rsidRDefault="006B7D88" w:rsidP="00D13B29">
      <w:pPr>
        <w:pStyle w:val="BodyText"/>
        <w:rPr>
          <w:rFonts w:ascii="Arial" w:hAnsi="Arial" w:cs="Arial"/>
        </w:rPr>
      </w:pPr>
      <w:r w:rsidRPr="00DF3703">
        <w:rPr>
          <w:rFonts w:ascii="Arial" w:hAnsi="Arial" w:cs="Arial"/>
        </w:rPr>
        <w:t>Input-output tables are required to account for the intermediate flows between sectors.  These tables measure the direct economic activity of every sector in the economy at the national level.  Importantly, these tables allow intermediate inputs to be further broken down by source.  These detailed intermediate flows can be used to derive the total change in economic activity associated with a given direct change in activity for a given sector.</w:t>
      </w:r>
    </w:p>
    <w:p w:rsidR="00D13B29" w:rsidRPr="00DF3703" w:rsidRDefault="006B7D88" w:rsidP="00D13B29">
      <w:pPr>
        <w:pStyle w:val="BodyText"/>
        <w:rPr>
          <w:rFonts w:ascii="Arial" w:hAnsi="Arial" w:cs="Arial"/>
        </w:rPr>
      </w:pPr>
      <w:r w:rsidRPr="00DF3703">
        <w:rPr>
          <w:rFonts w:ascii="Arial" w:hAnsi="Arial" w:cs="Arial"/>
        </w:rPr>
        <w:t>The input-output matrix used for Australia is derived from the Australian Bureau of Statistics 2007-08 Input-Output Tables.  The industry classification used for input-output tables is based on ANZSIC, with 111 sectors in the modelling framework</w:t>
      </w:r>
    </w:p>
    <w:p w:rsidR="00D13B29" w:rsidRPr="00DF3703" w:rsidRDefault="00D13B29" w:rsidP="00D13B29">
      <w:pPr>
        <w:pStyle w:val="Source"/>
        <w:spacing w:before="240"/>
        <w:rPr>
          <w:rFonts w:ascii="Arial" w:hAnsi="Arial"/>
          <w:sz w:val="22"/>
          <w:szCs w:val="22"/>
        </w:rPr>
      </w:pPr>
    </w:p>
    <w:p w:rsidR="00D13B29" w:rsidRPr="00DF3703" w:rsidRDefault="00D13B29" w:rsidP="00D13B29">
      <w:pPr>
        <w:pStyle w:val="Source"/>
        <w:spacing w:before="240"/>
        <w:rPr>
          <w:rFonts w:ascii="Arial" w:hAnsi="Arial"/>
          <w:sz w:val="22"/>
          <w:szCs w:val="22"/>
        </w:rPr>
      </w:pPr>
    </w:p>
    <w:p w:rsidR="006B29A4" w:rsidRPr="00DF3703" w:rsidRDefault="006B29A4">
      <w:pPr>
        <w:pStyle w:val="BodyText"/>
        <w:rPr>
          <w:rFonts w:ascii="Arial" w:hAnsi="Arial" w:cs="Arial"/>
        </w:rPr>
        <w:sectPr w:rsidR="006B29A4" w:rsidRPr="00DF3703" w:rsidSect="00BE3B64">
          <w:headerReference w:type="even" r:id="rId45"/>
          <w:headerReference w:type="default" r:id="rId46"/>
          <w:footerReference w:type="even" r:id="rId47"/>
          <w:footerReference w:type="default" r:id="rId48"/>
          <w:headerReference w:type="first" r:id="rId49"/>
          <w:footerReference w:type="first" r:id="rId50"/>
          <w:pgSz w:w="11906" w:h="16838" w:code="9"/>
          <w:pgMar w:top="2268" w:right="1134" w:bottom="1134" w:left="2552" w:header="720" w:footer="720" w:gutter="0"/>
          <w:pgNumType w:start="1"/>
          <w:cols w:space="720"/>
          <w:docGrid w:linePitch="360"/>
        </w:sectPr>
      </w:pPr>
    </w:p>
    <w:p w:rsidR="006B29A4" w:rsidRPr="00DF3703" w:rsidRDefault="006B7D88" w:rsidP="006B29A4">
      <w:pPr>
        <w:pStyle w:val="BSubheading-Bluedk"/>
        <w:rPr>
          <w:rFonts w:cs="Arial"/>
          <w:sz w:val="44"/>
        </w:rPr>
      </w:pPr>
      <w:bookmarkStart w:id="187" w:name="_Toc288029464"/>
      <w:bookmarkStart w:id="188" w:name="_Toc355701003"/>
      <w:r w:rsidRPr="00DF3703">
        <w:rPr>
          <w:rFonts w:cs="Arial"/>
          <w:sz w:val="44"/>
        </w:rPr>
        <w:lastRenderedPageBreak/>
        <w:t>Limitation of our work</w:t>
      </w:r>
      <w:bookmarkEnd w:id="187"/>
      <w:bookmarkEnd w:id="188"/>
    </w:p>
    <w:p w:rsidR="006B29A4" w:rsidRPr="00DF3703" w:rsidRDefault="006B7D88" w:rsidP="002E52DA">
      <w:pPr>
        <w:pStyle w:val="HeadingB"/>
        <w:spacing w:after="240"/>
        <w:rPr>
          <w:rFonts w:ascii="Arial" w:hAnsi="Arial" w:cs="Arial"/>
        </w:rPr>
      </w:pPr>
      <w:r w:rsidRPr="00DF3703">
        <w:rPr>
          <w:rFonts w:ascii="Arial" w:hAnsi="Arial" w:cs="Arial"/>
        </w:rPr>
        <w:t>General use restriction</w:t>
      </w:r>
    </w:p>
    <w:p w:rsidR="006B29A4" w:rsidRPr="00DF3703" w:rsidRDefault="006B7D88" w:rsidP="006B29A4">
      <w:pPr>
        <w:pStyle w:val="Bodycopy"/>
        <w:rPr>
          <w:rFonts w:cs="Arial"/>
          <w:sz w:val="22"/>
          <w:szCs w:val="22"/>
        </w:rPr>
      </w:pPr>
      <w:r w:rsidRPr="00DF3703">
        <w:rPr>
          <w:rFonts w:cs="Arial"/>
          <w:sz w:val="22"/>
          <w:szCs w:val="22"/>
        </w:rPr>
        <w:t>This report is prepared for the GBRMPA for the purpose set out in the engagement letter.  This report is not intended to and should not be used or relied upon by anyone else and we accept no duty of care to any other person or entity.  The report has been prepared for the purpose as set out in the engagement let</w:t>
      </w:r>
      <w:r w:rsidR="003E5C83" w:rsidRPr="00DF3703">
        <w:rPr>
          <w:rFonts w:cs="Arial"/>
          <w:sz w:val="22"/>
          <w:szCs w:val="22"/>
        </w:rPr>
        <w:t xml:space="preserve">ter. </w:t>
      </w:r>
      <w:r w:rsidRPr="00DF3703">
        <w:rPr>
          <w:rFonts w:cs="Arial"/>
          <w:sz w:val="22"/>
          <w:szCs w:val="22"/>
        </w:rPr>
        <w:t>You should not refer to or use our name or the advice for any other purpose.</w:t>
      </w:r>
    </w:p>
    <w:p w:rsidR="00ED79CD" w:rsidRPr="00DF3703" w:rsidRDefault="00ED79CD" w:rsidP="006B29A4">
      <w:pPr>
        <w:pStyle w:val="Bodycopy"/>
        <w:rPr>
          <w:rFonts w:cs="Arial"/>
          <w:sz w:val="22"/>
          <w:szCs w:val="22"/>
        </w:rPr>
      </w:pPr>
    </w:p>
    <w:p w:rsidR="00ED79CD" w:rsidRPr="00DF3703" w:rsidRDefault="00ED79CD" w:rsidP="006B29A4">
      <w:pPr>
        <w:pStyle w:val="Bodycopy"/>
        <w:rPr>
          <w:rFonts w:cs="Arial"/>
          <w:sz w:val="22"/>
          <w:szCs w:val="22"/>
        </w:rPr>
      </w:pPr>
    </w:p>
    <w:p w:rsidR="00ED79CD" w:rsidRPr="00DF3703" w:rsidRDefault="00ED79CD" w:rsidP="006B29A4">
      <w:pPr>
        <w:pStyle w:val="Bodycopy"/>
        <w:rPr>
          <w:rFonts w:cs="Arial"/>
          <w:sz w:val="22"/>
          <w:szCs w:val="22"/>
        </w:rPr>
      </w:pPr>
    </w:p>
    <w:p w:rsidR="006B29A4" w:rsidRPr="00DF3703" w:rsidRDefault="006B29A4" w:rsidP="006B29A4">
      <w:pPr>
        <w:rPr>
          <w:rFonts w:ascii="Arial" w:hAnsi="Arial" w:cs="Arial"/>
          <w:b/>
          <w:bCs/>
          <w:iCs/>
          <w:color w:val="00A1DE"/>
          <w:sz w:val="40"/>
          <w:szCs w:val="40"/>
        </w:rPr>
        <w:sectPr w:rsidR="006B29A4" w:rsidRPr="00DF3703" w:rsidSect="00BD489D">
          <w:headerReference w:type="even" r:id="rId51"/>
          <w:headerReference w:type="default" r:id="rId52"/>
          <w:headerReference w:type="first" r:id="rId53"/>
          <w:footerReference w:type="first" r:id="rId54"/>
          <w:pgSz w:w="11907" w:h="16840" w:code="9"/>
          <w:pgMar w:top="2268" w:right="1134" w:bottom="1134" w:left="2552" w:header="567" w:footer="567" w:gutter="0"/>
          <w:cols w:space="708"/>
          <w:titlePg/>
          <w:docGrid w:linePitch="360"/>
        </w:sectPr>
      </w:pPr>
    </w:p>
    <w:p w:rsidR="006B29A4" w:rsidRPr="00DF3703" w:rsidRDefault="006B29A4" w:rsidP="006B29A4">
      <w:pPr>
        <w:pStyle w:val="DBody"/>
        <w:rPr>
          <w:rFonts w:cs="Arial"/>
          <w:b/>
          <w:color w:val="C0504D" w:themeColor="accent2"/>
          <w:sz w:val="24"/>
          <w:lang w:val="en-AU"/>
        </w:rPr>
        <w:sectPr w:rsidR="006B29A4" w:rsidRPr="00DF3703" w:rsidSect="00BD489D">
          <w:headerReference w:type="even" r:id="rId55"/>
          <w:headerReference w:type="default" r:id="rId56"/>
          <w:headerReference w:type="first" r:id="rId57"/>
          <w:type w:val="continuous"/>
          <w:pgSz w:w="11907" w:h="16840" w:code="9"/>
          <w:pgMar w:top="6345" w:right="1134" w:bottom="567" w:left="1134" w:header="567" w:footer="500" w:gutter="0"/>
          <w:cols w:num="2" w:space="708"/>
          <w:docGrid w:linePitch="360"/>
        </w:sectPr>
      </w:pPr>
    </w:p>
    <w:p w:rsidR="006B29A4" w:rsidRPr="00DF3703" w:rsidRDefault="006B7D88" w:rsidP="006B29A4">
      <w:pPr>
        <w:pStyle w:val="DBody"/>
        <w:rPr>
          <w:rFonts w:cs="Arial"/>
          <w:b/>
          <w:color w:val="92D400"/>
          <w:lang w:val="en-AU"/>
        </w:rPr>
      </w:pPr>
      <w:r w:rsidRPr="00DF3703">
        <w:rPr>
          <w:rFonts w:cs="Arial"/>
          <w:b/>
          <w:color w:val="92D400"/>
          <w:sz w:val="24"/>
          <w:lang w:val="en-AU"/>
        </w:rPr>
        <w:lastRenderedPageBreak/>
        <w:t>Contact us</w:t>
      </w:r>
    </w:p>
    <w:p w:rsidR="006B29A4" w:rsidRPr="00DF3703" w:rsidRDefault="006B7D88" w:rsidP="006B29A4">
      <w:pPr>
        <w:pStyle w:val="DBody"/>
        <w:rPr>
          <w:rFonts w:cs="Arial"/>
        </w:rPr>
      </w:pPr>
      <w:r w:rsidRPr="00DF3703">
        <w:rPr>
          <w:rFonts w:cs="Arial"/>
          <w:lang w:val="en-AU"/>
        </w:rPr>
        <w:t>Deloitte Access Economics</w:t>
      </w:r>
      <w:r w:rsidRPr="00DF3703">
        <w:rPr>
          <w:rFonts w:cs="Arial"/>
          <w:lang w:val="en-AU"/>
        </w:rPr>
        <w:br/>
        <w:t>ACN: 149 633 116</w:t>
      </w:r>
      <w:r w:rsidRPr="00DF3703">
        <w:rPr>
          <w:rFonts w:cs="Arial"/>
          <w:lang w:val="en-AU"/>
        </w:rPr>
        <w:br/>
      </w:r>
      <w:r w:rsidRPr="00DF3703">
        <w:rPr>
          <w:rFonts w:cs="Arial"/>
          <w:lang w:val="en-AU"/>
        </w:rPr>
        <w:br/>
        <w:t>Level 1</w:t>
      </w:r>
      <w:r w:rsidRPr="00DF3703">
        <w:rPr>
          <w:rFonts w:cs="Arial"/>
          <w:lang w:val="en-AU"/>
        </w:rPr>
        <w:br/>
        <w:t>9 Sydney Avenue</w:t>
      </w:r>
      <w:r w:rsidRPr="00DF3703">
        <w:rPr>
          <w:rFonts w:cs="Arial"/>
          <w:lang w:val="en-AU"/>
        </w:rPr>
        <w:br/>
        <w:t>Barton   ACT   2600</w:t>
      </w:r>
      <w:r w:rsidRPr="00DF3703">
        <w:rPr>
          <w:rFonts w:cs="Arial"/>
          <w:lang w:val="en-AU"/>
        </w:rPr>
        <w:br/>
        <w:t>PO Box 6334</w:t>
      </w:r>
      <w:r w:rsidRPr="00DF3703">
        <w:rPr>
          <w:rFonts w:cs="Arial"/>
          <w:lang w:val="en-AU"/>
        </w:rPr>
        <w:br/>
        <w:t>Kingston   ACT   2604 Australia</w:t>
      </w:r>
      <w:r w:rsidRPr="00DF3703">
        <w:rPr>
          <w:rFonts w:cs="Arial"/>
          <w:lang w:val="en-AU"/>
        </w:rPr>
        <w:br/>
      </w:r>
      <w:r w:rsidRPr="00DF3703">
        <w:rPr>
          <w:rFonts w:cs="Arial"/>
          <w:lang w:val="en-AU"/>
        </w:rPr>
        <w:br/>
        <w:t>Tel: +61 2 6175 2000</w:t>
      </w:r>
      <w:r w:rsidRPr="00DF3703">
        <w:rPr>
          <w:rFonts w:cs="Arial"/>
          <w:lang w:val="en-AU"/>
        </w:rPr>
        <w:br/>
        <w:t>Fax: +61 2 6175 2001</w:t>
      </w:r>
      <w:r w:rsidRPr="00DF3703">
        <w:rPr>
          <w:rFonts w:cs="Arial"/>
          <w:lang w:val="en-AU"/>
        </w:rPr>
        <w:br/>
      </w:r>
      <w:r w:rsidRPr="00DF3703">
        <w:rPr>
          <w:rFonts w:cs="Arial"/>
          <w:lang w:val="en-AU"/>
        </w:rPr>
        <w:br/>
      </w:r>
      <w:hyperlink r:id="rId58" w:history="1">
        <w:r w:rsidRPr="00DF3703">
          <w:rPr>
            <w:rStyle w:val="Hyperlink"/>
            <w:rFonts w:cs="Arial"/>
          </w:rPr>
          <w:t>www.deloitteaccesseconomics</w:t>
        </w:r>
      </w:hyperlink>
      <w:r w:rsidRPr="00DF3703">
        <w:rPr>
          <w:rStyle w:val="Hyperlink"/>
          <w:rFonts w:cs="Arial"/>
        </w:rPr>
        <w:t>.com.au</w:t>
      </w:r>
    </w:p>
    <w:p w:rsidR="00ED79CD" w:rsidRPr="00DF3703" w:rsidRDefault="00ED79CD" w:rsidP="00471F42">
      <w:pPr>
        <w:pStyle w:val="BoldPara"/>
        <w:rPr>
          <w:rFonts w:ascii="Arial" w:hAnsi="Arial" w:cs="Arial"/>
        </w:rPr>
      </w:pPr>
    </w:p>
    <w:p w:rsidR="00471F42" w:rsidRPr="00DF3703" w:rsidRDefault="00471F42" w:rsidP="006B29A4">
      <w:pPr>
        <w:pStyle w:val="DBody"/>
        <w:rPr>
          <w:rFonts w:cs="Arial"/>
          <w:lang w:val="en-AU"/>
        </w:rPr>
      </w:pPr>
    </w:p>
    <w:p w:rsidR="00471F42" w:rsidRPr="00DF3703" w:rsidRDefault="006B7D88" w:rsidP="00471F42">
      <w:pPr>
        <w:pStyle w:val="BodyText"/>
        <w:jc w:val="left"/>
        <w:rPr>
          <w:rFonts w:ascii="Arial" w:hAnsi="Arial" w:cs="Arial"/>
          <w:sz w:val="18"/>
          <w:szCs w:val="18"/>
        </w:rPr>
      </w:pPr>
      <w:r w:rsidRPr="00DF3703">
        <w:rPr>
          <w:rFonts w:ascii="Arial" w:hAnsi="Arial" w:cs="Arial"/>
        </w:rPr>
        <w:br w:type="column"/>
      </w:r>
      <w:r w:rsidRPr="00DF3703">
        <w:rPr>
          <w:rStyle w:val="BoldParaChar"/>
          <w:rFonts w:ascii="Arial" w:hAnsi="Arial" w:cs="Arial"/>
          <w:sz w:val="18"/>
          <w:szCs w:val="18"/>
        </w:rPr>
        <w:lastRenderedPageBreak/>
        <w:t>Deloitte Access Economics</w:t>
      </w:r>
      <w:r w:rsidRPr="00DF3703">
        <w:rPr>
          <w:rFonts w:ascii="Arial" w:hAnsi="Arial" w:cs="Arial"/>
          <w:sz w:val="18"/>
          <w:szCs w:val="18"/>
        </w:rPr>
        <w:t xml:space="preserve"> is Australia’s pre-eminent economics advisory practice and a member of Deloitte's global economics group.  The Directors and staff of Access Economics joined Deloitte in early 2011.</w:t>
      </w:r>
    </w:p>
    <w:p w:rsidR="00471F42" w:rsidRPr="00DF3703" w:rsidRDefault="006B7D88" w:rsidP="00471F42">
      <w:pPr>
        <w:pStyle w:val="BodyText"/>
        <w:spacing w:before="120"/>
        <w:jc w:val="left"/>
        <w:rPr>
          <w:rFonts w:ascii="Arial" w:hAnsi="Arial" w:cs="Arial"/>
          <w:sz w:val="18"/>
          <w:szCs w:val="18"/>
        </w:rPr>
      </w:pPr>
      <w:r w:rsidRPr="00DF3703">
        <w:rPr>
          <w:rFonts w:ascii="Arial" w:hAnsi="Arial" w:cs="Arial"/>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59" w:history="1">
        <w:r w:rsidRPr="00DF3703">
          <w:rPr>
            <w:rFonts w:ascii="Arial" w:hAnsi="Arial" w:cs="Arial"/>
            <w:sz w:val="18"/>
            <w:szCs w:val="18"/>
          </w:rPr>
          <w:t>www.deloitte.com/au/about</w:t>
        </w:r>
      </w:hyperlink>
      <w:r w:rsidRPr="00DF3703">
        <w:rPr>
          <w:rFonts w:ascii="Arial" w:hAnsi="Arial" w:cs="Arial"/>
          <w:sz w:val="18"/>
          <w:szCs w:val="18"/>
        </w:rPr>
        <w:t xml:space="preserve"> for a detailed description of the legal structure of Deloitte Touche Tohmatsu Limited and its member firms.</w:t>
      </w:r>
    </w:p>
    <w:p w:rsidR="00471F42" w:rsidRPr="00DF3703" w:rsidRDefault="006B7D88" w:rsidP="00471F42">
      <w:pPr>
        <w:pStyle w:val="BoldPara"/>
        <w:spacing w:before="120"/>
        <w:rPr>
          <w:rFonts w:ascii="Arial" w:hAnsi="Arial" w:cs="Arial"/>
          <w:sz w:val="18"/>
          <w:szCs w:val="18"/>
        </w:rPr>
      </w:pPr>
      <w:r w:rsidRPr="00DF3703">
        <w:rPr>
          <w:rFonts w:ascii="Arial" w:hAnsi="Arial" w:cs="Arial"/>
          <w:sz w:val="18"/>
          <w:szCs w:val="18"/>
        </w:rPr>
        <w:t>About Deloitte</w:t>
      </w:r>
    </w:p>
    <w:p w:rsidR="00471F42" w:rsidRPr="00DF3703" w:rsidRDefault="006B7D88" w:rsidP="00471F42">
      <w:pPr>
        <w:pStyle w:val="BodyText"/>
        <w:spacing w:before="120"/>
        <w:jc w:val="left"/>
        <w:rPr>
          <w:rFonts w:ascii="Arial" w:hAnsi="Arial" w:cs="Arial"/>
          <w:sz w:val="18"/>
          <w:szCs w:val="18"/>
        </w:rPr>
      </w:pPr>
      <w:r w:rsidRPr="00DF3703">
        <w:rPr>
          <w:rFonts w:ascii="Arial" w:hAnsi="Arial" w:cs="Arial"/>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operate. Deloitte's approximately 170,000 professionals are committed to becoming the standard of excellence.</w:t>
      </w:r>
    </w:p>
    <w:p w:rsidR="00471F42" w:rsidRPr="00DF3703" w:rsidRDefault="006B7D88" w:rsidP="00471F42">
      <w:pPr>
        <w:pStyle w:val="BoldPara"/>
        <w:spacing w:before="120"/>
        <w:rPr>
          <w:rFonts w:ascii="Arial" w:hAnsi="Arial" w:cs="Arial"/>
          <w:sz w:val="18"/>
          <w:szCs w:val="18"/>
        </w:rPr>
      </w:pPr>
      <w:r w:rsidRPr="00DF3703">
        <w:rPr>
          <w:rFonts w:ascii="Arial" w:hAnsi="Arial" w:cs="Arial"/>
          <w:sz w:val="18"/>
          <w:szCs w:val="18"/>
        </w:rPr>
        <w:t>About Deloitte Australia</w:t>
      </w:r>
    </w:p>
    <w:p w:rsidR="00471F42" w:rsidRPr="00DF3703" w:rsidRDefault="006B7D88" w:rsidP="00471F42">
      <w:pPr>
        <w:pStyle w:val="BodyText"/>
        <w:spacing w:before="120"/>
        <w:jc w:val="left"/>
        <w:rPr>
          <w:rFonts w:ascii="Arial" w:hAnsi="Arial" w:cs="Arial"/>
          <w:sz w:val="18"/>
          <w:szCs w:val="18"/>
        </w:rPr>
      </w:pPr>
      <w:r w:rsidRPr="00DF3703">
        <w:rPr>
          <w:rFonts w:ascii="Arial" w:hAnsi="Arial" w:cs="Arial"/>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5,400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60" w:tooltip="outbind://134-00000000D9F0381E780C36468130C157C6E02F0F070089EF0B7E64D67E4497677FBE48F7C85200000026A9650000C02BFF51A79832439D10343FF5D9363C000001F3CF140000/Local%20Settings/Temporary%20Internet%20Files/OLK19/www.deloitte.com.au" w:history="1">
        <w:r w:rsidRPr="00DF3703">
          <w:rPr>
            <w:rFonts w:ascii="Arial" w:hAnsi="Arial" w:cs="Arial"/>
            <w:sz w:val="18"/>
            <w:szCs w:val="18"/>
          </w:rPr>
          <w:t>www.deloitte.com.au</w:t>
        </w:r>
      </w:hyperlink>
      <w:r w:rsidRPr="00DF3703">
        <w:rPr>
          <w:rFonts w:ascii="Arial" w:hAnsi="Arial" w:cs="Arial"/>
          <w:sz w:val="18"/>
          <w:szCs w:val="18"/>
        </w:rPr>
        <w:t>.</w:t>
      </w:r>
    </w:p>
    <w:p w:rsidR="00471F42" w:rsidRPr="00DF3703" w:rsidRDefault="006B7D88" w:rsidP="00471F42">
      <w:pPr>
        <w:spacing w:before="120" w:line="180" w:lineRule="exact"/>
        <w:rPr>
          <w:rFonts w:ascii="Arial" w:hAnsi="Arial" w:cs="Arial"/>
          <w:sz w:val="18"/>
          <w:szCs w:val="18"/>
        </w:rPr>
      </w:pPr>
      <w:r w:rsidRPr="00DF3703">
        <w:rPr>
          <w:rFonts w:ascii="Arial" w:hAnsi="Arial" w:cs="Arial"/>
          <w:sz w:val="18"/>
          <w:szCs w:val="18"/>
        </w:rPr>
        <w:t>Liability limited by a scheme approved under Professional Standards Legislation.</w:t>
      </w:r>
    </w:p>
    <w:p w:rsidR="00471F42" w:rsidRPr="00DF3703" w:rsidRDefault="006B7D88" w:rsidP="00471F42">
      <w:pPr>
        <w:spacing w:before="120" w:line="180" w:lineRule="exact"/>
        <w:rPr>
          <w:rFonts w:ascii="Arial" w:hAnsi="Arial" w:cs="Arial"/>
          <w:sz w:val="18"/>
          <w:szCs w:val="18"/>
        </w:rPr>
      </w:pPr>
      <w:r w:rsidRPr="00DF3703">
        <w:rPr>
          <w:rFonts w:ascii="Arial" w:hAnsi="Arial" w:cs="Arial"/>
          <w:sz w:val="18"/>
          <w:szCs w:val="18"/>
        </w:rPr>
        <w:t>Member of Deloitte Touche Tohmatsu Limited</w:t>
      </w:r>
    </w:p>
    <w:p w:rsidR="00471F42" w:rsidRPr="009669FC" w:rsidRDefault="006B7D88" w:rsidP="00471F42">
      <w:pPr>
        <w:spacing w:before="120" w:line="180" w:lineRule="exact"/>
        <w:rPr>
          <w:rFonts w:ascii="Arial" w:hAnsi="Arial" w:cs="Arial"/>
          <w:sz w:val="18"/>
          <w:szCs w:val="18"/>
        </w:rPr>
      </w:pPr>
      <w:r w:rsidRPr="00DF3703">
        <w:rPr>
          <w:rFonts w:ascii="Arial" w:hAnsi="Arial" w:cs="Arial"/>
          <w:sz w:val="18"/>
          <w:szCs w:val="18"/>
        </w:rPr>
        <w:t xml:space="preserve">© </w:t>
      </w:r>
      <w:r w:rsidRPr="00DF3703">
        <w:rPr>
          <w:rFonts w:ascii="Arial" w:hAnsi="Arial" w:cs="Arial"/>
          <w:noProof/>
          <w:sz w:val="18"/>
          <w:szCs w:val="18"/>
        </w:rPr>
        <w:t>2012</w:t>
      </w:r>
      <w:r w:rsidRPr="00DF3703">
        <w:rPr>
          <w:rFonts w:ascii="Arial" w:hAnsi="Arial" w:cs="Arial"/>
          <w:sz w:val="18"/>
          <w:szCs w:val="18"/>
        </w:rPr>
        <w:t xml:space="preserve"> Deloitte Access Economics Pty Ltd</w:t>
      </w:r>
    </w:p>
    <w:p w:rsidR="006B29A4" w:rsidRPr="009669FC" w:rsidRDefault="006B29A4" w:rsidP="00471F42">
      <w:pPr>
        <w:rPr>
          <w:rFonts w:ascii="Arial" w:hAnsi="Arial" w:cs="Arial"/>
          <w:sz w:val="18"/>
          <w:szCs w:val="18"/>
        </w:rPr>
      </w:pPr>
    </w:p>
    <w:sectPr w:rsidR="006B29A4" w:rsidRPr="009669FC" w:rsidSect="006B29A4">
      <w:headerReference w:type="even" r:id="rId61"/>
      <w:headerReference w:type="default" r:id="rId62"/>
      <w:footerReference w:type="default" r:id="rId63"/>
      <w:headerReference w:type="first" r:id="rId64"/>
      <w:pgSz w:w="11906" w:h="16838" w:code="9"/>
      <w:pgMar w:top="2268" w:right="1134" w:bottom="1134" w:left="2552" w:header="720" w:footer="720" w:gutter="0"/>
      <w:pgNumType w:start="1"/>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73D" w:rsidRDefault="0093073D" w:rsidP="00680968">
      <w:pPr>
        <w:pStyle w:val="Tabletotals"/>
      </w:pPr>
      <w:r>
        <w:separator/>
      </w:r>
    </w:p>
  </w:endnote>
  <w:endnote w:type="continuationSeparator" w:id="0">
    <w:p w:rsidR="0093073D" w:rsidRDefault="0093073D" w:rsidP="00680968">
      <w:pPr>
        <w:pStyle w:val="Tabletotals"/>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6345F9" w:rsidRDefault="0093073D" w:rsidP="00BD489D">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6B29A4" w:rsidRDefault="0093073D" w:rsidP="006B29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Default="0093073D">
    <w:pPr>
      <w:pStyle w:val="Footer"/>
    </w:pPr>
    <w:r w:rsidRPr="00042200">
      <w:rPr>
        <w:noProof/>
        <w:lang w:eastAsia="en-AU"/>
      </w:rPr>
      <w:drawing>
        <wp:anchor distT="0" distB="0" distL="114300" distR="114300" simplePos="0" relativeHeight="251677184" behindDoc="0" locked="0" layoutInCell="1" allowOverlap="1">
          <wp:simplePos x="0" y="0"/>
          <wp:positionH relativeFrom="page">
            <wp:posOffset>5305425</wp:posOffset>
          </wp:positionH>
          <wp:positionV relativeFrom="page">
            <wp:posOffset>9991725</wp:posOffset>
          </wp:positionV>
          <wp:extent cx="1652270" cy="314325"/>
          <wp:effectExtent l="19050" t="0" r="5080" b="0"/>
          <wp:wrapNone/>
          <wp:docPr id="29" name="HDR_LOGO" descr="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52270" cy="314325"/>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644AF6" w:rsidRDefault="0093073D" w:rsidP="007257C4">
    <w:pPr>
      <w:pStyle w:val="Footer"/>
      <w:tabs>
        <w:tab w:val="clear" w:pos="4513"/>
        <w:tab w:val="left" w:pos="3969"/>
      </w:tabs>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873274" w:rsidRDefault="0093073D" w:rsidP="0087327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Default="00EB023D">
    <w:pPr>
      <w:pStyle w:val="Footer"/>
      <w:jc w:val="center"/>
    </w:pPr>
    <w:r>
      <w:rPr>
        <w:noProof/>
        <w:lang w:eastAsia="en-AU"/>
      </w:rPr>
      <w:pict>
        <v:shapetype id="_x0000_t202" coordsize="21600,21600" o:spt="202" path="m,l,21600r21600,l21600,xe">
          <v:stroke joinstyle="miter"/>
          <v:path gradientshapeok="t" o:connecttype="rect"/>
        </v:shapetype>
        <v:shape id="Text Box 16" o:spid="_x0000_s16386" type="#_x0000_t202" style="position:absolute;left:0;text-align:left;margin-left:-37.2pt;margin-top:0;width:164.05pt;height:18.2pt;z-index:251693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" stroked="f">
          <v:textbox style="mso-fit-shape-to-text:t">
            <w:txbxContent>
              <w:p w:rsidR="0093073D" w:rsidRPr="00270B23" w:rsidRDefault="0093073D">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w:r>
    <w:r>
      <w:fldChar w:fldCharType="begin"/>
    </w:r>
    <w:r w:rsidR="0093073D">
      <w:instrText xml:space="preserve"> PAGE   \* MERGEFORMAT </w:instrText>
    </w:r>
    <w:r>
      <w:fldChar w:fldCharType="separate"/>
    </w:r>
    <w:r w:rsidR="00397F91">
      <w:rPr>
        <w:noProof/>
      </w:rPr>
      <w:t>ii</w:t>
    </w:r>
    <w:r>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Default="0093073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Default="00EB023D">
    <w:pPr>
      <w:pStyle w:val="Footer"/>
      <w:jc w:val="center"/>
    </w:pPr>
    <w:r>
      <w:rPr>
        <w:noProof/>
        <w:lang w:eastAsia="en-AU"/>
      </w:rPr>
      <w:pict>
        <v:shapetype id="_x0000_t202" coordsize="21600,21600" o:spt="202" path="m,l,21600r21600,l21600,xe">
          <v:stroke joinstyle="miter"/>
          <v:path gradientshapeok="t" o:connecttype="rect"/>
        </v:shapetype>
        <v:shape id="Text Box 17" o:spid="_x0000_s16385" type="#_x0000_t202" style="position:absolute;left:0;text-align:left;margin-left:-37.2pt;margin-top:0;width:164.05pt;height:18.2pt;z-index:251691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" stroked="f">
          <v:textbox style="mso-fit-shape-to-text:t">
            <w:txbxContent>
              <w:p w:rsidR="0093073D" w:rsidRPr="00270B23" w:rsidRDefault="0093073D"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w:r>
    <w:r>
      <w:fldChar w:fldCharType="begin"/>
    </w:r>
    <w:r w:rsidR="0093073D">
      <w:instrText xml:space="preserve"> PAGE   \* MERGEFORMAT </w:instrText>
    </w:r>
    <w:r>
      <w:fldChar w:fldCharType="separate"/>
    </w:r>
    <w:r w:rsidR="00397F91">
      <w:rPr>
        <w:noProof/>
      </w:rPr>
      <w:t>42</w:t>
    </w:r>
    <w:r>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521" w:type="dxa"/>
      <w:shd w:val="clear" w:color="auto" w:fill="931638"/>
      <w:tblLook w:val="01E0"/>
    </w:tblPr>
    <w:tblGrid>
      <w:gridCol w:w="260"/>
      <w:gridCol w:w="1655"/>
    </w:tblGrid>
    <w:tr w:rsidR="0093073D">
      <w:trPr>
        <w:trHeight w:hRule="exact" w:val="284"/>
      </w:trPr>
      <w:tc>
        <w:tcPr>
          <w:tcW w:w="284" w:type="dxa"/>
          <w:shd w:val="clear" w:color="auto" w:fill="827F77"/>
        </w:tcPr>
        <w:p w:rsidR="0093073D" w:rsidRDefault="0093073D" w:rsidP="0062411D"/>
      </w:tc>
      <w:tc>
        <w:tcPr>
          <w:tcW w:w="2552" w:type="dxa"/>
          <w:shd w:val="clear" w:color="auto" w:fill="931638"/>
          <w:vAlign w:val="center"/>
        </w:tcPr>
        <w:p w:rsidR="0093073D" w:rsidRDefault="0093073D" w:rsidP="0062411D"/>
      </w:tc>
    </w:tr>
  </w:tbl>
  <w:p w:rsidR="0093073D" w:rsidRPr="00D435D3" w:rsidRDefault="0093073D" w:rsidP="0062411D">
    <w:pPr>
      <w:jc w:val="both"/>
    </w:pPr>
    <w:r>
      <w:rPr>
        <w:noProof/>
        <w:lang w:eastAsia="en-AU"/>
      </w:rPr>
      <w:drawing>
        <wp:anchor distT="0" distB="0" distL="114300" distR="114300" simplePos="0" relativeHeight="251681280" behindDoc="0" locked="0" layoutInCell="1" allowOverlap="1">
          <wp:simplePos x="0" y="0"/>
          <wp:positionH relativeFrom="column">
            <wp:posOffset>14605</wp:posOffset>
          </wp:positionH>
          <wp:positionV relativeFrom="paragraph">
            <wp:posOffset>-180340</wp:posOffset>
          </wp:positionV>
          <wp:extent cx="655320" cy="179705"/>
          <wp:effectExtent l="19050" t="0" r="0" b="0"/>
          <wp:wrapNone/>
          <wp:docPr id="8"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73D" w:rsidRDefault="0093073D" w:rsidP="00680968">
      <w:pPr>
        <w:pStyle w:val="Tabletotals"/>
      </w:pPr>
      <w:r>
        <w:separator/>
      </w:r>
    </w:p>
  </w:footnote>
  <w:footnote w:type="continuationSeparator" w:id="0">
    <w:p w:rsidR="0093073D" w:rsidRDefault="0093073D" w:rsidP="00680968">
      <w:pPr>
        <w:pStyle w:val="Tabletotals"/>
      </w:pPr>
      <w:r>
        <w:continuationSeparator/>
      </w:r>
    </w:p>
  </w:footnote>
  <w:footnote w:id="1">
    <w:p w:rsidR="0093073D" w:rsidRPr="00455BD7" w:rsidRDefault="0093073D">
      <w:pPr>
        <w:pStyle w:val="FootnoteText"/>
        <w:rPr>
          <w:rFonts w:ascii="Arial" w:hAnsi="Arial" w:cs="Arial"/>
        </w:rPr>
      </w:pPr>
      <w:r w:rsidRPr="00455BD7">
        <w:rPr>
          <w:rStyle w:val="FootnoteReference"/>
          <w:rFonts w:cs="Arial"/>
        </w:rPr>
        <w:footnoteRef/>
      </w:r>
      <w:r w:rsidRPr="00455BD7">
        <w:rPr>
          <w:rFonts w:ascii="Arial" w:hAnsi="Arial" w:cs="Arial"/>
        </w:rPr>
        <w:t xml:space="preserve"> The body of the report provides an account of the economic contribution based on the expenditure, as defined in the IVS and NVS, within the World Heritage Area.  Appendix C outlines the economic contribution of the tourism activity using the Tourism Satellite Account method.</w:t>
      </w:r>
    </w:p>
  </w:footnote>
  <w:footnote w:id="2">
    <w:p w:rsidR="0093073D" w:rsidRDefault="0093073D">
      <w:pPr>
        <w:pStyle w:val="FootnoteText"/>
      </w:pPr>
      <w:r w:rsidRPr="00455BD7">
        <w:rPr>
          <w:rStyle w:val="FootnoteReference"/>
          <w:rFonts w:cs="Arial"/>
        </w:rPr>
        <w:footnoteRef/>
      </w:r>
      <w:r w:rsidRPr="00455BD7">
        <w:rPr>
          <w:rFonts w:ascii="Arial" w:hAnsi="Arial" w:cs="Arial"/>
        </w:rPr>
        <w:t xml:space="preserve"> International and Domestic overnight visits are measured in nights (i.e. 2 days and 1 night = 1), while Domestic day visits are measured in days (i.e. 1 day = 1). This is consistent with the method used in the last report to allow comparisons.</w:t>
      </w:r>
      <w:r>
        <w:t xml:space="preserve"> </w:t>
      </w:r>
    </w:p>
  </w:footnote>
  <w:footnote w:id="3">
    <w:p w:rsidR="0093073D" w:rsidRPr="00455BD7" w:rsidRDefault="0093073D">
      <w:pPr>
        <w:pStyle w:val="FootnoteText"/>
        <w:rPr>
          <w:rFonts w:ascii="Arial" w:hAnsi="Arial" w:cs="Arial"/>
        </w:rPr>
      </w:pPr>
      <w:r w:rsidRPr="00455BD7">
        <w:rPr>
          <w:rStyle w:val="FootnoteReference"/>
          <w:rFonts w:cs="Arial"/>
        </w:rPr>
        <w:footnoteRef/>
      </w:r>
      <w:r w:rsidRPr="00455BD7">
        <w:rPr>
          <w:rFonts w:ascii="Arial" w:hAnsi="Arial" w:cs="Arial"/>
        </w:rPr>
        <w:t xml:space="preserve"> The Statistical Area Level 2 (or SA2) region is a medium sized statistical area used by the Australian Bureau of Statistics </w:t>
      </w:r>
    </w:p>
  </w:footnote>
  <w:footnote w:id="4">
    <w:p w:rsidR="0093073D" w:rsidRDefault="0093073D" w:rsidP="003A58E7">
      <w:pPr>
        <w:pStyle w:val="FootnoteText"/>
      </w:pPr>
      <w:r w:rsidRPr="00455BD7">
        <w:rPr>
          <w:rStyle w:val="FootnoteReference"/>
          <w:rFonts w:cs="Arial"/>
        </w:rPr>
        <w:footnoteRef/>
      </w:r>
      <w:r w:rsidRPr="00455BD7">
        <w:rPr>
          <w:rFonts w:ascii="Arial" w:hAnsi="Arial" w:cs="Arial"/>
        </w:rPr>
        <w:t xml:space="preserve"> Access Economics (2008) estimated that total tourism expenditure in the catchment in 2007 was $6.7 billion in 2012 dollars.  This was based on an aggregation of six tourism regions.  If sub-regions within these regions that are not within the catchment area are excluded, the total expenditure estimate is $6.6 billion.</w:t>
      </w:r>
    </w:p>
  </w:footnote>
  <w:footnote w:id="5">
    <w:p w:rsidR="0093073D" w:rsidRPr="00455BD7" w:rsidRDefault="0093073D" w:rsidP="00A27BBC">
      <w:pPr>
        <w:pStyle w:val="FootnoteText"/>
        <w:rPr>
          <w:rFonts w:ascii="Arial" w:hAnsi="Arial" w:cs="Arial"/>
        </w:rPr>
      </w:pPr>
      <w:r w:rsidRPr="00455BD7">
        <w:rPr>
          <w:rStyle w:val="FootnoteReference"/>
          <w:rFonts w:cs="Arial"/>
        </w:rPr>
        <w:footnoteRef/>
      </w:r>
      <w:r w:rsidRPr="00455BD7">
        <w:rPr>
          <w:rFonts w:ascii="Arial" w:hAnsi="Arial" w:cs="Arial"/>
        </w:rPr>
        <w:t xml:space="preserve"> The regional tourism profiles provided by TRA do not allow for a precise estimation of the proportion of total expenditure in the GBR catchment attributable to specific types of tourists. However, proportions for travellers in Queensland can be used as a proxy and applied to the region’s expenditure estimates.</w:t>
      </w:r>
    </w:p>
  </w:footnote>
  <w:footnote w:id="6">
    <w:p w:rsidR="0093073D" w:rsidRDefault="0093073D" w:rsidP="005015AA">
      <w:pPr>
        <w:pStyle w:val="FootnoteText"/>
      </w:pPr>
      <w:r>
        <w:rPr>
          <w:rStyle w:val="FootnoteReference"/>
        </w:rPr>
        <w:footnoteRef/>
      </w:r>
      <w:r>
        <w:t xml:space="preserve"> In interpreting these results it should be noted that the decline in expenditure by domestic day visitors in the Whitsundays should be interpreted with caution given the relatively few domestic day visitors to the region.</w:t>
      </w:r>
    </w:p>
  </w:footnote>
  <w:footnote w:id="7">
    <w:p w:rsidR="0093073D" w:rsidRDefault="0093073D">
      <w:pPr>
        <w:pStyle w:val="FootnoteText"/>
      </w:pPr>
      <w:r>
        <w:rPr>
          <w:rStyle w:val="FootnoteReference"/>
        </w:rPr>
        <w:footnoteRef/>
      </w:r>
      <w:r>
        <w:t xml:space="preserve"> As this is the most recent data available, this is used as a proxy for 2011-12. </w:t>
      </w:r>
    </w:p>
  </w:footnote>
  <w:footnote w:id="8">
    <w:p w:rsidR="0093073D" w:rsidRDefault="0093073D">
      <w:pPr>
        <w:pStyle w:val="FootnoteText"/>
      </w:pPr>
      <w:r>
        <w:rPr>
          <w:rStyle w:val="FootnoteReference"/>
        </w:rPr>
        <w:footnoteRef/>
      </w:r>
      <w:r>
        <w:t xml:space="preserve"> The fishing trips are estimated using information attained from the Rolf et al (2011) publication and supplementary unpublished data as provided by the Authors.  This includes both the proportion of the population that has undertaken fishing and the frequency in which they have undertaken that activity.</w:t>
      </w:r>
    </w:p>
  </w:footnote>
  <w:footnote w:id="9">
    <w:p w:rsidR="0093073D" w:rsidRDefault="0093073D" w:rsidP="00D13B29">
      <w:pPr>
        <w:pStyle w:val="FootnoteText"/>
      </w:pPr>
      <w:r>
        <w:rPr>
          <w:rStyle w:val="FootnoteReference"/>
        </w:rPr>
        <w:footnoteRef/>
      </w:r>
      <w:r>
        <w:t xml:space="preserve"> Productivity Commission (1999), </w:t>
      </w:r>
      <w:r>
        <w:rPr>
          <w:i/>
        </w:rPr>
        <w:t>Australia’s Gambling Industries</w:t>
      </w:r>
      <w:r>
        <w:t>, Report No. 10, AusInfo, Canberra, (page 4.19).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Default="0093073D">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042200" w:rsidRDefault="0093073D" w:rsidP="00042200">
    <w:pPr>
      <w:pStyle w:val="Header"/>
      <w:rPr>
        <w:szCs w:val="28"/>
      </w:rPr>
    </w:pPr>
    <w:r w:rsidRPr="00CD7956">
      <w:rPr>
        <w:szCs w:val="28"/>
      </w:rPr>
      <w:t>Economic Contribution</w:t>
    </w:r>
    <w:r>
      <w:t xml:space="preserve"> of the Great Barrier Reef</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Default="0093073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962F39" w:rsidRDefault="0093073D" w:rsidP="00BD489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7F362F" w:rsidRDefault="0093073D" w:rsidP="00BD489D">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8B1D0E" w:rsidRDefault="0093073D" w:rsidP="00BD489D"/>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Default="00EB023D" w:rsidP="003D4C3E">
    <w:pPr>
      <w:pStyle w:val="Header"/>
      <w:rPr>
        <w:szCs w:val="28"/>
      </w:rPr>
    </w:pPr>
    <w:r>
      <w:fldChar w:fldCharType="begin"/>
    </w:r>
    <w:r w:rsidR="0093073D">
      <w:instrText xml:space="preserve"> STYLEREF  "Report Title"  \* MERGEFORMAT </w:instrText>
    </w:r>
    <w:r>
      <w:rPr>
        <w:noProof/>
      </w:rPr>
      <w:fldChar w:fldCharType="end"/>
    </w:r>
  </w:p>
  <w:p w:rsidR="0093073D" w:rsidRDefault="0093073D" w:rsidP="003D4C3E">
    <w:pPr>
      <w:pStyle w:val="HeaderLine2"/>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73D" w:rsidRPr="004E4C58" w:rsidRDefault="0093073D" w:rsidP="00C45263">
    <w:pPr>
      <w:pStyle w:val="Header"/>
      <w:rPr>
        <w:szCs w:val="28"/>
      </w:rPr>
    </w:pPr>
    <w:r w:rsidRPr="00CD7956">
      <w:rPr>
        <w:szCs w:val="28"/>
      </w:rPr>
      <w:t>Economic Contribution</w:t>
    </w:r>
    <w:r>
      <w:t xml:space="preserve"> of the Great Barrier Reef</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288" w:rsidRDefault="008522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D3A7B90"/>
    <w:lvl w:ilvl="0">
      <w:start w:val="1"/>
      <w:numFmt w:val="decimal"/>
      <w:lvlText w:val="%1."/>
      <w:lvlJc w:val="left"/>
      <w:pPr>
        <w:tabs>
          <w:tab w:val="num" w:pos="1492"/>
        </w:tabs>
        <w:ind w:left="1492" w:hanging="360"/>
      </w:pPr>
    </w:lvl>
  </w:abstractNum>
  <w:abstractNum w:abstractNumId="1">
    <w:nsid w:val="FFFFFF7D"/>
    <w:multiLevelType w:val="singleLevel"/>
    <w:tmpl w:val="FBDCDC46"/>
    <w:lvl w:ilvl="0">
      <w:start w:val="1"/>
      <w:numFmt w:val="decimal"/>
      <w:lvlText w:val="%1."/>
      <w:lvlJc w:val="left"/>
      <w:pPr>
        <w:tabs>
          <w:tab w:val="num" w:pos="1209"/>
        </w:tabs>
        <w:ind w:left="1209" w:hanging="360"/>
      </w:pPr>
    </w:lvl>
  </w:abstractNum>
  <w:abstractNum w:abstractNumId="2">
    <w:nsid w:val="FFFFFF7E"/>
    <w:multiLevelType w:val="singleLevel"/>
    <w:tmpl w:val="B5203ACC"/>
    <w:lvl w:ilvl="0">
      <w:start w:val="1"/>
      <w:numFmt w:val="decimal"/>
      <w:lvlText w:val="%1."/>
      <w:lvlJc w:val="left"/>
      <w:pPr>
        <w:tabs>
          <w:tab w:val="num" w:pos="926"/>
        </w:tabs>
        <w:ind w:left="926" w:hanging="360"/>
      </w:pPr>
    </w:lvl>
  </w:abstractNum>
  <w:abstractNum w:abstractNumId="3">
    <w:nsid w:val="FFFFFF7F"/>
    <w:multiLevelType w:val="singleLevel"/>
    <w:tmpl w:val="EDAA3C88"/>
    <w:lvl w:ilvl="0">
      <w:start w:val="1"/>
      <w:numFmt w:val="decimal"/>
      <w:lvlText w:val="%1."/>
      <w:lvlJc w:val="left"/>
      <w:pPr>
        <w:tabs>
          <w:tab w:val="num" w:pos="643"/>
        </w:tabs>
        <w:ind w:left="643" w:hanging="360"/>
      </w:pPr>
    </w:lvl>
  </w:abstractNum>
  <w:abstractNum w:abstractNumId="4">
    <w:nsid w:val="FFFFFF80"/>
    <w:multiLevelType w:val="singleLevel"/>
    <w:tmpl w:val="3B3607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A12ED0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C6619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048AD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D7CA366"/>
    <w:lvl w:ilvl="0">
      <w:start w:val="1"/>
      <w:numFmt w:val="decimal"/>
      <w:lvlText w:val="%1."/>
      <w:lvlJc w:val="left"/>
      <w:pPr>
        <w:tabs>
          <w:tab w:val="num" w:pos="360"/>
        </w:tabs>
        <w:ind w:left="360" w:hanging="360"/>
      </w:pPr>
    </w:lvl>
  </w:abstractNum>
  <w:abstractNum w:abstractNumId="9">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2430B"/>
    <w:multiLevelType w:val="multilevel"/>
    <w:tmpl w:val="BE706856"/>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Arial" w:hAnsi="Arial" w:cs="Arial"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13">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5">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6">
    <w:nsid w:val="28D650A0"/>
    <w:multiLevelType w:val="hybridMultilevel"/>
    <w:tmpl w:val="7A601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293C1ADA"/>
    <w:multiLevelType w:val="multilevel"/>
    <w:tmpl w:val="BB9E4C20"/>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Arial" w:hAnsi="Arial" w:cs="Arial" w:hint="default"/>
        <w:b/>
        <w:i w:val="0"/>
        <w:color w:val="00A1DE"/>
        <w:sz w:val="32"/>
        <w:szCs w:val="32"/>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2552" w:firstLine="0"/>
      </w:pPr>
      <w:rPr>
        <w:rFonts w:ascii="Arial" w:hAnsi="Arial"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Arial" w:hAnsi="Arial"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Arial" w:hAnsi="Arial" w:cs="Arial" w:hint="default"/>
        <w:b/>
        <w:i w:val="0"/>
        <w:color w:val="002776"/>
        <w:sz w:val="22"/>
        <w:szCs w:val="20"/>
      </w:rPr>
    </w:lvl>
  </w:abstractNum>
  <w:abstractNum w:abstractNumId="18">
    <w:nsid w:val="37866008"/>
    <w:multiLevelType w:val="hybridMultilevel"/>
    <w:tmpl w:val="7AB2A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20">
    <w:nsid w:val="42142A31"/>
    <w:multiLevelType w:val="multilevel"/>
    <w:tmpl w:val="EE3ABA90"/>
    <w:lvl w:ilvl="0">
      <w:start w:val="1"/>
      <w:numFmt w:val="upperLetter"/>
      <w:pStyle w:val="Appendix"/>
      <w:suff w:val="nothing"/>
      <w:lvlText w:val="Appendix %1"/>
      <w:lvlJc w:val="left"/>
      <w:pPr>
        <w:ind w:left="0" w:firstLine="0"/>
      </w:pPr>
      <w:rPr>
        <w:rFonts w:ascii="Segoe UI" w:hAnsi="Segoe UI" w:cs="Segoe UI" w:hint="default"/>
      </w:rPr>
    </w:lvl>
    <w:lvl w:ilvl="1">
      <w:start w:val="1"/>
      <w:numFmt w:val="decimal"/>
      <w:pStyle w:val="AppendixTableCaption"/>
      <w:suff w:val="nothing"/>
      <w:lvlText w:val="Table %1.%2"/>
      <w:lvlJc w:val="left"/>
      <w:pPr>
        <w:ind w:left="0" w:firstLine="0"/>
      </w:pPr>
      <w:rPr>
        <w:rFonts w:ascii="Arial" w:hAnsi="Arial"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Arial" w:hAnsi="Arial"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21">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2">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5">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27">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28">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0">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23"/>
  </w:num>
  <w:num w:numId="2">
    <w:abstractNumId w:val="27"/>
  </w:num>
  <w:num w:numId="3">
    <w:abstractNumId w:val="2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0"/>
  </w:num>
  <w:num w:numId="7">
    <w:abstractNumId w:val="25"/>
  </w:num>
  <w:num w:numId="8">
    <w:abstractNumId w:val="11"/>
  </w:num>
  <w:num w:numId="9">
    <w:abstractNumId w:val="17"/>
  </w:num>
  <w:num w:numId="10">
    <w:abstractNumId w:val="13"/>
  </w:num>
  <w:num w:numId="11">
    <w:abstractNumId w:val="10"/>
  </w:num>
  <w:num w:numId="12">
    <w:abstractNumId w:val="29"/>
  </w:num>
  <w:num w:numId="13">
    <w:abstractNumId w:val="9"/>
  </w:num>
  <w:num w:numId="14">
    <w:abstractNumId w:val="20"/>
  </w:num>
  <w:num w:numId="15">
    <w:abstractNumId w:val="31"/>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0"/>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30"/>
  </w:num>
  <w:num w:numId="38">
    <w:abstractNumId w:val="17"/>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displayBackgroundShape/>
  <w:embedTrueTypeFonts/>
  <w:saveSubsetFonts/>
  <w:attachedTemplate r:id="rId1"/>
  <w:stylePaneFormatFilter w:val="3004"/>
  <w:stylePaneSortMethod w:val="0000"/>
  <w:defaultTabStop w:val="567"/>
  <w:drawingGridHorizontalSpacing w:val="110"/>
  <w:displayHorizontalDrawingGridEvery w:val="2"/>
  <w:noPunctuationKerning/>
  <w:characterSpacingControl w:val="doNotCompress"/>
  <w:hdrShapeDefaults>
    <o:shapedefaults v:ext="edit" spidmax="16412"/>
    <o:shapelayout v:ext="edit">
      <o:idmap v:ext="edit" data="16"/>
    </o:shapelayout>
  </w:hdrShapeDefaults>
  <w:footnotePr>
    <w:footnote w:id="-1"/>
    <w:footnote w:id="0"/>
  </w:footnotePr>
  <w:endnotePr>
    <w:endnote w:id="-1"/>
    <w:endnote w:id="0"/>
  </w:endnotePr>
  <w:compat/>
  <w:rsids>
    <w:rsidRoot w:val="00CD7956"/>
    <w:rsid w:val="000001AB"/>
    <w:rsid w:val="000002DC"/>
    <w:rsid w:val="000024C3"/>
    <w:rsid w:val="0000305E"/>
    <w:rsid w:val="00003CCA"/>
    <w:rsid w:val="00004AD7"/>
    <w:rsid w:val="00004BA1"/>
    <w:rsid w:val="000051F1"/>
    <w:rsid w:val="000058CD"/>
    <w:rsid w:val="00006690"/>
    <w:rsid w:val="00006A9F"/>
    <w:rsid w:val="00010019"/>
    <w:rsid w:val="00010875"/>
    <w:rsid w:val="00010C36"/>
    <w:rsid w:val="00010E7D"/>
    <w:rsid w:val="0001118F"/>
    <w:rsid w:val="0001128F"/>
    <w:rsid w:val="00011D2A"/>
    <w:rsid w:val="00012C70"/>
    <w:rsid w:val="0001350A"/>
    <w:rsid w:val="000135AC"/>
    <w:rsid w:val="00014351"/>
    <w:rsid w:val="0001451A"/>
    <w:rsid w:val="0001458D"/>
    <w:rsid w:val="00014B2C"/>
    <w:rsid w:val="0001580E"/>
    <w:rsid w:val="000167FF"/>
    <w:rsid w:val="000171FE"/>
    <w:rsid w:val="000175EC"/>
    <w:rsid w:val="000179BD"/>
    <w:rsid w:val="00020ABB"/>
    <w:rsid w:val="00020CCD"/>
    <w:rsid w:val="000216EF"/>
    <w:rsid w:val="00022C61"/>
    <w:rsid w:val="0002306E"/>
    <w:rsid w:val="00024338"/>
    <w:rsid w:val="000259C8"/>
    <w:rsid w:val="00025B68"/>
    <w:rsid w:val="000263B6"/>
    <w:rsid w:val="00026595"/>
    <w:rsid w:val="00026AC5"/>
    <w:rsid w:val="00027105"/>
    <w:rsid w:val="00027A98"/>
    <w:rsid w:val="00027CE4"/>
    <w:rsid w:val="00030332"/>
    <w:rsid w:val="0003053E"/>
    <w:rsid w:val="00031072"/>
    <w:rsid w:val="0003188D"/>
    <w:rsid w:val="00031E68"/>
    <w:rsid w:val="0003283A"/>
    <w:rsid w:val="00032BCA"/>
    <w:rsid w:val="00032E26"/>
    <w:rsid w:val="00033312"/>
    <w:rsid w:val="00033340"/>
    <w:rsid w:val="0003384F"/>
    <w:rsid w:val="000346D0"/>
    <w:rsid w:val="00035632"/>
    <w:rsid w:val="000359D8"/>
    <w:rsid w:val="00036110"/>
    <w:rsid w:val="00036279"/>
    <w:rsid w:val="00040225"/>
    <w:rsid w:val="00040526"/>
    <w:rsid w:val="00040A73"/>
    <w:rsid w:val="0004142B"/>
    <w:rsid w:val="000414D3"/>
    <w:rsid w:val="00041ADD"/>
    <w:rsid w:val="00041D71"/>
    <w:rsid w:val="00042200"/>
    <w:rsid w:val="00042225"/>
    <w:rsid w:val="00042A90"/>
    <w:rsid w:val="00043465"/>
    <w:rsid w:val="00043622"/>
    <w:rsid w:val="00043E63"/>
    <w:rsid w:val="00044EB4"/>
    <w:rsid w:val="0004528F"/>
    <w:rsid w:val="00046480"/>
    <w:rsid w:val="000464FE"/>
    <w:rsid w:val="00046B51"/>
    <w:rsid w:val="000475CE"/>
    <w:rsid w:val="00050E22"/>
    <w:rsid w:val="000510BC"/>
    <w:rsid w:val="00051164"/>
    <w:rsid w:val="000519AD"/>
    <w:rsid w:val="00053253"/>
    <w:rsid w:val="00053ABD"/>
    <w:rsid w:val="00054A03"/>
    <w:rsid w:val="00054F38"/>
    <w:rsid w:val="00057554"/>
    <w:rsid w:val="00057796"/>
    <w:rsid w:val="00060AB6"/>
    <w:rsid w:val="00061808"/>
    <w:rsid w:val="0006373B"/>
    <w:rsid w:val="0006374F"/>
    <w:rsid w:val="000637EA"/>
    <w:rsid w:val="0006462F"/>
    <w:rsid w:val="00064662"/>
    <w:rsid w:val="00064FDE"/>
    <w:rsid w:val="00065293"/>
    <w:rsid w:val="000666FE"/>
    <w:rsid w:val="00066753"/>
    <w:rsid w:val="000675FC"/>
    <w:rsid w:val="000677CC"/>
    <w:rsid w:val="00070B65"/>
    <w:rsid w:val="00070D97"/>
    <w:rsid w:val="00070F59"/>
    <w:rsid w:val="00071072"/>
    <w:rsid w:val="00071B5A"/>
    <w:rsid w:val="00071CC2"/>
    <w:rsid w:val="00071DBC"/>
    <w:rsid w:val="000733A8"/>
    <w:rsid w:val="000735D5"/>
    <w:rsid w:val="000736F1"/>
    <w:rsid w:val="0007383B"/>
    <w:rsid w:val="00073BCE"/>
    <w:rsid w:val="00073CE1"/>
    <w:rsid w:val="0007577D"/>
    <w:rsid w:val="00075B02"/>
    <w:rsid w:val="00077240"/>
    <w:rsid w:val="00077299"/>
    <w:rsid w:val="000774C2"/>
    <w:rsid w:val="00077860"/>
    <w:rsid w:val="00077BC0"/>
    <w:rsid w:val="00080286"/>
    <w:rsid w:val="00080392"/>
    <w:rsid w:val="0008070D"/>
    <w:rsid w:val="00080718"/>
    <w:rsid w:val="00080C60"/>
    <w:rsid w:val="00080F67"/>
    <w:rsid w:val="0008158E"/>
    <w:rsid w:val="000817FC"/>
    <w:rsid w:val="000819AB"/>
    <w:rsid w:val="00081A49"/>
    <w:rsid w:val="00083215"/>
    <w:rsid w:val="00083609"/>
    <w:rsid w:val="000837F7"/>
    <w:rsid w:val="00083822"/>
    <w:rsid w:val="00084329"/>
    <w:rsid w:val="000862C9"/>
    <w:rsid w:val="000866C4"/>
    <w:rsid w:val="00087A0D"/>
    <w:rsid w:val="00091248"/>
    <w:rsid w:val="00091EDC"/>
    <w:rsid w:val="00092C4C"/>
    <w:rsid w:val="00092C87"/>
    <w:rsid w:val="00092E57"/>
    <w:rsid w:val="00092FE5"/>
    <w:rsid w:val="00093D2B"/>
    <w:rsid w:val="0009422D"/>
    <w:rsid w:val="0009440B"/>
    <w:rsid w:val="00095D13"/>
    <w:rsid w:val="00095F46"/>
    <w:rsid w:val="00096425"/>
    <w:rsid w:val="00096F80"/>
    <w:rsid w:val="00097217"/>
    <w:rsid w:val="00097275"/>
    <w:rsid w:val="000974E2"/>
    <w:rsid w:val="000A07AE"/>
    <w:rsid w:val="000A123F"/>
    <w:rsid w:val="000A1A5E"/>
    <w:rsid w:val="000A1CD2"/>
    <w:rsid w:val="000A1E15"/>
    <w:rsid w:val="000A4282"/>
    <w:rsid w:val="000A4865"/>
    <w:rsid w:val="000A54E4"/>
    <w:rsid w:val="000A5D64"/>
    <w:rsid w:val="000A6ABD"/>
    <w:rsid w:val="000A718C"/>
    <w:rsid w:val="000A7C35"/>
    <w:rsid w:val="000A7C47"/>
    <w:rsid w:val="000B006E"/>
    <w:rsid w:val="000B0B8B"/>
    <w:rsid w:val="000B1CE5"/>
    <w:rsid w:val="000B243C"/>
    <w:rsid w:val="000B28E0"/>
    <w:rsid w:val="000B3975"/>
    <w:rsid w:val="000B3CEC"/>
    <w:rsid w:val="000B54A5"/>
    <w:rsid w:val="000B575A"/>
    <w:rsid w:val="000B6EBC"/>
    <w:rsid w:val="000B72BC"/>
    <w:rsid w:val="000B743F"/>
    <w:rsid w:val="000B7BAB"/>
    <w:rsid w:val="000C051B"/>
    <w:rsid w:val="000C069F"/>
    <w:rsid w:val="000C2DE7"/>
    <w:rsid w:val="000C33F7"/>
    <w:rsid w:val="000C387F"/>
    <w:rsid w:val="000C3B61"/>
    <w:rsid w:val="000C464A"/>
    <w:rsid w:val="000C585D"/>
    <w:rsid w:val="000C5DF5"/>
    <w:rsid w:val="000C7839"/>
    <w:rsid w:val="000D1965"/>
    <w:rsid w:val="000D19BE"/>
    <w:rsid w:val="000D2C81"/>
    <w:rsid w:val="000D3821"/>
    <w:rsid w:val="000D3A3E"/>
    <w:rsid w:val="000D47CB"/>
    <w:rsid w:val="000D6B73"/>
    <w:rsid w:val="000D6BEF"/>
    <w:rsid w:val="000D781A"/>
    <w:rsid w:val="000E055F"/>
    <w:rsid w:val="000E066C"/>
    <w:rsid w:val="000E0B9A"/>
    <w:rsid w:val="000E183D"/>
    <w:rsid w:val="000E1B0A"/>
    <w:rsid w:val="000E1C39"/>
    <w:rsid w:val="000E2140"/>
    <w:rsid w:val="000E26DD"/>
    <w:rsid w:val="000E26E1"/>
    <w:rsid w:val="000E2B35"/>
    <w:rsid w:val="000E2D1B"/>
    <w:rsid w:val="000E2E14"/>
    <w:rsid w:val="000E3449"/>
    <w:rsid w:val="000E3726"/>
    <w:rsid w:val="000E445C"/>
    <w:rsid w:val="000E5DB6"/>
    <w:rsid w:val="000F0BC1"/>
    <w:rsid w:val="000F0D64"/>
    <w:rsid w:val="000F2F8D"/>
    <w:rsid w:val="000F3676"/>
    <w:rsid w:val="000F3808"/>
    <w:rsid w:val="000F4625"/>
    <w:rsid w:val="000F4A0D"/>
    <w:rsid w:val="000F532F"/>
    <w:rsid w:val="000F592C"/>
    <w:rsid w:val="000F5BFB"/>
    <w:rsid w:val="000F5D83"/>
    <w:rsid w:val="000F693C"/>
    <w:rsid w:val="000F7058"/>
    <w:rsid w:val="000F7D70"/>
    <w:rsid w:val="0010190A"/>
    <w:rsid w:val="00101D4B"/>
    <w:rsid w:val="0010260E"/>
    <w:rsid w:val="00102741"/>
    <w:rsid w:val="001033B7"/>
    <w:rsid w:val="0010356D"/>
    <w:rsid w:val="00103983"/>
    <w:rsid w:val="00104F1B"/>
    <w:rsid w:val="001057BD"/>
    <w:rsid w:val="001057D7"/>
    <w:rsid w:val="0010583E"/>
    <w:rsid w:val="00105977"/>
    <w:rsid w:val="00105F36"/>
    <w:rsid w:val="00106300"/>
    <w:rsid w:val="00106F80"/>
    <w:rsid w:val="001072B7"/>
    <w:rsid w:val="00107D2E"/>
    <w:rsid w:val="00107E0A"/>
    <w:rsid w:val="00110318"/>
    <w:rsid w:val="00111233"/>
    <w:rsid w:val="00111411"/>
    <w:rsid w:val="00111689"/>
    <w:rsid w:val="00111DD1"/>
    <w:rsid w:val="00111E22"/>
    <w:rsid w:val="00113631"/>
    <w:rsid w:val="001136F8"/>
    <w:rsid w:val="001148D8"/>
    <w:rsid w:val="00114A8E"/>
    <w:rsid w:val="00115E9F"/>
    <w:rsid w:val="00115F39"/>
    <w:rsid w:val="00116448"/>
    <w:rsid w:val="00116990"/>
    <w:rsid w:val="00120A9D"/>
    <w:rsid w:val="00120C9E"/>
    <w:rsid w:val="00122224"/>
    <w:rsid w:val="00122D0E"/>
    <w:rsid w:val="00123115"/>
    <w:rsid w:val="0012316B"/>
    <w:rsid w:val="001236D5"/>
    <w:rsid w:val="00124023"/>
    <w:rsid w:val="00124594"/>
    <w:rsid w:val="00124E94"/>
    <w:rsid w:val="00126722"/>
    <w:rsid w:val="001302D0"/>
    <w:rsid w:val="00130B70"/>
    <w:rsid w:val="00130D6C"/>
    <w:rsid w:val="001311D9"/>
    <w:rsid w:val="00131AB6"/>
    <w:rsid w:val="00132E8F"/>
    <w:rsid w:val="00133516"/>
    <w:rsid w:val="00133D66"/>
    <w:rsid w:val="00133DBD"/>
    <w:rsid w:val="001340D4"/>
    <w:rsid w:val="00134DA5"/>
    <w:rsid w:val="001371DD"/>
    <w:rsid w:val="00140183"/>
    <w:rsid w:val="00140F2C"/>
    <w:rsid w:val="00141B52"/>
    <w:rsid w:val="00143EAB"/>
    <w:rsid w:val="00144A43"/>
    <w:rsid w:val="00144CDB"/>
    <w:rsid w:val="00145CF9"/>
    <w:rsid w:val="00146438"/>
    <w:rsid w:val="00146849"/>
    <w:rsid w:val="00146E61"/>
    <w:rsid w:val="00147334"/>
    <w:rsid w:val="001473CE"/>
    <w:rsid w:val="00147656"/>
    <w:rsid w:val="00150547"/>
    <w:rsid w:val="00150FEB"/>
    <w:rsid w:val="00151336"/>
    <w:rsid w:val="001521F2"/>
    <w:rsid w:val="00152575"/>
    <w:rsid w:val="001535D0"/>
    <w:rsid w:val="00153E58"/>
    <w:rsid w:val="00155340"/>
    <w:rsid w:val="00155879"/>
    <w:rsid w:val="001566BB"/>
    <w:rsid w:val="001573FF"/>
    <w:rsid w:val="0015768D"/>
    <w:rsid w:val="00157E65"/>
    <w:rsid w:val="00157EAB"/>
    <w:rsid w:val="001607B9"/>
    <w:rsid w:val="00160C60"/>
    <w:rsid w:val="00160F54"/>
    <w:rsid w:val="001611A7"/>
    <w:rsid w:val="00161EF7"/>
    <w:rsid w:val="001621DE"/>
    <w:rsid w:val="00163822"/>
    <w:rsid w:val="00163D2C"/>
    <w:rsid w:val="00163E2A"/>
    <w:rsid w:val="00163EB0"/>
    <w:rsid w:val="0016465F"/>
    <w:rsid w:val="0016534C"/>
    <w:rsid w:val="00166F16"/>
    <w:rsid w:val="001676E1"/>
    <w:rsid w:val="0016778F"/>
    <w:rsid w:val="00167D66"/>
    <w:rsid w:val="0017061E"/>
    <w:rsid w:val="001718E4"/>
    <w:rsid w:val="001739D6"/>
    <w:rsid w:val="00173E2B"/>
    <w:rsid w:val="001744B0"/>
    <w:rsid w:val="0017537C"/>
    <w:rsid w:val="001766B8"/>
    <w:rsid w:val="00177FA9"/>
    <w:rsid w:val="00180A93"/>
    <w:rsid w:val="00180A99"/>
    <w:rsid w:val="00181994"/>
    <w:rsid w:val="001826BD"/>
    <w:rsid w:val="001829CD"/>
    <w:rsid w:val="00182C0E"/>
    <w:rsid w:val="00182F02"/>
    <w:rsid w:val="00184571"/>
    <w:rsid w:val="00184657"/>
    <w:rsid w:val="00185750"/>
    <w:rsid w:val="00186A3A"/>
    <w:rsid w:val="00187029"/>
    <w:rsid w:val="00187683"/>
    <w:rsid w:val="00187780"/>
    <w:rsid w:val="001879CC"/>
    <w:rsid w:val="0019033F"/>
    <w:rsid w:val="0019129B"/>
    <w:rsid w:val="00191EA7"/>
    <w:rsid w:val="0019232A"/>
    <w:rsid w:val="0019295C"/>
    <w:rsid w:val="00194AE1"/>
    <w:rsid w:val="00194EBE"/>
    <w:rsid w:val="001959E9"/>
    <w:rsid w:val="00195E24"/>
    <w:rsid w:val="001979A3"/>
    <w:rsid w:val="001A0A2E"/>
    <w:rsid w:val="001A17CE"/>
    <w:rsid w:val="001A1FEB"/>
    <w:rsid w:val="001A2CC3"/>
    <w:rsid w:val="001A3A23"/>
    <w:rsid w:val="001A4E36"/>
    <w:rsid w:val="001A4EB7"/>
    <w:rsid w:val="001A51B5"/>
    <w:rsid w:val="001A55BE"/>
    <w:rsid w:val="001A5F7F"/>
    <w:rsid w:val="001A6173"/>
    <w:rsid w:val="001A6424"/>
    <w:rsid w:val="001A6CF9"/>
    <w:rsid w:val="001A7A5B"/>
    <w:rsid w:val="001B114A"/>
    <w:rsid w:val="001B1728"/>
    <w:rsid w:val="001B1A2F"/>
    <w:rsid w:val="001B1E8C"/>
    <w:rsid w:val="001B245B"/>
    <w:rsid w:val="001B294C"/>
    <w:rsid w:val="001B3365"/>
    <w:rsid w:val="001B3B4C"/>
    <w:rsid w:val="001B4A42"/>
    <w:rsid w:val="001B5514"/>
    <w:rsid w:val="001B6420"/>
    <w:rsid w:val="001B701A"/>
    <w:rsid w:val="001B74A3"/>
    <w:rsid w:val="001B7C72"/>
    <w:rsid w:val="001B7D72"/>
    <w:rsid w:val="001C05A2"/>
    <w:rsid w:val="001C0614"/>
    <w:rsid w:val="001C090C"/>
    <w:rsid w:val="001C0A12"/>
    <w:rsid w:val="001C115F"/>
    <w:rsid w:val="001C1C50"/>
    <w:rsid w:val="001C2D7A"/>
    <w:rsid w:val="001C2E0B"/>
    <w:rsid w:val="001C33DB"/>
    <w:rsid w:val="001C3428"/>
    <w:rsid w:val="001C390C"/>
    <w:rsid w:val="001C3933"/>
    <w:rsid w:val="001C4D4C"/>
    <w:rsid w:val="001C50E9"/>
    <w:rsid w:val="001C5DF5"/>
    <w:rsid w:val="001C7126"/>
    <w:rsid w:val="001C766E"/>
    <w:rsid w:val="001C7A9B"/>
    <w:rsid w:val="001D0358"/>
    <w:rsid w:val="001D04E4"/>
    <w:rsid w:val="001D0FDF"/>
    <w:rsid w:val="001D2846"/>
    <w:rsid w:val="001D3993"/>
    <w:rsid w:val="001D573C"/>
    <w:rsid w:val="001D5CE5"/>
    <w:rsid w:val="001D69E0"/>
    <w:rsid w:val="001D6E5C"/>
    <w:rsid w:val="001D710D"/>
    <w:rsid w:val="001E0294"/>
    <w:rsid w:val="001E07C8"/>
    <w:rsid w:val="001E190A"/>
    <w:rsid w:val="001E1DB2"/>
    <w:rsid w:val="001E2044"/>
    <w:rsid w:val="001E2081"/>
    <w:rsid w:val="001E2361"/>
    <w:rsid w:val="001E2C61"/>
    <w:rsid w:val="001E39E4"/>
    <w:rsid w:val="001E467B"/>
    <w:rsid w:val="001E5085"/>
    <w:rsid w:val="001E7506"/>
    <w:rsid w:val="001E7C55"/>
    <w:rsid w:val="001E7D69"/>
    <w:rsid w:val="001F0F5A"/>
    <w:rsid w:val="001F14DB"/>
    <w:rsid w:val="001F199F"/>
    <w:rsid w:val="001F1EBC"/>
    <w:rsid w:val="001F25C3"/>
    <w:rsid w:val="001F2840"/>
    <w:rsid w:val="001F43A0"/>
    <w:rsid w:val="001F63A6"/>
    <w:rsid w:val="001F6414"/>
    <w:rsid w:val="001F72A7"/>
    <w:rsid w:val="00200478"/>
    <w:rsid w:val="00200DF6"/>
    <w:rsid w:val="002010DD"/>
    <w:rsid w:val="00201911"/>
    <w:rsid w:val="002019FF"/>
    <w:rsid w:val="00201AAE"/>
    <w:rsid w:val="00201E47"/>
    <w:rsid w:val="00204136"/>
    <w:rsid w:val="0020509E"/>
    <w:rsid w:val="00206517"/>
    <w:rsid w:val="00206E2B"/>
    <w:rsid w:val="0021007E"/>
    <w:rsid w:val="0021237A"/>
    <w:rsid w:val="002139F5"/>
    <w:rsid w:val="00213E7B"/>
    <w:rsid w:val="00214539"/>
    <w:rsid w:val="00214ADE"/>
    <w:rsid w:val="00214F6D"/>
    <w:rsid w:val="00215E92"/>
    <w:rsid w:val="00217045"/>
    <w:rsid w:val="002174B0"/>
    <w:rsid w:val="00217B6A"/>
    <w:rsid w:val="00217E06"/>
    <w:rsid w:val="002200A0"/>
    <w:rsid w:val="00220D62"/>
    <w:rsid w:val="00221007"/>
    <w:rsid w:val="00221A26"/>
    <w:rsid w:val="00221A8A"/>
    <w:rsid w:val="00221E5D"/>
    <w:rsid w:val="002234A4"/>
    <w:rsid w:val="00223EB4"/>
    <w:rsid w:val="00224000"/>
    <w:rsid w:val="0022469D"/>
    <w:rsid w:val="002246CD"/>
    <w:rsid w:val="00224C32"/>
    <w:rsid w:val="00225254"/>
    <w:rsid w:val="00226AB7"/>
    <w:rsid w:val="00227E00"/>
    <w:rsid w:val="00230D3E"/>
    <w:rsid w:val="0023117F"/>
    <w:rsid w:val="002313F1"/>
    <w:rsid w:val="00231431"/>
    <w:rsid w:val="0023187C"/>
    <w:rsid w:val="002331FD"/>
    <w:rsid w:val="00233238"/>
    <w:rsid w:val="002333C5"/>
    <w:rsid w:val="00233922"/>
    <w:rsid w:val="00233994"/>
    <w:rsid w:val="00233BF0"/>
    <w:rsid w:val="00233ED2"/>
    <w:rsid w:val="00234374"/>
    <w:rsid w:val="00236A94"/>
    <w:rsid w:val="00236AD0"/>
    <w:rsid w:val="00236E3B"/>
    <w:rsid w:val="00236FE5"/>
    <w:rsid w:val="0023786A"/>
    <w:rsid w:val="00237CE9"/>
    <w:rsid w:val="0024185C"/>
    <w:rsid w:val="00242202"/>
    <w:rsid w:val="002444F0"/>
    <w:rsid w:val="002445B7"/>
    <w:rsid w:val="00244622"/>
    <w:rsid w:val="0024545C"/>
    <w:rsid w:val="002455AB"/>
    <w:rsid w:val="002456BD"/>
    <w:rsid w:val="00245B3E"/>
    <w:rsid w:val="002466EF"/>
    <w:rsid w:val="002468B6"/>
    <w:rsid w:val="0024762C"/>
    <w:rsid w:val="00250008"/>
    <w:rsid w:val="00250150"/>
    <w:rsid w:val="00250537"/>
    <w:rsid w:val="00250E74"/>
    <w:rsid w:val="00251450"/>
    <w:rsid w:val="0025210E"/>
    <w:rsid w:val="00252694"/>
    <w:rsid w:val="002527A2"/>
    <w:rsid w:val="002533CF"/>
    <w:rsid w:val="002539EC"/>
    <w:rsid w:val="00253F06"/>
    <w:rsid w:val="002557C5"/>
    <w:rsid w:val="00255B35"/>
    <w:rsid w:val="00255DFC"/>
    <w:rsid w:val="00257686"/>
    <w:rsid w:val="00260B24"/>
    <w:rsid w:val="00260B4D"/>
    <w:rsid w:val="00261473"/>
    <w:rsid w:val="00261D01"/>
    <w:rsid w:val="00263455"/>
    <w:rsid w:val="00263542"/>
    <w:rsid w:val="0026482B"/>
    <w:rsid w:val="00264C32"/>
    <w:rsid w:val="00264FE6"/>
    <w:rsid w:val="00265261"/>
    <w:rsid w:val="00265817"/>
    <w:rsid w:val="00265A60"/>
    <w:rsid w:val="00266413"/>
    <w:rsid w:val="00266465"/>
    <w:rsid w:val="00266AF4"/>
    <w:rsid w:val="00270B23"/>
    <w:rsid w:val="00271CE8"/>
    <w:rsid w:val="00271E1F"/>
    <w:rsid w:val="00271F1C"/>
    <w:rsid w:val="00272473"/>
    <w:rsid w:val="002725EE"/>
    <w:rsid w:val="002729A9"/>
    <w:rsid w:val="00273CDF"/>
    <w:rsid w:val="00274EB9"/>
    <w:rsid w:val="00275068"/>
    <w:rsid w:val="0027511B"/>
    <w:rsid w:val="0027630F"/>
    <w:rsid w:val="00276A04"/>
    <w:rsid w:val="00276B78"/>
    <w:rsid w:val="00277289"/>
    <w:rsid w:val="00280465"/>
    <w:rsid w:val="002809B2"/>
    <w:rsid w:val="00280A54"/>
    <w:rsid w:val="00281F83"/>
    <w:rsid w:val="00282DD1"/>
    <w:rsid w:val="00283486"/>
    <w:rsid w:val="00283A66"/>
    <w:rsid w:val="002841E9"/>
    <w:rsid w:val="0028451F"/>
    <w:rsid w:val="00285C48"/>
    <w:rsid w:val="00286AC1"/>
    <w:rsid w:val="00286D3E"/>
    <w:rsid w:val="002871F0"/>
    <w:rsid w:val="00287DFC"/>
    <w:rsid w:val="002905C7"/>
    <w:rsid w:val="00290AA0"/>
    <w:rsid w:val="00290AC4"/>
    <w:rsid w:val="00290D36"/>
    <w:rsid w:val="00291854"/>
    <w:rsid w:val="00291C7F"/>
    <w:rsid w:val="00292906"/>
    <w:rsid w:val="00292C23"/>
    <w:rsid w:val="002934F3"/>
    <w:rsid w:val="00293FAD"/>
    <w:rsid w:val="00294235"/>
    <w:rsid w:val="00294B81"/>
    <w:rsid w:val="00294F60"/>
    <w:rsid w:val="00295028"/>
    <w:rsid w:val="002957F0"/>
    <w:rsid w:val="00295F11"/>
    <w:rsid w:val="002960A8"/>
    <w:rsid w:val="00297196"/>
    <w:rsid w:val="002A0246"/>
    <w:rsid w:val="002A0AB7"/>
    <w:rsid w:val="002A0E10"/>
    <w:rsid w:val="002A105D"/>
    <w:rsid w:val="002A1086"/>
    <w:rsid w:val="002A2175"/>
    <w:rsid w:val="002A346E"/>
    <w:rsid w:val="002A3A69"/>
    <w:rsid w:val="002A3B5E"/>
    <w:rsid w:val="002A445D"/>
    <w:rsid w:val="002A4694"/>
    <w:rsid w:val="002A49F5"/>
    <w:rsid w:val="002A4D4F"/>
    <w:rsid w:val="002A514B"/>
    <w:rsid w:val="002A51D0"/>
    <w:rsid w:val="002A67CA"/>
    <w:rsid w:val="002A6D3B"/>
    <w:rsid w:val="002A74E3"/>
    <w:rsid w:val="002A757F"/>
    <w:rsid w:val="002A7F97"/>
    <w:rsid w:val="002B07C5"/>
    <w:rsid w:val="002B0AFF"/>
    <w:rsid w:val="002B189C"/>
    <w:rsid w:val="002B1E62"/>
    <w:rsid w:val="002B2340"/>
    <w:rsid w:val="002B2598"/>
    <w:rsid w:val="002B2EDA"/>
    <w:rsid w:val="002B48D1"/>
    <w:rsid w:val="002B5116"/>
    <w:rsid w:val="002B5227"/>
    <w:rsid w:val="002B57E8"/>
    <w:rsid w:val="002B6253"/>
    <w:rsid w:val="002B6E5D"/>
    <w:rsid w:val="002B72DC"/>
    <w:rsid w:val="002C015F"/>
    <w:rsid w:val="002C04A4"/>
    <w:rsid w:val="002C0BEB"/>
    <w:rsid w:val="002C2899"/>
    <w:rsid w:val="002C31F2"/>
    <w:rsid w:val="002C31FA"/>
    <w:rsid w:val="002C388A"/>
    <w:rsid w:val="002C4443"/>
    <w:rsid w:val="002C726C"/>
    <w:rsid w:val="002C7283"/>
    <w:rsid w:val="002D01AC"/>
    <w:rsid w:val="002D1314"/>
    <w:rsid w:val="002D2E0B"/>
    <w:rsid w:val="002D3CF5"/>
    <w:rsid w:val="002D499E"/>
    <w:rsid w:val="002D49A2"/>
    <w:rsid w:val="002D50B4"/>
    <w:rsid w:val="002D5956"/>
    <w:rsid w:val="002D5C52"/>
    <w:rsid w:val="002D7829"/>
    <w:rsid w:val="002E0AF6"/>
    <w:rsid w:val="002E0B67"/>
    <w:rsid w:val="002E0D16"/>
    <w:rsid w:val="002E1060"/>
    <w:rsid w:val="002E1173"/>
    <w:rsid w:val="002E2862"/>
    <w:rsid w:val="002E3626"/>
    <w:rsid w:val="002E36AC"/>
    <w:rsid w:val="002E3A84"/>
    <w:rsid w:val="002E3BCA"/>
    <w:rsid w:val="002E4244"/>
    <w:rsid w:val="002E4338"/>
    <w:rsid w:val="002E52DA"/>
    <w:rsid w:val="002E546E"/>
    <w:rsid w:val="002E5A6A"/>
    <w:rsid w:val="002E70C6"/>
    <w:rsid w:val="002E7303"/>
    <w:rsid w:val="002E7DDC"/>
    <w:rsid w:val="002E7E8B"/>
    <w:rsid w:val="002E7FF6"/>
    <w:rsid w:val="002F049F"/>
    <w:rsid w:val="002F11E6"/>
    <w:rsid w:val="002F134C"/>
    <w:rsid w:val="002F13ED"/>
    <w:rsid w:val="002F1E33"/>
    <w:rsid w:val="002F23B4"/>
    <w:rsid w:val="002F24BB"/>
    <w:rsid w:val="002F34AD"/>
    <w:rsid w:val="002F36B1"/>
    <w:rsid w:val="002F3DC6"/>
    <w:rsid w:val="002F3E25"/>
    <w:rsid w:val="002F4274"/>
    <w:rsid w:val="002F4B9B"/>
    <w:rsid w:val="002F535D"/>
    <w:rsid w:val="002F5BDF"/>
    <w:rsid w:val="002F6E0D"/>
    <w:rsid w:val="002F7C65"/>
    <w:rsid w:val="002F7D60"/>
    <w:rsid w:val="002F7E1D"/>
    <w:rsid w:val="0030019B"/>
    <w:rsid w:val="0030217E"/>
    <w:rsid w:val="003028A7"/>
    <w:rsid w:val="00303558"/>
    <w:rsid w:val="00304FD4"/>
    <w:rsid w:val="00305AB7"/>
    <w:rsid w:val="00306105"/>
    <w:rsid w:val="003069C7"/>
    <w:rsid w:val="003069CD"/>
    <w:rsid w:val="00306EC6"/>
    <w:rsid w:val="0030767F"/>
    <w:rsid w:val="003076BD"/>
    <w:rsid w:val="00310024"/>
    <w:rsid w:val="003119DF"/>
    <w:rsid w:val="00312664"/>
    <w:rsid w:val="00312748"/>
    <w:rsid w:val="00313C0B"/>
    <w:rsid w:val="00315925"/>
    <w:rsid w:val="00315EEE"/>
    <w:rsid w:val="003166AA"/>
    <w:rsid w:val="00316FA2"/>
    <w:rsid w:val="00317F9F"/>
    <w:rsid w:val="00320C86"/>
    <w:rsid w:val="0032112F"/>
    <w:rsid w:val="00321386"/>
    <w:rsid w:val="00321684"/>
    <w:rsid w:val="00321B3F"/>
    <w:rsid w:val="00321FEA"/>
    <w:rsid w:val="0032221B"/>
    <w:rsid w:val="0032246C"/>
    <w:rsid w:val="003226AC"/>
    <w:rsid w:val="00323F9B"/>
    <w:rsid w:val="003242AB"/>
    <w:rsid w:val="00325C3D"/>
    <w:rsid w:val="00327046"/>
    <w:rsid w:val="00327784"/>
    <w:rsid w:val="00327B08"/>
    <w:rsid w:val="00327E2A"/>
    <w:rsid w:val="0033011F"/>
    <w:rsid w:val="003301B9"/>
    <w:rsid w:val="0033073A"/>
    <w:rsid w:val="00331142"/>
    <w:rsid w:val="00331560"/>
    <w:rsid w:val="00332B71"/>
    <w:rsid w:val="00332D66"/>
    <w:rsid w:val="00334338"/>
    <w:rsid w:val="00335498"/>
    <w:rsid w:val="00335E53"/>
    <w:rsid w:val="003368A8"/>
    <w:rsid w:val="00336B03"/>
    <w:rsid w:val="00340030"/>
    <w:rsid w:val="00340760"/>
    <w:rsid w:val="00340AF2"/>
    <w:rsid w:val="00340F33"/>
    <w:rsid w:val="0034223A"/>
    <w:rsid w:val="003427A9"/>
    <w:rsid w:val="003429BD"/>
    <w:rsid w:val="00342ADC"/>
    <w:rsid w:val="00342D34"/>
    <w:rsid w:val="003430E5"/>
    <w:rsid w:val="003431BA"/>
    <w:rsid w:val="0034325E"/>
    <w:rsid w:val="00343EE0"/>
    <w:rsid w:val="00344B1B"/>
    <w:rsid w:val="00345E05"/>
    <w:rsid w:val="00346190"/>
    <w:rsid w:val="003466C9"/>
    <w:rsid w:val="00346CD5"/>
    <w:rsid w:val="00350D8C"/>
    <w:rsid w:val="00350F82"/>
    <w:rsid w:val="00351B19"/>
    <w:rsid w:val="003534B2"/>
    <w:rsid w:val="0035397F"/>
    <w:rsid w:val="003545B7"/>
    <w:rsid w:val="003549CB"/>
    <w:rsid w:val="00354BFE"/>
    <w:rsid w:val="00354E2F"/>
    <w:rsid w:val="003560D5"/>
    <w:rsid w:val="00356A29"/>
    <w:rsid w:val="0035705F"/>
    <w:rsid w:val="00357E72"/>
    <w:rsid w:val="003601D1"/>
    <w:rsid w:val="00361646"/>
    <w:rsid w:val="00362195"/>
    <w:rsid w:val="0036301A"/>
    <w:rsid w:val="00363520"/>
    <w:rsid w:val="00364094"/>
    <w:rsid w:val="0036567E"/>
    <w:rsid w:val="00365DA0"/>
    <w:rsid w:val="00365E0C"/>
    <w:rsid w:val="00366494"/>
    <w:rsid w:val="003667D7"/>
    <w:rsid w:val="00366928"/>
    <w:rsid w:val="0036758E"/>
    <w:rsid w:val="00370150"/>
    <w:rsid w:val="0037082C"/>
    <w:rsid w:val="00370CFE"/>
    <w:rsid w:val="003713E0"/>
    <w:rsid w:val="0037168B"/>
    <w:rsid w:val="003725D7"/>
    <w:rsid w:val="00372ABF"/>
    <w:rsid w:val="00373261"/>
    <w:rsid w:val="0037398B"/>
    <w:rsid w:val="00374391"/>
    <w:rsid w:val="003747D4"/>
    <w:rsid w:val="00375064"/>
    <w:rsid w:val="00375A50"/>
    <w:rsid w:val="003769EB"/>
    <w:rsid w:val="00376DF4"/>
    <w:rsid w:val="00380444"/>
    <w:rsid w:val="003808FD"/>
    <w:rsid w:val="003809D8"/>
    <w:rsid w:val="00380BFF"/>
    <w:rsid w:val="00381087"/>
    <w:rsid w:val="003813F3"/>
    <w:rsid w:val="00381F18"/>
    <w:rsid w:val="00382113"/>
    <w:rsid w:val="0038237D"/>
    <w:rsid w:val="003828F2"/>
    <w:rsid w:val="00382D72"/>
    <w:rsid w:val="0038317C"/>
    <w:rsid w:val="00384299"/>
    <w:rsid w:val="003844EC"/>
    <w:rsid w:val="00384C35"/>
    <w:rsid w:val="00384E35"/>
    <w:rsid w:val="00385924"/>
    <w:rsid w:val="00386197"/>
    <w:rsid w:val="00386936"/>
    <w:rsid w:val="00386A89"/>
    <w:rsid w:val="00386D83"/>
    <w:rsid w:val="00387966"/>
    <w:rsid w:val="00387C3A"/>
    <w:rsid w:val="00390789"/>
    <w:rsid w:val="0039244A"/>
    <w:rsid w:val="003928AF"/>
    <w:rsid w:val="003931A6"/>
    <w:rsid w:val="003952E2"/>
    <w:rsid w:val="00395E0F"/>
    <w:rsid w:val="00396D26"/>
    <w:rsid w:val="0039738F"/>
    <w:rsid w:val="00397F91"/>
    <w:rsid w:val="003A1D36"/>
    <w:rsid w:val="003A1E85"/>
    <w:rsid w:val="003A1F51"/>
    <w:rsid w:val="003A31FD"/>
    <w:rsid w:val="003A37E9"/>
    <w:rsid w:val="003A415B"/>
    <w:rsid w:val="003A484E"/>
    <w:rsid w:val="003A4D42"/>
    <w:rsid w:val="003A50D1"/>
    <w:rsid w:val="003A5478"/>
    <w:rsid w:val="003A58E7"/>
    <w:rsid w:val="003A5DA4"/>
    <w:rsid w:val="003A6A67"/>
    <w:rsid w:val="003A79A8"/>
    <w:rsid w:val="003A7C53"/>
    <w:rsid w:val="003A7E88"/>
    <w:rsid w:val="003B0309"/>
    <w:rsid w:val="003B0590"/>
    <w:rsid w:val="003B0956"/>
    <w:rsid w:val="003B13DB"/>
    <w:rsid w:val="003B1B0C"/>
    <w:rsid w:val="003B1EA5"/>
    <w:rsid w:val="003B33AF"/>
    <w:rsid w:val="003B39CC"/>
    <w:rsid w:val="003B452B"/>
    <w:rsid w:val="003B60EB"/>
    <w:rsid w:val="003B62AC"/>
    <w:rsid w:val="003B67E3"/>
    <w:rsid w:val="003C00EF"/>
    <w:rsid w:val="003C0608"/>
    <w:rsid w:val="003C08BB"/>
    <w:rsid w:val="003C3022"/>
    <w:rsid w:val="003C3624"/>
    <w:rsid w:val="003C37BC"/>
    <w:rsid w:val="003C3C39"/>
    <w:rsid w:val="003C43F1"/>
    <w:rsid w:val="003C452F"/>
    <w:rsid w:val="003C4D0B"/>
    <w:rsid w:val="003C4DCF"/>
    <w:rsid w:val="003C5BCC"/>
    <w:rsid w:val="003C5DB3"/>
    <w:rsid w:val="003C666D"/>
    <w:rsid w:val="003C6E73"/>
    <w:rsid w:val="003D05F3"/>
    <w:rsid w:val="003D07E8"/>
    <w:rsid w:val="003D108B"/>
    <w:rsid w:val="003D18E5"/>
    <w:rsid w:val="003D1B32"/>
    <w:rsid w:val="003D212F"/>
    <w:rsid w:val="003D216E"/>
    <w:rsid w:val="003D2470"/>
    <w:rsid w:val="003D2E29"/>
    <w:rsid w:val="003D35CB"/>
    <w:rsid w:val="003D47E7"/>
    <w:rsid w:val="003D4C3E"/>
    <w:rsid w:val="003D5A15"/>
    <w:rsid w:val="003D5F2D"/>
    <w:rsid w:val="003D649A"/>
    <w:rsid w:val="003D6E58"/>
    <w:rsid w:val="003D7673"/>
    <w:rsid w:val="003D7BB9"/>
    <w:rsid w:val="003E0084"/>
    <w:rsid w:val="003E162D"/>
    <w:rsid w:val="003E3C54"/>
    <w:rsid w:val="003E3CA4"/>
    <w:rsid w:val="003E41DB"/>
    <w:rsid w:val="003E5961"/>
    <w:rsid w:val="003E5C83"/>
    <w:rsid w:val="003E6A5C"/>
    <w:rsid w:val="003E6AA2"/>
    <w:rsid w:val="003F01B0"/>
    <w:rsid w:val="003F1B87"/>
    <w:rsid w:val="003F3213"/>
    <w:rsid w:val="003F36CF"/>
    <w:rsid w:val="003F3C12"/>
    <w:rsid w:val="003F3CF5"/>
    <w:rsid w:val="003F4956"/>
    <w:rsid w:val="003F4EF9"/>
    <w:rsid w:val="003F61FC"/>
    <w:rsid w:val="003F6EFA"/>
    <w:rsid w:val="003F7BCA"/>
    <w:rsid w:val="00400700"/>
    <w:rsid w:val="00400822"/>
    <w:rsid w:val="004011EF"/>
    <w:rsid w:val="004028DA"/>
    <w:rsid w:val="00404DEA"/>
    <w:rsid w:val="0040503F"/>
    <w:rsid w:val="004057B6"/>
    <w:rsid w:val="00406534"/>
    <w:rsid w:val="00406A62"/>
    <w:rsid w:val="00407A6B"/>
    <w:rsid w:val="00407D47"/>
    <w:rsid w:val="00407E6A"/>
    <w:rsid w:val="00407FE6"/>
    <w:rsid w:val="0041039E"/>
    <w:rsid w:val="0041138F"/>
    <w:rsid w:val="00411724"/>
    <w:rsid w:val="00411BF9"/>
    <w:rsid w:val="00411E62"/>
    <w:rsid w:val="00411E66"/>
    <w:rsid w:val="004121E0"/>
    <w:rsid w:val="00413630"/>
    <w:rsid w:val="00413822"/>
    <w:rsid w:val="004143B2"/>
    <w:rsid w:val="00414440"/>
    <w:rsid w:val="004145E4"/>
    <w:rsid w:val="004169D2"/>
    <w:rsid w:val="004170A0"/>
    <w:rsid w:val="0041722D"/>
    <w:rsid w:val="00417CFB"/>
    <w:rsid w:val="00421842"/>
    <w:rsid w:val="00421D50"/>
    <w:rsid w:val="004225BB"/>
    <w:rsid w:val="00422667"/>
    <w:rsid w:val="00422A68"/>
    <w:rsid w:val="00423B5C"/>
    <w:rsid w:val="00424006"/>
    <w:rsid w:val="00425248"/>
    <w:rsid w:val="004252B0"/>
    <w:rsid w:val="00425B64"/>
    <w:rsid w:val="00425B9C"/>
    <w:rsid w:val="00425FDE"/>
    <w:rsid w:val="00426DE2"/>
    <w:rsid w:val="00427FC2"/>
    <w:rsid w:val="00430410"/>
    <w:rsid w:val="004310D1"/>
    <w:rsid w:val="004311B9"/>
    <w:rsid w:val="00433D4A"/>
    <w:rsid w:val="004340F3"/>
    <w:rsid w:val="0043441C"/>
    <w:rsid w:val="004345E1"/>
    <w:rsid w:val="00434EE2"/>
    <w:rsid w:val="00435667"/>
    <w:rsid w:val="00436342"/>
    <w:rsid w:val="0043676B"/>
    <w:rsid w:val="00437408"/>
    <w:rsid w:val="004401A0"/>
    <w:rsid w:val="00440FA5"/>
    <w:rsid w:val="0044129B"/>
    <w:rsid w:val="00441A86"/>
    <w:rsid w:val="004421F0"/>
    <w:rsid w:val="0044270A"/>
    <w:rsid w:val="004434C7"/>
    <w:rsid w:val="0044374C"/>
    <w:rsid w:val="004438C1"/>
    <w:rsid w:val="004438F7"/>
    <w:rsid w:val="004444FC"/>
    <w:rsid w:val="004445EA"/>
    <w:rsid w:val="00444888"/>
    <w:rsid w:val="004449E3"/>
    <w:rsid w:val="00447858"/>
    <w:rsid w:val="004478CE"/>
    <w:rsid w:val="004479FA"/>
    <w:rsid w:val="00447BA8"/>
    <w:rsid w:val="004507DC"/>
    <w:rsid w:val="00450FAE"/>
    <w:rsid w:val="004511A0"/>
    <w:rsid w:val="00451A90"/>
    <w:rsid w:val="00451AC6"/>
    <w:rsid w:val="00451E53"/>
    <w:rsid w:val="00452009"/>
    <w:rsid w:val="00453877"/>
    <w:rsid w:val="004538E5"/>
    <w:rsid w:val="00453A84"/>
    <w:rsid w:val="0045400A"/>
    <w:rsid w:val="004543F2"/>
    <w:rsid w:val="004547B4"/>
    <w:rsid w:val="00455BD7"/>
    <w:rsid w:val="00456B0D"/>
    <w:rsid w:val="00460392"/>
    <w:rsid w:val="004615E0"/>
    <w:rsid w:val="0046325D"/>
    <w:rsid w:val="0046410F"/>
    <w:rsid w:val="004642DF"/>
    <w:rsid w:val="00464387"/>
    <w:rsid w:val="00465009"/>
    <w:rsid w:val="00465BC5"/>
    <w:rsid w:val="00466260"/>
    <w:rsid w:val="0046653F"/>
    <w:rsid w:val="00466C99"/>
    <w:rsid w:val="00467271"/>
    <w:rsid w:val="004672A3"/>
    <w:rsid w:val="004673EE"/>
    <w:rsid w:val="00467448"/>
    <w:rsid w:val="00467A83"/>
    <w:rsid w:val="00470B11"/>
    <w:rsid w:val="00470B8A"/>
    <w:rsid w:val="00471F42"/>
    <w:rsid w:val="00472C3F"/>
    <w:rsid w:val="00473B2A"/>
    <w:rsid w:val="00473C33"/>
    <w:rsid w:val="004761F2"/>
    <w:rsid w:val="00476E7A"/>
    <w:rsid w:val="00477003"/>
    <w:rsid w:val="004772A8"/>
    <w:rsid w:val="00477639"/>
    <w:rsid w:val="00481005"/>
    <w:rsid w:val="0048129B"/>
    <w:rsid w:val="00482179"/>
    <w:rsid w:val="0048293A"/>
    <w:rsid w:val="00482AFC"/>
    <w:rsid w:val="00482B84"/>
    <w:rsid w:val="00483F2D"/>
    <w:rsid w:val="004840F5"/>
    <w:rsid w:val="004843E5"/>
    <w:rsid w:val="0048568B"/>
    <w:rsid w:val="0048620E"/>
    <w:rsid w:val="004864E4"/>
    <w:rsid w:val="00486A30"/>
    <w:rsid w:val="00490F11"/>
    <w:rsid w:val="004912F0"/>
    <w:rsid w:val="004935ED"/>
    <w:rsid w:val="004936A5"/>
    <w:rsid w:val="00494815"/>
    <w:rsid w:val="00495957"/>
    <w:rsid w:val="004A0231"/>
    <w:rsid w:val="004A115A"/>
    <w:rsid w:val="004A1B3A"/>
    <w:rsid w:val="004A1D50"/>
    <w:rsid w:val="004A21AA"/>
    <w:rsid w:val="004A325D"/>
    <w:rsid w:val="004A4514"/>
    <w:rsid w:val="004A4D7B"/>
    <w:rsid w:val="004A5CAE"/>
    <w:rsid w:val="004A5EF3"/>
    <w:rsid w:val="004A6400"/>
    <w:rsid w:val="004A6515"/>
    <w:rsid w:val="004A78FE"/>
    <w:rsid w:val="004A7C3A"/>
    <w:rsid w:val="004B08E1"/>
    <w:rsid w:val="004B3A10"/>
    <w:rsid w:val="004B3B3D"/>
    <w:rsid w:val="004B3EE2"/>
    <w:rsid w:val="004B46D3"/>
    <w:rsid w:val="004B4756"/>
    <w:rsid w:val="004B4A8F"/>
    <w:rsid w:val="004B4ABD"/>
    <w:rsid w:val="004B5B22"/>
    <w:rsid w:val="004B5E16"/>
    <w:rsid w:val="004B7C96"/>
    <w:rsid w:val="004B7FA5"/>
    <w:rsid w:val="004C128A"/>
    <w:rsid w:val="004C158B"/>
    <w:rsid w:val="004C2174"/>
    <w:rsid w:val="004C2425"/>
    <w:rsid w:val="004C294E"/>
    <w:rsid w:val="004C2E33"/>
    <w:rsid w:val="004C33C6"/>
    <w:rsid w:val="004C38D4"/>
    <w:rsid w:val="004C4347"/>
    <w:rsid w:val="004C5FFE"/>
    <w:rsid w:val="004C763A"/>
    <w:rsid w:val="004D1472"/>
    <w:rsid w:val="004D1710"/>
    <w:rsid w:val="004D186E"/>
    <w:rsid w:val="004D1FDE"/>
    <w:rsid w:val="004D2344"/>
    <w:rsid w:val="004D2B59"/>
    <w:rsid w:val="004D4A0D"/>
    <w:rsid w:val="004D6266"/>
    <w:rsid w:val="004D7197"/>
    <w:rsid w:val="004D7404"/>
    <w:rsid w:val="004D7B5D"/>
    <w:rsid w:val="004E1438"/>
    <w:rsid w:val="004E1867"/>
    <w:rsid w:val="004E20C5"/>
    <w:rsid w:val="004E23AB"/>
    <w:rsid w:val="004E2AE4"/>
    <w:rsid w:val="004E3241"/>
    <w:rsid w:val="004E3B90"/>
    <w:rsid w:val="004E4C58"/>
    <w:rsid w:val="004E57F1"/>
    <w:rsid w:val="004E6852"/>
    <w:rsid w:val="004E6E23"/>
    <w:rsid w:val="004E7091"/>
    <w:rsid w:val="004E7737"/>
    <w:rsid w:val="004F079B"/>
    <w:rsid w:val="004F08C3"/>
    <w:rsid w:val="004F1283"/>
    <w:rsid w:val="004F13FC"/>
    <w:rsid w:val="004F2200"/>
    <w:rsid w:val="004F26E9"/>
    <w:rsid w:val="004F322F"/>
    <w:rsid w:val="004F3651"/>
    <w:rsid w:val="004F40F8"/>
    <w:rsid w:val="004F4BA1"/>
    <w:rsid w:val="004F523A"/>
    <w:rsid w:val="004F5C43"/>
    <w:rsid w:val="004F63FF"/>
    <w:rsid w:val="004F68D0"/>
    <w:rsid w:val="004F6D71"/>
    <w:rsid w:val="004F6EA6"/>
    <w:rsid w:val="004F746B"/>
    <w:rsid w:val="00500164"/>
    <w:rsid w:val="00501004"/>
    <w:rsid w:val="005015AA"/>
    <w:rsid w:val="00501689"/>
    <w:rsid w:val="005026D2"/>
    <w:rsid w:val="005027A8"/>
    <w:rsid w:val="0050305A"/>
    <w:rsid w:val="00504122"/>
    <w:rsid w:val="00506053"/>
    <w:rsid w:val="00506673"/>
    <w:rsid w:val="0050707A"/>
    <w:rsid w:val="005070D5"/>
    <w:rsid w:val="005104CA"/>
    <w:rsid w:val="0051105A"/>
    <w:rsid w:val="005112F4"/>
    <w:rsid w:val="00511910"/>
    <w:rsid w:val="00512AB4"/>
    <w:rsid w:val="00512CC1"/>
    <w:rsid w:val="00512F32"/>
    <w:rsid w:val="0051442A"/>
    <w:rsid w:val="00514804"/>
    <w:rsid w:val="005149AF"/>
    <w:rsid w:val="00514A32"/>
    <w:rsid w:val="00515E90"/>
    <w:rsid w:val="00517336"/>
    <w:rsid w:val="00517D0C"/>
    <w:rsid w:val="005202CA"/>
    <w:rsid w:val="00520E21"/>
    <w:rsid w:val="0052150E"/>
    <w:rsid w:val="00522B8C"/>
    <w:rsid w:val="00522F8A"/>
    <w:rsid w:val="0052301A"/>
    <w:rsid w:val="005237B2"/>
    <w:rsid w:val="00523E52"/>
    <w:rsid w:val="00524F61"/>
    <w:rsid w:val="005260CC"/>
    <w:rsid w:val="00526AAF"/>
    <w:rsid w:val="00526EA3"/>
    <w:rsid w:val="0053243A"/>
    <w:rsid w:val="00532A4A"/>
    <w:rsid w:val="00532B20"/>
    <w:rsid w:val="0053317C"/>
    <w:rsid w:val="005333F1"/>
    <w:rsid w:val="00533B3F"/>
    <w:rsid w:val="00534C5C"/>
    <w:rsid w:val="00535388"/>
    <w:rsid w:val="005354FA"/>
    <w:rsid w:val="00535553"/>
    <w:rsid w:val="00535732"/>
    <w:rsid w:val="005367D0"/>
    <w:rsid w:val="00536D7E"/>
    <w:rsid w:val="00537199"/>
    <w:rsid w:val="00537E2C"/>
    <w:rsid w:val="00540110"/>
    <w:rsid w:val="005408AD"/>
    <w:rsid w:val="00541952"/>
    <w:rsid w:val="00541E7D"/>
    <w:rsid w:val="00542DF8"/>
    <w:rsid w:val="00542E28"/>
    <w:rsid w:val="005438EB"/>
    <w:rsid w:val="005439A7"/>
    <w:rsid w:val="00543CC7"/>
    <w:rsid w:val="0054454F"/>
    <w:rsid w:val="00545704"/>
    <w:rsid w:val="00547606"/>
    <w:rsid w:val="00547AEB"/>
    <w:rsid w:val="00547F87"/>
    <w:rsid w:val="00550D5B"/>
    <w:rsid w:val="00551BC4"/>
    <w:rsid w:val="00552664"/>
    <w:rsid w:val="00552ECC"/>
    <w:rsid w:val="00553AC7"/>
    <w:rsid w:val="00555300"/>
    <w:rsid w:val="00556543"/>
    <w:rsid w:val="00556696"/>
    <w:rsid w:val="0055694D"/>
    <w:rsid w:val="00560543"/>
    <w:rsid w:val="00562758"/>
    <w:rsid w:val="005627CA"/>
    <w:rsid w:val="005629B6"/>
    <w:rsid w:val="00563843"/>
    <w:rsid w:val="00563D04"/>
    <w:rsid w:val="00563F35"/>
    <w:rsid w:val="00563F64"/>
    <w:rsid w:val="00564B96"/>
    <w:rsid w:val="00564F0A"/>
    <w:rsid w:val="00564F7A"/>
    <w:rsid w:val="00565124"/>
    <w:rsid w:val="005661A1"/>
    <w:rsid w:val="00567281"/>
    <w:rsid w:val="00567A51"/>
    <w:rsid w:val="00567FB2"/>
    <w:rsid w:val="005700A3"/>
    <w:rsid w:val="00570A83"/>
    <w:rsid w:val="00570A98"/>
    <w:rsid w:val="0057102B"/>
    <w:rsid w:val="005710AE"/>
    <w:rsid w:val="00571C99"/>
    <w:rsid w:val="00572346"/>
    <w:rsid w:val="005725D2"/>
    <w:rsid w:val="00573FD0"/>
    <w:rsid w:val="0057458D"/>
    <w:rsid w:val="0057465A"/>
    <w:rsid w:val="0057520E"/>
    <w:rsid w:val="00575529"/>
    <w:rsid w:val="005762AD"/>
    <w:rsid w:val="00576F10"/>
    <w:rsid w:val="00577553"/>
    <w:rsid w:val="005777C5"/>
    <w:rsid w:val="005803FD"/>
    <w:rsid w:val="0058066F"/>
    <w:rsid w:val="00580A99"/>
    <w:rsid w:val="00580B24"/>
    <w:rsid w:val="00580BD2"/>
    <w:rsid w:val="00581571"/>
    <w:rsid w:val="00581C69"/>
    <w:rsid w:val="00581E62"/>
    <w:rsid w:val="00582180"/>
    <w:rsid w:val="005822B7"/>
    <w:rsid w:val="00582CDA"/>
    <w:rsid w:val="0058386C"/>
    <w:rsid w:val="005839FC"/>
    <w:rsid w:val="00583FC8"/>
    <w:rsid w:val="005859DB"/>
    <w:rsid w:val="00586A42"/>
    <w:rsid w:val="005874B0"/>
    <w:rsid w:val="0058758C"/>
    <w:rsid w:val="00587D86"/>
    <w:rsid w:val="00590600"/>
    <w:rsid w:val="00590C62"/>
    <w:rsid w:val="00590F73"/>
    <w:rsid w:val="00591067"/>
    <w:rsid w:val="00591D28"/>
    <w:rsid w:val="00592443"/>
    <w:rsid w:val="005927DE"/>
    <w:rsid w:val="00592B7A"/>
    <w:rsid w:val="00592C9D"/>
    <w:rsid w:val="00592CCE"/>
    <w:rsid w:val="0059337C"/>
    <w:rsid w:val="005963E0"/>
    <w:rsid w:val="00596B22"/>
    <w:rsid w:val="00596EBE"/>
    <w:rsid w:val="00597320"/>
    <w:rsid w:val="005A0F6E"/>
    <w:rsid w:val="005A173D"/>
    <w:rsid w:val="005A1BD1"/>
    <w:rsid w:val="005A3F8D"/>
    <w:rsid w:val="005B05BD"/>
    <w:rsid w:val="005B06EE"/>
    <w:rsid w:val="005B0734"/>
    <w:rsid w:val="005B0B90"/>
    <w:rsid w:val="005B242F"/>
    <w:rsid w:val="005B2FD4"/>
    <w:rsid w:val="005B38F6"/>
    <w:rsid w:val="005B643C"/>
    <w:rsid w:val="005B6806"/>
    <w:rsid w:val="005B6C84"/>
    <w:rsid w:val="005B779C"/>
    <w:rsid w:val="005B7F7E"/>
    <w:rsid w:val="005C123B"/>
    <w:rsid w:val="005C1E6A"/>
    <w:rsid w:val="005C271A"/>
    <w:rsid w:val="005C36A6"/>
    <w:rsid w:val="005C3BE6"/>
    <w:rsid w:val="005C40E0"/>
    <w:rsid w:val="005C5805"/>
    <w:rsid w:val="005C5A9F"/>
    <w:rsid w:val="005C5D29"/>
    <w:rsid w:val="005C66CD"/>
    <w:rsid w:val="005D1707"/>
    <w:rsid w:val="005D241F"/>
    <w:rsid w:val="005D33B4"/>
    <w:rsid w:val="005D3BA7"/>
    <w:rsid w:val="005D453D"/>
    <w:rsid w:val="005D537E"/>
    <w:rsid w:val="005D60BC"/>
    <w:rsid w:val="005D6CC6"/>
    <w:rsid w:val="005D6E92"/>
    <w:rsid w:val="005D76D3"/>
    <w:rsid w:val="005D7808"/>
    <w:rsid w:val="005D7965"/>
    <w:rsid w:val="005E0135"/>
    <w:rsid w:val="005E021E"/>
    <w:rsid w:val="005E06C8"/>
    <w:rsid w:val="005E1006"/>
    <w:rsid w:val="005E13B5"/>
    <w:rsid w:val="005E153B"/>
    <w:rsid w:val="005E39AF"/>
    <w:rsid w:val="005E3AFE"/>
    <w:rsid w:val="005E3EB3"/>
    <w:rsid w:val="005E43B8"/>
    <w:rsid w:val="005E53A0"/>
    <w:rsid w:val="005E54B7"/>
    <w:rsid w:val="005E6414"/>
    <w:rsid w:val="005E69E4"/>
    <w:rsid w:val="005E72F4"/>
    <w:rsid w:val="005E7684"/>
    <w:rsid w:val="005F088A"/>
    <w:rsid w:val="005F0E27"/>
    <w:rsid w:val="005F117D"/>
    <w:rsid w:val="005F1579"/>
    <w:rsid w:val="005F2568"/>
    <w:rsid w:val="005F3680"/>
    <w:rsid w:val="005F3804"/>
    <w:rsid w:val="005F6638"/>
    <w:rsid w:val="005F6DBF"/>
    <w:rsid w:val="005F726B"/>
    <w:rsid w:val="005F7C07"/>
    <w:rsid w:val="00600D4E"/>
    <w:rsid w:val="00601633"/>
    <w:rsid w:val="00602176"/>
    <w:rsid w:val="00603091"/>
    <w:rsid w:val="006030DD"/>
    <w:rsid w:val="00604999"/>
    <w:rsid w:val="006058C7"/>
    <w:rsid w:val="00606B1F"/>
    <w:rsid w:val="006071A7"/>
    <w:rsid w:val="006102AE"/>
    <w:rsid w:val="006103B7"/>
    <w:rsid w:val="00610BFB"/>
    <w:rsid w:val="00611C17"/>
    <w:rsid w:val="00611E68"/>
    <w:rsid w:val="00612AA5"/>
    <w:rsid w:val="00612EB7"/>
    <w:rsid w:val="00615147"/>
    <w:rsid w:val="00615D0C"/>
    <w:rsid w:val="00616502"/>
    <w:rsid w:val="00616638"/>
    <w:rsid w:val="00616B06"/>
    <w:rsid w:val="0061739B"/>
    <w:rsid w:val="006174F9"/>
    <w:rsid w:val="0061755B"/>
    <w:rsid w:val="00617D45"/>
    <w:rsid w:val="0062003E"/>
    <w:rsid w:val="0062050A"/>
    <w:rsid w:val="00622079"/>
    <w:rsid w:val="00622B15"/>
    <w:rsid w:val="00623063"/>
    <w:rsid w:val="006232B6"/>
    <w:rsid w:val="006234E5"/>
    <w:rsid w:val="00623CCF"/>
    <w:rsid w:val="00623F69"/>
    <w:rsid w:val="0062411D"/>
    <w:rsid w:val="00624FF3"/>
    <w:rsid w:val="0062581C"/>
    <w:rsid w:val="00625845"/>
    <w:rsid w:val="00626DE2"/>
    <w:rsid w:val="006306D0"/>
    <w:rsid w:val="00630A65"/>
    <w:rsid w:val="00630CCE"/>
    <w:rsid w:val="00630F3C"/>
    <w:rsid w:val="00630F5D"/>
    <w:rsid w:val="00631ADE"/>
    <w:rsid w:val="00631ECA"/>
    <w:rsid w:val="006330D3"/>
    <w:rsid w:val="00634643"/>
    <w:rsid w:val="00634F4B"/>
    <w:rsid w:val="006356AB"/>
    <w:rsid w:val="006356BF"/>
    <w:rsid w:val="0063627D"/>
    <w:rsid w:val="00636414"/>
    <w:rsid w:val="00636800"/>
    <w:rsid w:val="006407A7"/>
    <w:rsid w:val="00640AC3"/>
    <w:rsid w:val="00641057"/>
    <w:rsid w:val="00641093"/>
    <w:rsid w:val="0064231C"/>
    <w:rsid w:val="006438F5"/>
    <w:rsid w:val="0064425C"/>
    <w:rsid w:val="00644AF6"/>
    <w:rsid w:val="00645423"/>
    <w:rsid w:val="006454E3"/>
    <w:rsid w:val="00645DF0"/>
    <w:rsid w:val="006460DB"/>
    <w:rsid w:val="0064643F"/>
    <w:rsid w:val="00647BBE"/>
    <w:rsid w:val="00647CAE"/>
    <w:rsid w:val="00650AEA"/>
    <w:rsid w:val="00650E61"/>
    <w:rsid w:val="00651517"/>
    <w:rsid w:val="00652CE0"/>
    <w:rsid w:val="00653857"/>
    <w:rsid w:val="0065391A"/>
    <w:rsid w:val="006540C2"/>
    <w:rsid w:val="006546AD"/>
    <w:rsid w:val="0065473D"/>
    <w:rsid w:val="00654C32"/>
    <w:rsid w:val="00655A5D"/>
    <w:rsid w:val="00655C54"/>
    <w:rsid w:val="006567F3"/>
    <w:rsid w:val="00656B8F"/>
    <w:rsid w:val="00657746"/>
    <w:rsid w:val="00657C85"/>
    <w:rsid w:val="00660FCE"/>
    <w:rsid w:val="00661204"/>
    <w:rsid w:val="00662126"/>
    <w:rsid w:val="006630BC"/>
    <w:rsid w:val="00663FE6"/>
    <w:rsid w:val="006648CE"/>
    <w:rsid w:val="00664D92"/>
    <w:rsid w:val="00665491"/>
    <w:rsid w:val="00665DDE"/>
    <w:rsid w:val="0066718A"/>
    <w:rsid w:val="00667402"/>
    <w:rsid w:val="0067022C"/>
    <w:rsid w:val="00670497"/>
    <w:rsid w:val="0067072D"/>
    <w:rsid w:val="00670A3B"/>
    <w:rsid w:val="00670F3B"/>
    <w:rsid w:val="00671379"/>
    <w:rsid w:val="00671412"/>
    <w:rsid w:val="00671804"/>
    <w:rsid w:val="00671A19"/>
    <w:rsid w:val="006729C1"/>
    <w:rsid w:val="006732A7"/>
    <w:rsid w:val="006736DE"/>
    <w:rsid w:val="00673AB9"/>
    <w:rsid w:val="00673BED"/>
    <w:rsid w:val="006757CA"/>
    <w:rsid w:val="00675D64"/>
    <w:rsid w:val="0067631C"/>
    <w:rsid w:val="00676F10"/>
    <w:rsid w:val="00680968"/>
    <w:rsid w:val="006812F6"/>
    <w:rsid w:val="006813B8"/>
    <w:rsid w:val="00683FF1"/>
    <w:rsid w:val="00684469"/>
    <w:rsid w:val="006847FA"/>
    <w:rsid w:val="00684867"/>
    <w:rsid w:val="00686B5E"/>
    <w:rsid w:val="00687675"/>
    <w:rsid w:val="006877F0"/>
    <w:rsid w:val="00690526"/>
    <w:rsid w:val="00691495"/>
    <w:rsid w:val="006917D0"/>
    <w:rsid w:val="00691F9D"/>
    <w:rsid w:val="0069233C"/>
    <w:rsid w:val="00692349"/>
    <w:rsid w:val="006923EA"/>
    <w:rsid w:val="00692AB8"/>
    <w:rsid w:val="00692B6C"/>
    <w:rsid w:val="006930CC"/>
    <w:rsid w:val="006933D3"/>
    <w:rsid w:val="006941EE"/>
    <w:rsid w:val="006954FE"/>
    <w:rsid w:val="00697070"/>
    <w:rsid w:val="006A083A"/>
    <w:rsid w:val="006A09C3"/>
    <w:rsid w:val="006A0F03"/>
    <w:rsid w:val="006A17F4"/>
    <w:rsid w:val="006A23E4"/>
    <w:rsid w:val="006A25E2"/>
    <w:rsid w:val="006A2D2A"/>
    <w:rsid w:val="006A2E9B"/>
    <w:rsid w:val="006A34D4"/>
    <w:rsid w:val="006A46EB"/>
    <w:rsid w:val="006A55C8"/>
    <w:rsid w:val="006A5AFD"/>
    <w:rsid w:val="006A5F90"/>
    <w:rsid w:val="006A7BFE"/>
    <w:rsid w:val="006A7DFA"/>
    <w:rsid w:val="006B04D0"/>
    <w:rsid w:val="006B0777"/>
    <w:rsid w:val="006B1487"/>
    <w:rsid w:val="006B21AB"/>
    <w:rsid w:val="006B29A4"/>
    <w:rsid w:val="006B2DE5"/>
    <w:rsid w:val="006B31B5"/>
    <w:rsid w:val="006B3408"/>
    <w:rsid w:val="006B3D05"/>
    <w:rsid w:val="006B4B20"/>
    <w:rsid w:val="006B51F1"/>
    <w:rsid w:val="006B6112"/>
    <w:rsid w:val="006B6C33"/>
    <w:rsid w:val="006B7D88"/>
    <w:rsid w:val="006C018C"/>
    <w:rsid w:val="006C0667"/>
    <w:rsid w:val="006C0AB4"/>
    <w:rsid w:val="006C0F9B"/>
    <w:rsid w:val="006C10DC"/>
    <w:rsid w:val="006C1BF9"/>
    <w:rsid w:val="006C1CB0"/>
    <w:rsid w:val="006C23D8"/>
    <w:rsid w:val="006C3440"/>
    <w:rsid w:val="006C414C"/>
    <w:rsid w:val="006C4671"/>
    <w:rsid w:val="006C4A6A"/>
    <w:rsid w:val="006C512D"/>
    <w:rsid w:val="006C5AA8"/>
    <w:rsid w:val="006C6784"/>
    <w:rsid w:val="006C6E9C"/>
    <w:rsid w:val="006C739D"/>
    <w:rsid w:val="006D0525"/>
    <w:rsid w:val="006D187F"/>
    <w:rsid w:val="006D2089"/>
    <w:rsid w:val="006D2A8D"/>
    <w:rsid w:val="006D366F"/>
    <w:rsid w:val="006D3A18"/>
    <w:rsid w:val="006D3B88"/>
    <w:rsid w:val="006D4332"/>
    <w:rsid w:val="006D4AC5"/>
    <w:rsid w:val="006D4E16"/>
    <w:rsid w:val="006D55E4"/>
    <w:rsid w:val="006D63F5"/>
    <w:rsid w:val="006D67DA"/>
    <w:rsid w:val="006D7BE7"/>
    <w:rsid w:val="006E11AD"/>
    <w:rsid w:val="006E15A9"/>
    <w:rsid w:val="006E1749"/>
    <w:rsid w:val="006E249B"/>
    <w:rsid w:val="006E29D8"/>
    <w:rsid w:val="006E3A2F"/>
    <w:rsid w:val="006E4385"/>
    <w:rsid w:val="006E4E3C"/>
    <w:rsid w:val="006E53C6"/>
    <w:rsid w:val="006E6E44"/>
    <w:rsid w:val="006F0336"/>
    <w:rsid w:val="006F0C62"/>
    <w:rsid w:val="006F0D4F"/>
    <w:rsid w:val="006F3A82"/>
    <w:rsid w:val="006F4073"/>
    <w:rsid w:val="006F600B"/>
    <w:rsid w:val="006F6C11"/>
    <w:rsid w:val="006F7555"/>
    <w:rsid w:val="00700014"/>
    <w:rsid w:val="00700857"/>
    <w:rsid w:val="00701B40"/>
    <w:rsid w:val="00702DDE"/>
    <w:rsid w:val="00704577"/>
    <w:rsid w:val="00705528"/>
    <w:rsid w:val="007057BC"/>
    <w:rsid w:val="00705D28"/>
    <w:rsid w:val="00705E3B"/>
    <w:rsid w:val="00710562"/>
    <w:rsid w:val="0071089F"/>
    <w:rsid w:val="00710FF7"/>
    <w:rsid w:val="00711178"/>
    <w:rsid w:val="007121AF"/>
    <w:rsid w:val="00712313"/>
    <w:rsid w:val="00712C3E"/>
    <w:rsid w:val="007131BB"/>
    <w:rsid w:val="00714855"/>
    <w:rsid w:val="00715368"/>
    <w:rsid w:val="00715D4D"/>
    <w:rsid w:val="0071609D"/>
    <w:rsid w:val="007165AC"/>
    <w:rsid w:val="00717C09"/>
    <w:rsid w:val="007213A9"/>
    <w:rsid w:val="00721EC7"/>
    <w:rsid w:val="00721F35"/>
    <w:rsid w:val="00722A73"/>
    <w:rsid w:val="00722D38"/>
    <w:rsid w:val="007230F6"/>
    <w:rsid w:val="00723227"/>
    <w:rsid w:val="0072394A"/>
    <w:rsid w:val="007257C4"/>
    <w:rsid w:val="00725F1D"/>
    <w:rsid w:val="00727B33"/>
    <w:rsid w:val="00727BEC"/>
    <w:rsid w:val="0073183A"/>
    <w:rsid w:val="00732488"/>
    <w:rsid w:val="0073274F"/>
    <w:rsid w:val="007336F7"/>
    <w:rsid w:val="007342F4"/>
    <w:rsid w:val="0073462F"/>
    <w:rsid w:val="00734784"/>
    <w:rsid w:val="00734D6A"/>
    <w:rsid w:val="00735297"/>
    <w:rsid w:val="007355A9"/>
    <w:rsid w:val="00735C7C"/>
    <w:rsid w:val="0073613F"/>
    <w:rsid w:val="00736848"/>
    <w:rsid w:val="00736FE0"/>
    <w:rsid w:val="00737406"/>
    <w:rsid w:val="00737DD8"/>
    <w:rsid w:val="00741058"/>
    <w:rsid w:val="00741423"/>
    <w:rsid w:val="00741707"/>
    <w:rsid w:val="00741E3D"/>
    <w:rsid w:val="0074208F"/>
    <w:rsid w:val="00743130"/>
    <w:rsid w:val="007438E5"/>
    <w:rsid w:val="0074447C"/>
    <w:rsid w:val="0074509B"/>
    <w:rsid w:val="0074628E"/>
    <w:rsid w:val="00747DEC"/>
    <w:rsid w:val="00747E8C"/>
    <w:rsid w:val="00750878"/>
    <w:rsid w:val="00750954"/>
    <w:rsid w:val="00750F23"/>
    <w:rsid w:val="00750F8C"/>
    <w:rsid w:val="007512C3"/>
    <w:rsid w:val="007554F7"/>
    <w:rsid w:val="00755660"/>
    <w:rsid w:val="00755868"/>
    <w:rsid w:val="00755F22"/>
    <w:rsid w:val="007561A5"/>
    <w:rsid w:val="00756841"/>
    <w:rsid w:val="00756D4C"/>
    <w:rsid w:val="0075710D"/>
    <w:rsid w:val="00757625"/>
    <w:rsid w:val="00757C20"/>
    <w:rsid w:val="007609C0"/>
    <w:rsid w:val="00760EF2"/>
    <w:rsid w:val="00760F68"/>
    <w:rsid w:val="007620CC"/>
    <w:rsid w:val="00762B27"/>
    <w:rsid w:val="0076330A"/>
    <w:rsid w:val="007633F6"/>
    <w:rsid w:val="00765952"/>
    <w:rsid w:val="0076613D"/>
    <w:rsid w:val="0076674A"/>
    <w:rsid w:val="00766EAF"/>
    <w:rsid w:val="00770803"/>
    <w:rsid w:val="00770FEE"/>
    <w:rsid w:val="00772335"/>
    <w:rsid w:val="00772555"/>
    <w:rsid w:val="00772766"/>
    <w:rsid w:val="00772A0D"/>
    <w:rsid w:val="00774114"/>
    <w:rsid w:val="00774171"/>
    <w:rsid w:val="00774275"/>
    <w:rsid w:val="007761F8"/>
    <w:rsid w:val="00780061"/>
    <w:rsid w:val="00780504"/>
    <w:rsid w:val="00780969"/>
    <w:rsid w:val="00780A9F"/>
    <w:rsid w:val="00782713"/>
    <w:rsid w:val="00783062"/>
    <w:rsid w:val="00783AE6"/>
    <w:rsid w:val="00784438"/>
    <w:rsid w:val="00784F60"/>
    <w:rsid w:val="00785196"/>
    <w:rsid w:val="0078571F"/>
    <w:rsid w:val="00785A42"/>
    <w:rsid w:val="007870FF"/>
    <w:rsid w:val="00791286"/>
    <w:rsid w:val="007915A6"/>
    <w:rsid w:val="00791995"/>
    <w:rsid w:val="00791CD6"/>
    <w:rsid w:val="00792858"/>
    <w:rsid w:val="00794162"/>
    <w:rsid w:val="0079441D"/>
    <w:rsid w:val="0079458B"/>
    <w:rsid w:val="00794919"/>
    <w:rsid w:val="0079544A"/>
    <w:rsid w:val="00795F93"/>
    <w:rsid w:val="00796BBF"/>
    <w:rsid w:val="00796F64"/>
    <w:rsid w:val="00797FAE"/>
    <w:rsid w:val="00797FB2"/>
    <w:rsid w:val="007A0806"/>
    <w:rsid w:val="007A0884"/>
    <w:rsid w:val="007A0E95"/>
    <w:rsid w:val="007A1DB7"/>
    <w:rsid w:val="007A20F4"/>
    <w:rsid w:val="007A20F6"/>
    <w:rsid w:val="007A3F03"/>
    <w:rsid w:val="007A402B"/>
    <w:rsid w:val="007A47C4"/>
    <w:rsid w:val="007A48B0"/>
    <w:rsid w:val="007A5212"/>
    <w:rsid w:val="007A5306"/>
    <w:rsid w:val="007A64FA"/>
    <w:rsid w:val="007A657D"/>
    <w:rsid w:val="007A70F9"/>
    <w:rsid w:val="007A7D50"/>
    <w:rsid w:val="007B1157"/>
    <w:rsid w:val="007B2593"/>
    <w:rsid w:val="007B2813"/>
    <w:rsid w:val="007B2B42"/>
    <w:rsid w:val="007B35F7"/>
    <w:rsid w:val="007B444F"/>
    <w:rsid w:val="007B4B12"/>
    <w:rsid w:val="007B521A"/>
    <w:rsid w:val="007B636D"/>
    <w:rsid w:val="007B6417"/>
    <w:rsid w:val="007B73AE"/>
    <w:rsid w:val="007B7BC7"/>
    <w:rsid w:val="007B7E90"/>
    <w:rsid w:val="007C067B"/>
    <w:rsid w:val="007C1237"/>
    <w:rsid w:val="007C172A"/>
    <w:rsid w:val="007C2553"/>
    <w:rsid w:val="007C30E9"/>
    <w:rsid w:val="007C405F"/>
    <w:rsid w:val="007C4E7A"/>
    <w:rsid w:val="007C5432"/>
    <w:rsid w:val="007C564C"/>
    <w:rsid w:val="007C5B00"/>
    <w:rsid w:val="007C691B"/>
    <w:rsid w:val="007C7253"/>
    <w:rsid w:val="007C79D6"/>
    <w:rsid w:val="007C7CA6"/>
    <w:rsid w:val="007D0CC4"/>
    <w:rsid w:val="007D0E8E"/>
    <w:rsid w:val="007D2822"/>
    <w:rsid w:val="007D28AD"/>
    <w:rsid w:val="007D308B"/>
    <w:rsid w:val="007D41A6"/>
    <w:rsid w:val="007D42F2"/>
    <w:rsid w:val="007D4A33"/>
    <w:rsid w:val="007D65CB"/>
    <w:rsid w:val="007D74FE"/>
    <w:rsid w:val="007D779B"/>
    <w:rsid w:val="007D7890"/>
    <w:rsid w:val="007E0B40"/>
    <w:rsid w:val="007E146F"/>
    <w:rsid w:val="007E16B9"/>
    <w:rsid w:val="007E1EDD"/>
    <w:rsid w:val="007E2828"/>
    <w:rsid w:val="007E292E"/>
    <w:rsid w:val="007E2EA0"/>
    <w:rsid w:val="007E3FE9"/>
    <w:rsid w:val="007E5270"/>
    <w:rsid w:val="007E5A69"/>
    <w:rsid w:val="007E7396"/>
    <w:rsid w:val="007E78F6"/>
    <w:rsid w:val="007F0B92"/>
    <w:rsid w:val="007F0C11"/>
    <w:rsid w:val="007F0F39"/>
    <w:rsid w:val="007F0F6F"/>
    <w:rsid w:val="007F1A3D"/>
    <w:rsid w:val="007F247E"/>
    <w:rsid w:val="007F3220"/>
    <w:rsid w:val="007F3E3F"/>
    <w:rsid w:val="007F4C0A"/>
    <w:rsid w:val="007F5345"/>
    <w:rsid w:val="007F5446"/>
    <w:rsid w:val="007F54A7"/>
    <w:rsid w:val="007F57C6"/>
    <w:rsid w:val="007F7392"/>
    <w:rsid w:val="007F7D13"/>
    <w:rsid w:val="007F7E05"/>
    <w:rsid w:val="007F7F1F"/>
    <w:rsid w:val="00801BC8"/>
    <w:rsid w:val="00801E75"/>
    <w:rsid w:val="00802D65"/>
    <w:rsid w:val="00803337"/>
    <w:rsid w:val="008033A2"/>
    <w:rsid w:val="008035F7"/>
    <w:rsid w:val="00803E8B"/>
    <w:rsid w:val="008047E1"/>
    <w:rsid w:val="00805D5E"/>
    <w:rsid w:val="008104D1"/>
    <w:rsid w:val="0081073F"/>
    <w:rsid w:val="00811692"/>
    <w:rsid w:val="00811DF4"/>
    <w:rsid w:val="008122C5"/>
    <w:rsid w:val="00812AA3"/>
    <w:rsid w:val="00813E8E"/>
    <w:rsid w:val="00814061"/>
    <w:rsid w:val="00814EA1"/>
    <w:rsid w:val="00815C94"/>
    <w:rsid w:val="0081641E"/>
    <w:rsid w:val="00817BAE"/>
    <w:rsid w:val="00820C04"/>
    <w:rsid w:val="00820D73"/>
    <w:rsid w:val="0082152B"/>
    <w:rsid w:val="00821C0B"/>
    <w:rsid w:val="0082225C"/>
    <w:rsid w:val="00822408"/>
    <w:rsid w:val="0082250A"/>
    <w:rsid w:val="008232FE"/>
    <w:rsid w:val="008234B7"/>
    <w:rsid w:val="00823907"/>
    <w:rsid w:val="00824000"/>
    <w:rsid w:val="00824009"/>
    <w:rsid w:val="0082404D"/>
    <w:rsid w:val="008248E7"/>
    <w:rsid w:val="00824DFD"/>
    <w:rsid w:val="00826010"/>
    <w:rsid w:val="00830931"/>
    <w:rsid w:val="00832B3F"/>
    <w:rsid w:val="00832CBB"/>
    <w:rsid w:val="0083351E"/>
    <w:rsid w:val="00833BD3"/>
    <w:rsid w:val="008342DD"/>
    <w:rsid w:val="0083527A"/>
    <w:rsid w:val="00836216"/>
    <w:rsid w:val="00836270"/>
    <w:rsid w:val="0083726E"/>
    <w:rsid w:val="00840635"/>
    <w:rsid w:val="00840683"/>
    <w:rsid w:val="00840929"/>
    <w:rsid w:val="00840D1C"/>
    <w:rsid w:val="00841917"/>
    <w:rsid w:val="00843807"/>
    <w:rsid w:val="0084399F"/>
    <w:rsid w:val="008447F5"/>
    <w:rsid w:val="00844CAE"/>
    <w:rsid w:val="00845672"/>
    <w:rsid w:val="00846C0B"/>
    <w:rsid w:val="00847F8B"/>
    <w:rsid w:val="008500F4"/>
    <w:rsid w:val="0085018E"/>
    <w:rsid w:val="0085041E"/>
    <w:rsid w:val="00850ECD"/>
    <w:rsid w:val="00852288"/>
    <w:rsid w:val="00852AD9"/>
    <w:rsid w:val="00852D7C"/>
    <w:rsid w:val="00853088"/>
    <w:rsid w:val="00853424"/>
    <w:rsid w:val="00853D3B"/>
    <w:rsid w:val="00854371"/>
    <w:rsid w:val="008545F3"/>
    <w:rsid w:val="008554E6"/>
    <w:rsid w:val="0085671F"/>
    <w:rsid w:val="008574D1"/>
    <w:rsid w:val="00857594"/>
    <w:rsid w:val="0085776B"/>
    <w:rsid w:val="00857791"/>
    <w:rsid w:val="008600F9"/>
    <w:rsid w:val="00860224"/>
    <w:rsid w:val="008603D9"/>
    <w:rsid w:val="008603FE"/>
    <w:rsid w:val="0086106B"/>
    <w:rsid w:val="00861783"/>
    <w:rsid w:val="00862421"/>
    <w:rsid w:val="00864266"/>
    <w:rsid w:val="008647BF"/>
    <w:rsid w:val="008650D4"/>
    <w:rsid w:val="008657D6"/>
    <w:rsid w:val="00865DD8"/>
    <w:rsid w:val="00866C39"/>
    <w:rsid w:val="00866F89"/>
    <w:rsid w:val="00867057"/>
    <w:rsid w:val="00870D1C"/>
    <w:rsid w:val="00871065"/>
    <w:rsid w:val="0087158D"/>
    <w:rsid w:val="00872CAC"/>
    <w:rsid w:val="00873274"/>
    <w:rsid w:val="008734A2"/>
    <w:rsid w:val="0087438D"/>
    <w:rsid w:val="0087466B"/>
    <w:rsid w:val="0087559B"/>
    <w:rsid w:val="00875822"/>
    <w:rsid w:val="008765F5"/>
    <w:rsid w:val="00876D83"/>
    <w:rsid w:val="00877BF0"/>
    <w:rsid w:val="00877F72"/>
    <w:rsid w:val="00880167"/>
    <w:rsid w:val="00880578"/>
    <w:rsid w:val="00880BA9"/>
    <w:rsid w:val="00881041"/>
    <w:rsid w:val="0088119D"/>
    <w:rsid w:val="008834CA"/>
    <w:rsid w:val="00885D88"/>
    <w:rsid w:val="008870D7"/>
    <w:rsid w:val="00887741"/>
    <w:rsid w:val="00887843"/>
    <w:rsid w:val="00887AFB"/>
    <w:rsid w:val="00890267"/>
    <w:rsid w:val="00890630"/>
    <w:rsid w:val="00891D2B"/>
    <w:rsid w:val="008927EB"/>
    <w:rsid w:val="00894124"/>
    <w:rsid w:val="0089430B"/>
    <w:rsid w:val="00895ECA"/>
    <w:rsid w:val="008967C5"/>
    <w:rsid w:val="00896952"/>
    <w:rsid w:val="00896C60"/>
    <w:rsid w:val="00897126"/>
    <w:rsid w:val="00897977"/>
    <w:rsid w:val="008A01C5"/>
    <w:rsid w:val="008A10B8"/>
    <w:rsid w:val="008A1243"/>
    <w:rsid w:val="008A2D4C"/>
    <w:rsid w:val="008A379A"/>
    <w:rsid w:val="008A46B5"/>
    <w:rsid w:val="008A46F6"/>
    <w:rsid w:val="008A562E"/>
    <w:rsid w:val="008A75E3"/>
    <w:rsid w:val="008A7880"/>
    <w:rsid w:val="008B0484"/>
    <w:rsid w:val="008B0730"/>
    <w:rsid w:val="008B122E"/>
    <w:rsid w:val="008B1272"/>
    <w:rsid w:val="008B1992"/>
    <w:rsid w:val="008B4C6E"/>
    <w:rsid w:val="008B57E3"/>
    <w:rsid w:val="008B5CD5"/>
    <w:rsid w:val="008B6FFF"/>
    <w:rsid w:val="008B7350"/>
    <w:rsid w:val="008B7A36"/>
    <w:rsid w:val="008B7BD0"/>
    <w:rsid w:val="008C00A9"/>
    <w:rsid w:val="008C0E95"/>
    <w:rsid w:val="008C1A92"/>
    <w:rsid w:val="008C2ED6"/>
    <w:rsid w:val="008C333F"/>
    <w:rsid w:val="008C3AA4"/>
    <w:rsid w:val="008C3D16"/>
    <w:rsid w:val="008C3F53"/>
    <w:rsid w:val="008C4151"/>
    <w:rsid w:val="008C4EB5"/>
    <w:rsid w:val="008C56B1"/>
    <w:rsid w:val="008C5A9E"/>
    <w:rsid w:val="008C5C93"/>
    <w:rsid w:val="008C6F1E"/>
    <w:rsid w:val="008C7271"/>
    <w:rsid w:val="008C7592"/>
    <w:rsid w:val="008C7992"/>
    <w:rsid w:val="008D02A5"/>
    <w:rsid w:val="008D0A41"/>
    <w:rsid w:val="008D0D9B"/>
    <w:rsid w:val="008D179C"/>
    <w:rsid w:val="008D1D33"/>
    <w:rsid w:val="008D2FD0"/>
    <w:rsid w:val="008D363A"/>
    <w:rsid w:val="008D3919"/>
    <w:rsid w:val="008D3F13"/>
    <w:rsid w:val="008D4EA5"/>
    <w:rsid w:val="008D5C0B"/>
    <w:rsid w:val="008D5EB6"/>
    <w:rsid w:val="008D6C83"/>
    <w:rsid w:val="008E0C27"/>
    <w:rsid w:val="008E1CDB"/>
    <w:rsid w:val="008E2C2B"/>
    <w:rsid w:val="008E3490"/>
    <w:rsid w:val="008E3F0D"/>
    <w:rsid w:val="008E44BB"/>
    <w:rsid w:val="008E5402"/>
    <w:rsid w:val="008E6024"/>
    <w:rsid w:val="008E656D"/>
    <w:rsid w:val="008E7557"/>
    <w:rsid w:val="008E7D9F"/>
    <w:rsid w:val="008F03AD"/>
    <w:rsid w:val="008F048D"/>
    <w:rsid w:val="008F1302"/>
    <w:rsid w:val="008F2227"/>
    <w:rsid w:val="008F2AED"/>
    <w:rsid w:val="008F2ECA"/>
    <w:rsid w:val="008F37CC"/>
    <w:rsid w:val="008F3A15"/>
    <w:rsid w:val="008F3E58"/>
    <w:rsid w:val="008F4249"/>
    <w:rsid w:val="008F45A1"/>
    <w:rsid w:val="008F4A0B"/>
    <w:rsid w:val="008F5072"/>
    <w:rsid w:val="008F515E"/>
    <w:rsid w:val="008F65BB"/>
    <w:rsid w:val="008F6803"/>
    <w:rsid w:val="008F6F95"/>
    <w:rsid w:val="008F78AE"/>
    <w:rsid w:val="008F7C1F"/>
    <w:rsid w:val="00900123"/>
    <w:rsid w:val="00900748"/>
    <w:rsid w:val="009010F2"/>
    <w:rsid w:val="009034A7"/>
    <w:rsid w:val="00904267"/>
    <w:rsid w:val="00904612"/>
    <w:rsid w:val="00904AFB"/>
    <w:rsid w:val="00904CC5"/>
    <w:rsid w:val="009053DF"/>
    <w:rsid w:val="0090553E"/>
    <w:rsid w:val="0090746D"/>
    <w:rsid w:val="00907793"/>
    <w:rsid w:val="00910EC1"/>
    <w:rsid w:val="00910F49"/>
    <w:rsid w:val="009114B5"/>
    <w:rsid w:val="009127E6"/>
    <w:rsid w:val="0091582A"/>
    <w:rsid w:val="00916183"/>
    <w:rsid w:val="0091644B"/>
    <w:rsid w:val="009203B9"/>
    <w:rsid w:val="00921021"/>
    <w:rsid w:val="0092195B"/>
    <w:rsid w:val="0092257D"/>
    <w:rsid w:val="009235F0"/>
    <w:rsid w:val="009243A8"/>
    <w:rsid w:val="00924B08"/>
    <w:rsid w:val="00924D2C"/>
    <w:rsid w:val="00924F29"/>
    <w:rsid w:val="00925459"/>
    <w:rsid w:val="00925AE3"/>
    <w:rsid w:val="00925E0B"/>
    <w:rsid w:val="009279D0"/>
    <w:rsid w:val="00927F7C"/>
    <w:rsid w:val="009300E1"/>
    <w:rsid w:val="0093073D"/>
    <w:rsid w:val="009307DD"/>
    <w:rsid w:val="009310B3"/>
    <w:rsid w:val="00931DE0"/>
    <w:rsid w:val="009324BC"/>
    <w:rsid w:val="00933799"/>
    <w:rsid w:val="00933BA9"/>
    <w:rsid w:val="00933C9B"/>
    <w:rsid w:val="00933FE5"/>
    <w:rsid w:val="00934404"/>
    <w:rsid w:val="0093508D"/>
    <w:rsid w:val="009360BE"/>
    <w:rsid w:val="00936AF1"/>
    <w:rsid w:val="00937C93"/>
    <w:rsid w:val="00940642"/>
    <w:rsid w:val="009408B4"/>
    <w:rsid w:val="00941BD7"/>
    <w:rsid w:val="00941C77"/>
    <w:rsid w:val="00942B32"/>
    <w:rsid w:val="00943267"/>
    <w:rsid w:val="0094378B"/>
    <w:rsid w:val="00943FD5"/>
    <w:rsid w:val="0094403C"/>
    <w:rsid w:val="0094409F"/>
    <w:rsid w:val="0094462E"/>
    <w:rsid w:val="00945F0F"/>
    <w:rsid w:val="00946259"/>
    <w:rsid w:val="0094650F"/>
    <w:rsid w:val="00946ECA"/>
    <w:rsid w:val="00946EEA"/>
    <w:rsid w:val="00947545"/>
    <w:rsid w:val="00947848"/>
    <w:rsid w:val="00947AAC"/>
    <w:rsid w:val="00950399"/>
    <w:rsid w:val="00950F23"/>
    <w:rsid w:val="009514FC"/>
    <w:rsid w:val="00952B0B"/>
    <w:rsid w:val="0095373F"/>
    <w:rsid w:val="00953BA8"/>
    <w:rsid w:val="009551F8"/>
    <w:rsid w:val="0095574B"/>
    <w:rsid w:val="0095646C"/>
    <w:rsid w:val="00956D2F"/>
    <w:rsid w:val="00957058"/>
    <w:rsid w:val="009575DF"/>
    <w:rsid w:val="00957716"/>
    <w:rsid w:val="00957737"/>
    <w:rsid w:val="009577F8"/>
    <w:rsid w:val="00957995"/>
    <w:rsid w:val="009579C5"/>
    <w:rsid w:val="00957A25"/>
    <w:rsid w:val="00960D77"/>
    <w:rsid w:val="00961045"/>
    <w:rsid w:val="00962295"/>
    <w:rsid w:val="0096277C"/>
    <w:rsid w:val="00962CEB"/>
    <w:rsid w:val="00962EFA"/>
    <w:rsid w:val="00963196"/>
    <w:rsid w:val="00964949"/>
    <w:rsid w:val="009651E3"/>
    <w:rsid w:val="009654BA"/>
    <w:rsid w:val="009656BB"/>
    <w:rsid w:val="00965786"/>
    <w:rsid w:val="009665BC"/>
    <w:rsid w:val="009669FC"/>
    <w:rsid w:val="00966A6C"/>
    <w:rsid w:val="00966EA3"/>
    <w:rsid w:val="009679BC"/>
    <w:rsid w:val="00970ABF"/>
    <w:rsid w:val="00971E41"/>
    <w:rsid w:val="00972F6D"/>
    <w:rsid w:val="00973517"/>
    <w:rsid w:val="00973C04"/>
    <w:rsid w:val="0097481F"/>
    <w:rsid w:val="0097512B"/>
    <w:rsid w:val="0097558D"/>
    <w:rsid w:val="00976D34"/>
    <w:rsid w:val="00977007"/>
    <w:rsid w:val="009808CA"/>
    <w:rsid w:val="00980C16"/>
    <w:rsid w:val="00981408"/>
    <w:rsid w:val="00981881"/>
    <w:rsid w:val="00981AA2"/>
    <w:rsid w:val="00982032"/>
    <w:rsid w:val="009828C7"/>
    <w:rsid w:val="00983196"/>
    <w:rsid w:val="00983F7C"/>
    <w:rsid w:val="00984AEF"/>
    <w:rsid w:val="00984F94"/>
    <w:rsid w:val="0098569C"/>
    <w:rsid w:val="009862E9"/>
    <w:rsid w:val="00986BE9"/>
    <w:rsid w:val="009871F4"/>
    <w:rsid w:val="00987F9F"/>
    <w:rsid w:val="00990437"/>
    <w:rsid w:val="0099047A"/>
    <w:rsid w:val="009916FA"/>
    <w:rsid w:val="00994218"/>
    <w:rsid w:val="00994B04"/>
    <w:rsid w:val="00995A07"/>
    <w:rsid w:val="00995B57"/>
    <w:rsid w:val="00995D52"/>
    <w:rsid w:val="009969C7"/>
    <w:rsid w:val="009A073B"/>
    <w:rsid w:val="009A10C1"/>
    <w:rsid w:val="009A12F4"/>
    <w:rsid w:val="009A1E21"/>
    <w:rsid w:val="009A210E"/>
    <w:rsid w:val="009A2209"/>
    <w:rsid w:val="009A2941"/>
    <w:rsid w:val="009A48C5"/>
    <w:rsid w:val="009A5524"/>
    <w:rsid w:val="009A6740"/>
    <w:rsid w:val="009A72E2"/>
    <w:rsid w:val="009B089A"/>
    <w:rsid w:val="009B2343"/>
    <w:rsid w:val="009B2E10"/>
    <w:rsid w:val="009B301E"/>
    <w:rsid w:val="009B38ED"/>
    <w:rsid w:val="009B3A61"/>
    <w:rsid w:val="009B3D0B"/>
    <w:rsid w:val="009B4785"/>
    <w:rsid w:val="009B4A1A"/>
    <w:rsid w:val="009B4B43"/>
    <w:rsid w:val="009B4F17"/>
    <w:rsid w:val="009B5445"/>
    <w:rsid w:val="009B7073"/>
    <w:rsid w:val="009B755C"/>
    <w:rsid w:val="009C0061"/>
    <w:rsid w:val="009C16BF"/>
    <w:rsid w:val="009C17B9"/>
    <w:rsid w:val="009C3957"/>
    <w:rsid w:val="009C3A4F"/>
    <w:rsid w:val="009C3E70"/>
    <w:rsid w:val="009C4461"/>
    <w:rsid w:val="009C57C3"/>
    <w:rsid w:val="009C59B2"/>
    <w:rsid w:val="009C6C48"/>
    <w:rsid w:val="009C7772"/>
    <w:rsid w:val="009C7DC7"/>
    <w:rsid w:val="009D009D"/>
    <w:rsid w:val="009D06C9"/>
    <w:rsid w:val="009D080E"/>
    <w:rsid w:val="009D1369"/>
    <w:rsid w:val="009D3A7C"/>
    <w:rsid w:val="009D41C2"/>
    <w:rsid w:val="009D57E2"/>
    <w:rsid w:val="009D67A4"/>
    <w:rsid w:val="009D7C7B"/>
    <w:rsid w:val="009E0B7B"/>
    <w:rsid w:val="009E1032"/>
    <w:rsid w:val="009E3835"/>
    <w:rsid w:val="009E3986"/>
    <w:rsid w:val="009E4C64"/>
    <w:rsid w:val="009E50D4"/>
    <w:rsid w:val="009E512D"/>
    <w:rsid w:val="009E603E"/>
    <w:rsid w:val="009E6EBD"/>
    <w:rsid w:val="009E7241"/>
    <w:rsid w:val="009F0BF0"/>
    <w:rsid w:val="009F1659"/>
    <w:rsid w:val="009F2515"/>
    <w:rsid w:val="009F3252"/>
    <w:rsid w:val="009F4501"/>
    <w:rsid w:val="009F488A"/>
    <w:rsid w:val="009F48F6"/>
    <w:rsid w:val="009F5028"/>
    <w:rsid w:val="009F6AC4"/>
    <w:rsid w:val="009F79F3"/>
    <w:rsid w:val="009F7E0E"/>
    <w:rsid w:val="00A00136"/>
    <w:rsid w:val="00A01476"/>
    <w:rsid w:val="00A014AC"/>
    <w:rsid w:val="00A02451"/>
    <w:rsid w:val="00A0307E"/>
    <w:rsid w:val="00A036D6"/>
    <w:rsid w:val="00A038E3"/>
    <w:rsid w:val="00A03B90"/>
    <w:rsid w:val="00A04501"/>
    <w:rsid w:val="00A0464C"/>
    <w:rsid w:val="00A0481F"/>
    <w:rsid w:val="00A06EBE"/>
    <w:rsid w:val="00A0735C"/>
    <w:rsid w:val="00A07B82"/>
    <w:rsid w:val="00A1105A"/>
    <w:rsid w:val="00A12190"/>
    <w:rsid w:val="00A13F18"/>
    <w:rsid w:val="00A14304"/>
    <w:rsid w:val="00A14B6B"/>
    <w:rsid w:val="00A14DA9"/>
    <w:rsid w:val="00A157A4"/>
    <w:rsid w:val="00A16404"/>
    <w:rsid w:val="00A16B18"/>
    <w:rsid w:val="00A17714"/>
    <w:rsid w:val="00A17831"/>
    <w:rsid w:val="00A200CF"/>
    <w:rsid w:val="00A2029E"/>
    <w:rsid w:val="00A203C2"/>
    <w:rsid w:val="00A21478"/>
    <w:rsid w:val="00A21632"/>
    <w:rsid w:val="00A2182B"/>
    <w:rsid w:val="00A23E11"/>
    <w:rsid w:val="00A2438F"/>
    <w:rsid w:val="00A24BB9"/>
    <w:rsid w:val="00A24EDD"/>
    <w:rsid w:val="00A251C8"/>
    <w:rsid w:val="00A25386"/>
    <w:rsid w:val="00A2592D"/>
    <w:rsid w:val="00A26067"/>
    <w:rsid w:val="00A261E8"/>
    <w:rsid w:val="00A268A0"/>
    <w:rsid w:val="00A27284"/>
    <w:rsid w:val="00A27BBC"/>
    <w:rsid w:val="00A32BE2"/>
    <w:rsid w:val="00A32CC3"/>
    <w:rsid w:val="00A3352A"/>
    <w:rsid w:val="00A344D6"/>
    <w:rsid w:val="00A3455D"/>
    <w:rsid w:val="00A3509E"/>
    <w:rsid w:val="00A35235"/>
    <w:rsid w:val="00A3528D"/>
    <w:rsid w:val="00A355D6"/>
    <w:rsid w:val="00A35C67"/>
    <w:rsid w:val="00A35FEA"/>
    <w:rsid w:val="00A36958"/>
    <w:rsid w:val="00A36DB4"/>
    <w:rsid w:val="00A370D5"/>
    <w:rsid w:val="00A40D62"/>
    <w:rsid w:val="00A41C9C"/>
    <w:rsid w:val="00A41E64"/>
    <w:rsid w:val="00A41EA5"/>
    <w:rsid w:val="00A43354"/>
    <w:rsid w:val="00A44C29"/>
    <w:rsid w:val="00A450C2"/>
    <w:rsid w:val="00A454E7"/>
    <w:rsid w:val="00A45614"/>
    <w:rsid w:val="00A45C8A"/>
    <w:rsid w:val="00A46692"/>
    <w:rsid w:val="00A4721C"/>
    <w:rsid w:val="00A47EE3"/>
    <w:rsid w:val="00A50864"/>
    <w:rsid w:val="00A50D43"/>
    <w:rsid w:val="00A52162"/>
    <w:rsid w:val="00A52825"/>
    <w:rsid w:val="00A53029"/>
    <w:rsid w:val="00A53E6B"/>
    <w:rsid w:val="00A55E0A"/>
    <w:rsid w:val="00A561FA"/>
    <w:rsid w:val="00A56479"/>
    <w:rsid w:val="00A576B9"/>
    <w:rsid w:val="00A6009D"/>
    <w:rsid w:val="00A6018F"/>
    <w:rsid w:val="00A60293"/>
    <w:rsid w:val="00A60D96"/>
    <w:rsid w:val="00A616E0"/>
    <w:rsid w:val="00A61AEC"/>
    <w:rsid w:val="00A61C92"/>
    <w:rsid w:val="00A6285A"/>
    <w:rsid w:val="00A62EBD"/>
    <w:rsid w:val="00A63F78"/>
    <w:rsid w:val="00A64A93"/>
    <w:rsid w:val="00A65301"/>
    <w:rsid w:val="00A65862"/>
    <w:rsid w:val="00A65D32"/>
    <w:rsid w:val="00A662BE"/>
    <w:rsid w:val="00A6666B"/>
    <w:rsid w:val="00A66C6E"/>
    <w:rsid w:val="00A67148"/>
    <w:rsid w:val="00A67846"/>
    <w:rsid w:val="00A70BF0"/>
    <w:rsid w:val="00A70D41"/>
    <w:rsid w:val="00A722FC"/>
    <w:rsid w:val="00A72526"/>
    <w:rsid w:val="00A72A41"/>
    <w:rsid w:val="00A72B73"/>
    <w:rsid w:val="00A7437A"/>
    <w:rsid w:val="00A74546"/>
    <w:rsid w:val="00A74B3A"/>
    <w:rsid w:val="00A74D7A"/>
    <w:rsid w:val="00A74EBA"/>
    <w:rsid w:val="00A75451"/>
    <w:rsid w:val="00A755EA"/>
    <w:rsid w:val="00A7610E"/>
    <w:rsid w:val="00A76C5F"/>
    <w:rsid w:val="00A771C4"/>
    <w:rsid w:val="00A772C5"/>
    <w:rsid w:val="00A7790E"/>
    <w:rsid w:val="00A77C32"/>
    <w:rsid w:val="00A80387"/>
    <w:rsid w:val="00A80A5F"/>
    <w:rsid w:val="00A81F0D"/>
    <w:rsid w:val="00A82926"/>
    <w:rsid w:val="00A82B7B"/>
    <w:rsid w:val="00A82E08"/>
    <w:rsid w:val="00A836DB"/>
    <w:rsid w:val="00A83930"/>
    <w:rsid w:val="00A83B9D"/>
    <w:rsid w:val="00A83C07"/>
    <w:rsid w:val="00A846A0"/>
    <w:rsid w:val="00A84B50"/>
    <w:rsid w:val="00A84CF2"/>
    <w:rsid w:val="00A8551B"/>
    <w:rsid w:val="00A86DAE"/>
    <w:rsid w:val="00A90903"/>
    <w:rsid w:val="00A90E25"/>
    <w:rsid w:val="00A90EAD"/>
    <w:rsid w:val="00A91448"/>
    <w:rsid w:val="00A915BE"/>
    <w:rsid w:val="00A92F5C"/>
    <w:rsid w:val="00A932F7"/>
    <w:rsid w:val="00A9343D"/>
    <w:rsid w:val="00A93535"/>
    <w:rsid w:val="00A93592"/>
    <w:rsid w:val="00A9393D"/>
    <w:rsid w:val="00A94978"/>
    <w:rsid w:val="00A9552A"/>
    <w:rsid w:val="00A960FF"/>
    <w:rsid w:val="00A9639D"/>
    <w:rsid w:val="00A96A6B"/>
    <w:rsid w:val="00A96D8E"/>
    <w:rsid w:val="00A971C3"/>
    <w:rsid w:val="00A97D35"/>
    <w:rsid w:val="00AA0C10"/>
    <w:rsid w:val="00AA0FD0"/>
    <w:rsid w:val="00AA151C"/>
    <w:rsid w:val="00AA1630"/>
    <w:rsid w:val="00AA325D"/>
    <w:rsid w:val="00AA3267"/>
    <w:rsid w:val="00AA37DB"/>
    <w:rsid w:val="00AA3ABD"/>
    <w:rsid w:val="00AA3F62"/>
    <w:rsid w:val="00AA4ABD"/>
    <w:rsid w:val="00AA5290"/>
    <w:rsid w:val="00AA530E"/>
    <w:rsid w:val="00AA67A1"/>
    <w:rsid w:val="00AA67B3"/>
    <w:rsid w:val="00AA6DB8"/>
    <w:rsid w:val="00AA7411"/>
    <w:rsid w:val="00AA780D"/>
    <w:rsid w:val="00AB1786"/>
    <w:rsid w:val="00AB1C3F"/>
    <w:rsid w:val="00AB242F"/>
    <w:rsid w:val="00AB2459"/>
    <w:rsid w:val="00AB270F"/>
    <w:rsid w:val="00AB314D"/>
    <w:rsid w:val="00AB3601"/>
    <w:rsid w:val="00AB3C56"/>
    <w:rsid w:val="00AB4BE2"/>
    <w:rsid w:val="00AB591E"/>
    <w:rsid w:val="00AB5A14"/>
    <w:rsid w:val="00AB5C90"/>
    <w:rsid w:val="00AB5DE4"/>
    <w:rsid w:val="00AC0C42"/>
    <w:rsid w:val="00AC1286"/>
    <w:rsid w:val="00AC192E"/>
    <w:rsid w:val="00AC2105"/>
    <w:rsid w:val="00AC2AF3"/>
    <w:rsid w:val="00AC33DB"/>
    <w:rsid w:val="00AC47F6"/>
    <w:rsid w:val="00AC4800"/>
    <w:rsid w:val="00AC485B"/>
    <w:rsid w:val="00AC6184"/>
    <w:rsid w:val="00AC6200"/>
    <w:rsid w:val="00AC6394"/>
    <w:rsid w:val="00AC6CA0"/>
    <w:rsid w:val="00AD0236"/>
    <w:rsid w:val="00AD02D7"/>
    <w:rsid w:val="00AD085B"/>
    <w:rsid w:val="00AD0C5A"/>
    <w:rsid w:val="00AD2405"/>
    <w:rsid w:val="00AD37CA"/>
    <w:rsid w:val="00AD480A"/>
    <w:rsid w:val="00AD5068"/>
    <w:rsid w:val="00AD58C8"/>
    <w:rsid w:val="00AD606C"/>
    <w:rsid w:val="00AD67E6"/>
    <w:rsid w:val="00AD6B96"/>
    <w:rsid w:val="00AD7172"/>
    <w:rsid w:val="00AD75B7"/>
    <w:rsid w:val="00AD77F9"/>
    <w:rsid w:val="00AD7A69"/>
    <w:rsid w:val="00AD7EF8"/>
    <w:rsid w:val="00AE0159"/>
    <w:rsid w:val="00AE0602"/>
    <w:rsid w:val="00AE061D"/>
    <w:rsid w:val="00AE0C38"/>
    <w:rsid w:val="00AE0C9E"/>
    <w:rsid w:val="00AE32C6"/>
    <w:rsid w:val="00AE3B05"/>
    <w:rsid w:val="00AE3E71"/>
    <w:rsid w:val="00AE44E9"/>
    <w:rsid w:val="00AE47CF"/>
    <w:rsid w:val="00AE49C0"/>
    <w:rsid w:val="00AE4B78"/>
    <w:rsid w:val="00AE56F3"/>
    <w:rsid w:val="00AE678E"/>
    <w:rsid w:val="00AE68AA"/>
    <w:rsid w:val="00AE6C80"/>
    <w:rsid w:val="00AE6D57"/>
    <w:rsid w:val="00AE74A0"/>
    <w:rsid w:val="00AF006B"/>
    <w:rsid w:val="00AF1CF5"/>
    <w:rsid w:val="00AF31B8"/>
    <w:rsid w:val="00AF3258"/>
    <w:rsid w:val="00AF3953"/>
    <w:rsid w:val="00AF48DD"/>
    <w:rsid w:val="00AF4D36"/>
    <w:rsid w:val="00AF54FE"/>
    <w:rsid w:val="00AF585A"/>
    <w:rsid w:val="00B001FD"/>
    <w:rsid w:val="00B01245"/>
    <w:rsid w:val="00B01FFB"/>
    <w:rsid w:val="00B027DE"/>
    <w:rsid w:val="00B02C3D"/>
    <w:rsid w:val="00B02D3D"/>
    <w:rsid w:val="00B0357A"/>
    <w:rsid w:val="00B03921"/>
    <w:rsid w:val="00B03A04"/>
    <w:rsid w:val="00B04D03"/>
    <w:rsid w:val="00B04FEB"/>
    <w:rsid w:val="00B05C94"/>
    <w:rsid w:val="00B062F3"/>
    <w:rsid w:val="00B063BB"/>
    <w:rsid w:val="00B06C6F"/>
    <w:rsid w:val="00B06FC2"/>
    <w:rsid w:val="00B07297"/>
    <w:rsid w:val="00B074BF"/>
    <w:rsid w:val="00B103F1"/>
    <w:rsid w:val="00B10428"/>
    <w:rsid w:val="00B1115C"/>
    <w:rsid w:val="00B1199F"/>
    <w:rsid w:val="00B13C2B"/>
    <w:rsid w:val="00B13E81"/>
    <w:rsid w:val="00B13F4E"/>
    <w:rsid w:val="00B15349"/>
    <w:rsid w:val="00B15B46"/>
    <w:rsid w:val="00B16C68"/>
    <w:rsid w:val="00B16E92"/>
    <w:rsid w:val="00B172DC"/>
    <w:rsid w:val="00B1747F"/>
    <w:rsid w:val="00B20897"/>
    <w:rsid w:val="00B2254A"/>
    <w:rsid w:val="00B2394D"/>
    <w:rsid w:val="00B23F12"/>
    <w:rsid w:val="00B24804"/>
    <w:rsid w:val="00B259D4"/>
    <w:rsid w:val="00B25B6B"/>
    <w:rsid w:val="00B25FCF"/>
    <w:rsid w:val="00B263B0"/>
    <w:rsid w:val="00B26D0D"/>
    <w:rsid w:val="00B27A86"/>
    <w:rsid w:val="00B27CEF"/>
    <w:rsid w:val="00B304EE"/>
    <w:rsid w:val="00B3053B"/>
    <w:rsid w:val="00B30C61"/>
    <w:rsid w:val="00B31B69"/>
    <w:rsid w:val="00B31CC9"/>
    <w:rsid w:val="00B33F4C"/>
    <w:rsid w:val="00B34D6A"/>
    <w:rsid w:val="00B3555C"/>
    <w:rsid w:val="00B36A0E"/>
    <w:rsid w:val="00B36CC9"/>
    <w:rsid w:val="00B3708A"/>
    <w:rsid w:val="00B377CA"/>
    <w:rsid w:val="00B37A01"/>
    <w:rsid w:val="00B37FAE"/>
    <w:rsid w:val="00B40BB3"/>
    <w:rsid w:val="00B411F6"/>
    <w:rsid w:val="00B41333"/>
    <w:rsid w:val="00B41C84"/>
    <w:rsid w:val="00B42868"/>
    <w:rsid w:val="00B42CB5"/>
    <w:rsid w:val="00B42DE3"/>
    <w:rsid w:val="00B4345A"/>
    <w:rsid w:val="00B43B39"/>
    <w:rsid w:val="00B43D12"/>
    <w:rsid w:val="00B44E8F"/>
    <w:rsid w:val="00B45B18"/>
    <w:rsid w:val="00B46374"/>
    <w:rsid w:val="00B465F7"/>
    <w:rsid w:val="00B46FE3"/>
    <w:rsid w:val="00B473D3"/>
    <w:rsid w:val="00B476D2"/>
    <w:rsid w:val="00B47781"/>
    <w:rsid w:val="00B509AA"/>
    <w:rsid w:val="00B50CCA"/>
    <w:rsid w:val="00B50DBC"/>
    <w:rsid w:val="00B51A3C"/>
    <w:rsid w:val="00B52BB7"/>
    <w:rsid w:val="00B5350F"/>
    <w:rsid w:val="00B53824"/>
    <w:rsid w:val="00B53D04"/>
    <w:rsid w:val="00B53E0F"/>
    <w:rsid w:val="00B54936"/>
    <w:rsid w:val="00B549D5"/>
    <w:rsid w:val="00B54C14"/>
    <w:rsid w:val="00B55A00"/>
    <w:rsid w:val="00B55A48"/>
    <w:rsid w:val="00B55ABA"/>
    <w:rsid w:val="00B565C2"/>
    <w:rsid w:val="00B566A5"/>
    <w:rsid w:val="00B600D1"/>
    <w:rsid w:val="00B6040B"/>
    <w:rsid w:val="00B612C5"/>
    <w:rsid w:val="00B61513"/>
    <w:rsid w:val="00B62385"/>
    <w:rsid w:val="00B62D72"/>
    <w:rsid w:val="00B63244"/>
    <w:rsid w:val="00B64117"/>
    <w:rsid w:val="00B64B8B"/>
    <w:rsid w:val="00B64C17"/>
    <w:rsid w:val="00B66C5F"/>
    <w:rsid w:val="00B66EC2"/>
    <w:rsid w:val="00B67EE5"/>
    <w:rsid w:val="00B70270"/>
    <w:rsid w:val="00B702BA"/>
    <w:rsid w:val="00B70384"/>
    <w:rsid w:val="00B7038E"/>
    <w:rsid w:val="00B706FB"/>
    <w:rsid w:val="00B71056"/>
    <w:rsid w:val="00B71935"/>
    <w:rsid w:val="00B728A2"/>
    <w:rsid w:val="00B73C94"/>
    <w:rsid w:val="00B7442E"/>
    <w:rsid w:val="00B74435"/>
    <w:rsid w:val="00B75A8D"/>
    <w:rsid w:val="00B77BBC"/>
    <w:rsid w:val="00B77CF0"/>
    <w:rsid w:val="00B80897"/>
    <w:rsid w:val="00B815E7"/>
    <w:rsid w:val="00B81AD5"/>
    <w:rsid w:val="00B81CD8"/>
    <w:rsid w:val="00B82B1D"/>
    <w:rsid w:val="00B843B5"/>
    <w:rsid w:val="00B848A9"/>
    <w:rsid w:val="00B84E5F"/>
    <w:rsid w:val="00B85847"/>
    <w:rsid w:val="00B858ED"/>
    <w:rsid w:val="00B85A89"/>
    <w:rsid w:val="00B862E5"/>
    <w:rsid w:val="00B876BF"/>
    <w:rsid w:val="00B87857"/>
    <w:rsid w:val="00B87C4D"/>
    <w:rsid w:val="00B87E24"/>
    <w:rsid w:val="00B87F70"/>
    <w:rsid w:val="00B909FB"/>
    <w:rsid w:val="00B90CEB"/>
    <w:rsid w:val="00B912C1"/>
    <w:rsid w:val="00B91508"/>
    <w:rsid w:val="00B922E0"/>
    <w:rsid w:val="00B926FC"/>
    <w:rsid w:val="00B92799"/>
    <w:rsid w:val="00B93757"/>
    <w:rsid w:val="00B9424E"/>
    <w:rsid w:val="00B94399"/>
    <w:rsid w:val="00B94666"/>
    <w:rsid w:val="00B94677"/>
    <w:rsid w:val="00B94890"/>
    <w:rsid w:val="00B94E61"/>
    <w:rsid w:val="00B970B7"/>
    <w:rsid w:val="00B97EDD"/>
    <w:rsid w:val="00B97FCE"/>
    <w:rsid w:val="00BA02AC"/>
    <w:rsid w:val="00BA15A4"/>
    <w:rsid w:val="00BA1BC8"/>
    <w:rsid w:val="00BA2BFE"/>
    <w:rsid w:val="00BA2FEF"/>
    <w:rsid w:val="00BA3D73"/>
    <w:rsid w:val="00BA3DAB"/>
    <w:rsid w:val="00BA487E"/>
    <w:rsid w:val="00BA52D9"/>
    <w:rsid w:val="00BA58C6"/>
    <w:rsid w:val="00BA618C"/>
    <w:rsid w:val="00BA651F"/>
    <w:rsid w:val="00BA6DD1"/>
    <w:rsid w:val="00BA6E95"/>
    <w:rsid w:val="00BA6FF0"/>
    <w:rsid w:val="00BA7608"/>
    <w:rsid w:val="00BA77D7"/>
    <w:rsid w:val="00BB0260"/>
    <w:rsid w:val="00BB172B"/>
    <w:rsid w:val="00BB197A"/>
    <w:rsid w:val="00BB2003"/>
    <w:rsid w:val="00BB2AE8"/>
    <w:rsid w:val="00BB2D11"/>
    <w:rsid w:val="00BB370D"/>
    <w:rsid w:val="00BB383B"/>
    <w:rsid w:val="00BB48B3"/>
    <w:rsid w:val="00BB5EB0"/>
    <w:rsid w:val="00BB66D3"/>
    <w:rsid w:val="00BB7387"/>
    <w:rsid w:val="00BB7B0B"/>
    <w:rsid w:val="00BC09A3"/>
    <w:rsid w:val="00BC1327"/>
    <w:rsid w:val="00BC17C1"/>
    <w:rsid w:val="00BC185A"/>
    <w:rsid w:val="00BC1F4D"/>
    <w:rsid w:val="00BC28A5"/>
    <w:rsid w:val="00BC2D6D"/>
    <w:rsid w:val="00BC4D39"/>
    <w:rsid w:val="00BC6DDE"/>
    <w:rsid w:val="00BD103E"/>
    <w:rsid w:val="00BD11DB"/>
    <w:rsid w:val="00BD1624"/>
    <w:rsid w:val="00BD17EE"/>
    <w:rsid w:val="00BD22CB"/>
    <w:rsid w:val="00BD2BE5"/>
    <w:rsid w:val="00BD34BD"/>
    <w:rsid w:val="00BD3829"/>
    <w:rsid w:val="00BD3F6D"/>
    <w:rsid w:val="00BD489D"/>
    <w:rsid w:val="00BD5436"/>
    <w:rsid w:val="00BD5E7D"/>
    <w:rsid w:val="00BD707E"/>
    <w:rsid w:val="00BD76C9"/>
    <w:rsid w:val="00BD76EE"/>
    <w:rsid w:val="00BD771A"/>
    <w:rsid w:val="00BE01AB"/>
    <w:rsid w:val="00BE0536"/>
    <w:rsid w:val="00BE0642"/>
    <w:rsid w:val="00BE110B"/>
    <w:rsid w:val="00BE16C0"/>
    <w:rsid w:val="00BE1927"/>
    <w:rsid w:val="00BE20FD"/>
    <w:rsid w:val="00BE22B2"/>
    <w:rsid w:val="00BE2D2F"/>
    <w:rsid w:val="00BE2D67"/>
    <w:rsid w:val="00BE2DC0"/>
    <w:rsid w:val="00BE33D6"/>
    <w:rsid w:val="00BE346E"/>
    <w:rsid w:val="00BE3B64"/>
    <w:rsid w:val="00BE3FA6"/>
    <w:rsid w:val="00BE560D"/>
    <w:rsid w:val="00BE577D"/>
    <w:rsid w:val="00BE5866"/>
    <w:rsid w:val="00BE7037"/>
    <w:rsid w:val="00BE72A2"/>
    <w:rsid w:val="00BE796C"/>
    <w:rsid w:val="00BF038F"/>
    <w:rsid w:val="00BF12A4"/>
    <w:rsid w:val="00BF228B"/>
    <w:rsid w:val="00BF302E"/>
    <w:rsid w:val="00BF433D"/>
    <w:rsid w:val="00BF4371"/>
    <w:rsid w:val="00BF4A39"/>
    <w:rsid w:val="00BF4F55"/>
    <w:rsid w:val="00BF5126"/>
    <w:rsid w:val="00BF514B"/>
    <w:rsid w:val="00BF5D30"/>
    <w:rsid w:val="00BF6D4A"/>
    <w:rsid w:val="00BF7D98"/>
    <w:rsid w:val="00BF7E9B"/>
    <w:rsid w:val="00C0137E"/>
    <w:rsid w:val="00C015EA"/>
    <w:rsid w:val="00C01B5A"/>
    <w:rsid w:val="00C01BAE"/>
    <w:rsid w:val="00C02363"/>
    <w:rsid w:val="00C0285E"/>
    <w:rsid w:val="00C03D6A"/>
    <w:rsid w:val="00C04007"/>
    <w:rsid w:val="00C0414F"/>
    <w:rsid w:val="00C0435B"/>
    <w:rsid w:val="00C04417"/>
    <w:rsid w:val="00C052EC"/>
    <w:rsid w:val="00C06B77"/>
    <w:rsid w:val="00C070B4"/>
    <w:rsid w:val="00C07F50"/>
    <w:rsid w:val="00C102DC"/>
    <w:rsid w:val="00C10A80"/>
    <w:rsid w:val="00C10D39"/>
    <w:rsid w:val="00C120EA"/>
    <w:rsid w:val="00C12FA3"/>
    <w:rsid w:val="00C134FD"/>
    <w:rsid w:val="00C1469B"/>
    <w:rsid w:val="00C15CF1"/>
    <w:rsid w:val="00C16576"/>
    <w:rsid w:val="00C16BDC"/>
    <w:rsid w:val="00C16CF4"/>
    <w:rsid w:val="00C16D50"/>
    <w:rsid w:val="00C16FC9"/>
    <w:rsid w:val="00C178E9"/>
    <w:rsid w:val="00C20717"/>
    <w:rsid w:val="00C20F5D"/>
    <w:rsid w:val="00C212D9"/>
    <w:rsid w:val="00C2215B"/>
    <w:rsid w:val="00C22E9A"/>
    <w:rsid w:val="00C23AE8"/>
    <w:rsid w:val="00C23D7F"/>
    <w:rsid w:val="00C24388"/>
    <w:rsid w:val="00C2441F"/>
    <w:rsid w:val="00C24C33"/>
    <w:rsid w:val="00C25E2F"/>
    <w:rsid w:val="00C272ED"/>
    <w:rsid w:val="00C30127"/>
    <w:rsid w:val="00C3018D"/>
    <w:rsid w:val="00C3090A"/>
    <w:rsid w:val="00C30D6C"/>
    <w:rsid w:val="00C317F3"/>
    <w:rsid w:val="00C31B23"/>
    <w:rsid w:val="00C31EE5"/>
    <w:rsid w:val="00C320AD"/>
    <w:rsid w:val="00C32615"/>
    <w:rsid w:val="00C33AD3"/>
    <w:rsid w:val="00C34830"/>
    <w:rsid w:val="00C34D3A"/>
    <w:rsid w:val="00C358E7"/>
    <w:rsid w:val="00C360D3"/>
    <w:rsid w:val="00C36522"/>
    <w:rsid w:val="00C366FB"/>
    <w:rsid w:val="00C36DC6"/>
    <w:rsid w:val="00C37E90"/>
    <w:rsid w:val="00C400CE"/>
    <w:rsid w:val="00C40952"/>
    <w:rsid w:val="00C40F14"/>
    <w:rsid w:val="00C41424"/>
    <w:rsid w:val="00C41EE6"/>
    <w:rsid w:val="00C4261F"/>
    <w:rsid w:val="00C430AE"/>
    <w:rsid w:val="00C43610"/>
    <w:rsid w:val="00C43649"/>
    <w:rsid w:val="00C4401A"/>
    <w:rsid w:val="00C44E5C"/>
    <w:rsid w:val="00C45263"/>
    <w:rsid w:val="00C45846"/>
    <w:rsid w:val="00C45FB1"/>
    <w:rsid w:val="00C46C75"/>
    <w:rsid w:val="00C50E60"/>
    <w:rsid w:val="00C51075"/>
    <w:rsid w:val="00C5188F"/>
    <w:rsid w:val="00C51A76"/>
    <w:rsid w:val="00C51CFF"/>
    <w:rsid w:val="00C522F1"/>
    <w:rsid w:val="00C537EC"/>
    <w:rsid w:val="00C540D9"/>
    <w:rsid w:val="00C54D94"/>
    <w:rsid w:val="00C54DC7"/>
    <w:rsid w:val="00C554B1"/>
    <w:rsid w:val="00C557C9"/>
    <w:rsid w:val="00C55C03"/>
    <w:rsid w:val="00C56192"/>
    <w:rsid w:val="00C5637C"/>
    <w:rsid w:val="00C566CA"/>
    <w:rsid w:val="00C60A87"/>
    <w:rsid w:val="00C61081"/>
    <w:rsid w:val="00C618A1"/>
    <w:rsid w:val="00C61AFB"/>
    <w:rsid w:val="00C61F2A"/>
    <w:rsid w:val="00C62600"/>
    <w:rsid w:val="00C62911"/>
    <w:rsid w:val="00C62B2F"/>
    <w:rsid w:val="00C64A08"/>
    <w:rsid w:val="00C654BC"/>
    <w:rsid w:val="00C66055"/>
    <w:rsid w:val="00C66418"/>
    <w:rsid w:val="00C67574"/>
    <w:rsid w:val="00C678B4"/>
    <w:rsid w:val="00C67F98"/>
    <w:rsid w:val="00C719C2"/>
    <w:rsid w:val="00C71A8D"/>
    <w:rsid w:val="00C728EE"/>
    <w:rsid w:val="00C72E58"/>
    <w:rsid w:val="00C7333B"/>
    <w:rsid w:val="00C73A07"/>
    <w:rsid w:val="00C75558"/>
    <w:rsid w:val="00C762C0"/>
    <w:rsid w:val="00C7651C"/>
    <w:rsid w:val="00C76C15"/>
    <w:rsid w:val="00C77362"/>
    <w:rsid w:val="00C7737B"/>
    <w:rsid w:val="00C77ED2"/>
    <w:rsid w:val="00C806A8"/>
    <w:rsid w:val="00C808F8"/>
    <w:rsid w:val="00C81C58"/>
    <w:rsid w:val="00C81FED"/>
    <w:rsid w:val="00C83471"/>
    <w:rsid w:val="00C835F3"/>
    <w:rsid w:val="00C84487"/>
    <w:rsid w:val="00C848F2"/>
    <w:rsid w:val="00C84CF6"/>
    <w:rsid w:val="00C85475"/>
    <w:rsid w:val="00C86488"/>
    <w:rsid w:val="00C867FC"/>
    <w:rsid w:val="00C86B9F"/>
    <w:rsid w:val="00C86C6E"/>
    <w:rsid w:val="00C87994"/>
    <w:rsid w:val="00C907D6"/>
    <w:rsid w:val="00C91043"/>
    <w:rsid w:val="00C910FF"/>
    <w:rsid w:val="00C9149F"/>
    <w:rsid w:val="00C91534"/>
    <w:rsid w:val="00C91662"/>
    <w:rsid w:val="00C925BC"/>
    <w:rsid w:val="00C92B01"/>
    <w:rsid w:val="00C933E0"/>
    <w:rsid w:val="00C936BF"/>
    <w:rsid w:val="00C9579E"/>
    <w:rsid w:val="00C97627"/>
    <w:rsid w:val="00CA06BE"/>
    <w:rsid w:val="00CA13AD"/>
    <w:rsid w:val="00CA1D11"/>
    <w:rsid w:val="00CA202F"/>
    <w:rsid w:val="00CA44A0"/>
    <w:rsid w:val="00CA49F5"/>
    <w:rsid w:val="00CA4AB2"/>
    <w:rsid w:val="00CA6026"/>
    <w:rsid w:val="00CA6487"/>
    <w:rsid w:val="00CA65CD"/>
    <w:rsid w:val="00CA669E"/>
    <w:rsid w:val="00CA7006"/>
    <w:rsid w:val="00CA7C31"/>
    <w:rsid w:val="00CA7F15"/>
    <w:rsid w:val="00CB068B"/>
    <w:rsid w:val="00CB0DB5"/>
    <w:rsid w:val="00CB18FB"/>
    <w:rsid w:val="00CB1A0C"/>
    <w:rsid w:val="00CB31FA"/>
    <w:rsid w:val="00CB3320"/>
    <w:rsid w:val="00CB35BC"/>
    <w:rsid w:val="00CB36B0"/>
    <w:rsid w:val="00CB59AA"/>
    <w:rsid w:val="00CB680F"/>
    <w:rsid w:val="00CB6B12"/>
    <w:rsid w:val="00CB6C85"/>
    <w:rsid w:val="00CB6F3C"/>
    <w:rsid w:val="00CB7287"/>
    <w:rsid w:val="00CB7948"/>
    <w:rsid w:val="00CC0BC8"/>
    <w:rsid w:val="00CC1186"/>
    <w:rsid w:val="00CC1974"/>
    <w:rsid w:val="00CC1AFF"/>
    <w:rsid w:val="00CC1DBD"/>
    <w:rsid w:val="00CC4CAB"/>
    <w:rsid w:val="00CC5615"/>
    <w:rsid w:val="00CC6E6A"/>
    <w:rsid w:val="00CC7F7E"/>
    <w:rsid w:val="00CD0BC2"/>
    <w:rsid w:val="00CD0BCF"/>
    <w:rsid w:val="00CD0BEE"/>
    <w:rsid w:val="00CD1C4C"/>
    <w:rsid w:val="00CD32C3"/>
    <w:rsid w:val="00CD3D2A"/>
    <w:rsid w:val="00CD40DF"/>
    <w:rsid w:val="00CD42F8"/>
    <w:rsid w:val="00CD469C"/>
    <w:rsid w:val="00CD4EBF"/>
    <w:rsid w:val="00CD4F12"/>
    <w:rsid w:val="00CD55BF"/>
    <w:rsid w:val="00CD6F0F"/>
    <w:rsid w:val="00CD712B"/>
    <w:rsid w:val="00CD7956"/>
    <w:rsid w:val="00CD79CB"/>
    <w:rsid w:val="00CE1345"/>
    <w:rsid w:val="00CE176A"/>
    <w:rsid w:val="00CE2360"/>
    <w:rsid w:val="00CE23CC"/>
    <w:rsid w:val="00CE3BBA"/>
    <w:rsid w:val="00CE5820"/>
    <w:rsid w:val="00CE5868"/>
    <w:rsid w:val="00CE5F25"/>
    <w:rsid w:val="00CE67E1"/>
    <w:rsid w:val="00CE6900"/>
    <w:rsid w:val="00CE7954"/>
    <w:rsid w:val="00CF0251"/>
    <w:rsid w:val="00CF02CA"/>
    <w:rsid w:val="00CF10CB"/>
    <w:rsid w:val="00CF1694"/>
    <w:rsid w:val="00CF1EC3"/>
    <w:rsid w:val="00CF3500"/>
    <w:rsid w:val="00CF4716"/>
    <w:rsid w:val="00CF4E47"/>
    <w:rsid w:val="00CF57DA"/>
    <w:rsid w:val="00CF63E9"/>
    <w:rsid w:val="00CF6442"/>
    <w:rsid w:val="00D008F1"/>
    <w:rsid w:val="00D00CE7"/>
    <w:rsid w:val="00D01F2D"/>
    <w:rsid w:val="00D02064"/>
    <w:rsid w:val="00D02F1A"/>
    <w:rsid w:val="00D03382"/>
    <w:rsid w:val="00D03A0C"/>
    <w:rsid w:val="00D042BA"/>
    <w:rsid w:val="00D0434C"/>
    <w:rsid w:val="00D04717"/>
    <w:rsid w:val="00D07075"/>
    <w:rsid w:val="00D07947"/>
    <w:rsid w:val="00D10306"/>
    <w:rsid w:val="00D10D06"/>
    <w:rsid w:val="00D11330"/>
    <w:rsid w:val="00D1166D"/>
    <w:rsid w:val="00D11763"/>
    <w:rsid w:val="00D119DE"/>
    <w:rsid w:val="00D11B34"/>
    <w:rsid w:val="00D1221E"/>
    <w:rsid w:val="00D1275C"/>
    <w:rsid w:val="00D12808"/>
    <w:rsid w:val="00D1287E"/>
    <w:rsid w:val="00D13605"/>
    <w:rsid w:val="00D139D6"/>
    <w:rsid w:val="00D13B29"/>
    <w:rsid w:val="00D14530"/>
    <w:rsid w:val="00D146BC"/>
    <w:rsid w:val="00D14A6B"/>
    <w:rsid w:val="00D14A82"/>
    <w:rsid w:val="00D14C23"/>
    <w:rsid w:val="00D1519F"/>
    <w:rsid w:val="00D16CF1"/>
    <w:rsid w:val="00D177CE"/>
    <w:rsid w:val="00D17963"/>
    <w:rsid w:val="00D17E42"/>
    <w:rsid w:val="00D20402"/>
    <w:rsid w:val="00D206F8"/>
    <w:rsid w:val="00D209CD"/>
    <w:rsid w:val="00D20B7F"/>
    <w:rsid w:val="00D21346"/>
    <w:rsid w:val="00D216B6"/>
    <w:rsid w:val="00D21770"/>
    <w:rsid w:val="00D23943"/>
    <w:rsid w:val="00D23C87"/>
    <w:rsid w:val="00D2463E"/>
    <w:rsid w:val="00D24889"/>
    <w:rsid w:val="00D248C3"/>
    <w:rsid w:val="00D249F4"/>
    <w:rsid w:val="00D24AD4"/>
    <w:rsid w:val="00D24B51"/>
    <w:rsid w:val="00D2531D"/>
    <w:rsid w:val="00D264EE"/>
    <w:rsid w:val="00D27992"/>
    <w:rsid w:val="00D30378"/>
    <w:rsid w:val="00D308BD"/>
    <w:rsid w:val="00D30935"/>
    <w:rsid w:val="00D30CA5"/>
    <w:rsid w:val="00D30FEA"/>
    <w:rsid w:val="00D31482"/>
    <w:rsid w:val="00D319B7"/>
    <w:rsid w:val="00D325C9"/>
    <w:rsid w:val="00D32BC3"/>
    <w:rsid w:val="00D331F7"/>
    <w:rsid w:val="00D333F4"/>
    <w:rsid w:val="00D3493D"/>
    <w:rsid w:val="00D356D3"/>
    <w:rsid w:val="00D35AAC"/>
    <w:rsid w:val="00D35FAC"/>
    <w:rsid w:val="00D3635E"/>
    <w:rsid w:val="00D40B99"/>
    <w:rsid w:val="00D41C28"/>
    <w:rsid w:val="00D43300"/>
    <w:rsid w:val="00D43575"/>
    <w:rsid w:val="00D435D3"/>
    <w:rsid w:val="00D44FAF"/>
    <w:rsid w:val="00D45BCE"/>
    <w:rsid w:val="00D45F3F"/>
    <w:rsid w:val="00D46606"/>
    <w:rsid w:val="00D507BD"/>
    <w:rsid w:val="00D5108A"/>
    <w:rsid w:val="00D51ABF"/>
    <w:rsid w:val="00D51E83"/>
    <w:rsid w:val="00D52DE2"/>
    <w:rsid w:val="00D52F09"/>
    <w:rsid w:val="00D55176"/>
    <w:rsid w:val="00D561DD"/>
    <w:rsid w:val="00D57946"/>
    <w:rsid w:val="00D57C09"/>
    <w:rsid w:val="00D6029D"/>
    <w:rsid w:val="00D60A79"/>
    <w:rsid w:val="00D62C0E"/>
    <w:rsid w:val="00D637E2"/>
    <w:rsid w:val="00D646DF"/>
    <w:rsid w:val="00D6484E"/>
    <w:rsid w:val="00D64C16"/>
    <w:rsid w:val="00D657D5"/>
    <w:rsid w:val="00D65AD5"/>
    <w:rsid w:val="00D65FC1"/>
    <w:rsid w:val="00D6624F"/>
    <w:rsid w:val="00D66DAE"/>
    <w:rsid w:val="00D70CC8"/>
    <w:rsid w:val="00D72B87"/>
    <w:rsid w:val="00D72D4B"/>
    <w:rsid w:val="00D730F8"/>
    <w:rsid w:val="00D73C84"/>
    <w:rsid w:val="00D73CA3"/>
    <w:rsid w:val="00D74643"/>
    <w:rsid w:val="00D74749"/>
    <w:rsid w:val="00D757FA"/>
    <w:rsid w:val="00D761DD"/>
    <w:rsid w:val="00D76F7A"/>
    <w:rsid w:val="00D80029"/>
    <w:rsid w:val="00D808C0"/>
    <w:rsid w:val="00D81481"/>
    <w:rsid w:val="00D817CA"/>
    <w:rsid w:val="00D82F38"/>
    <w:rsid w:val="00D847EF"/>
    <w:rsid w:val="00D847F2"/>
    <w:rsid w:val="00D8498B"/>
    <w:rsid w:val="00D852BA"/>
    <w:rsid w:val="00D85B4B"/>
    <w:rsid w:val="00D86F28"/>
    <w:rsid w:val="00D87025"/>
    <w:rsid w:val="00D87153"/>
    <w:rsid w:val="00D90300"/>
    <w:rsid w:val="00D909F3"/>
    <w:rsid w:val="00D90B2F"/>
    <w:rsid w:val="00D91616"/>
    <w:rsid w:val="00D91746"/>
    <w:rsid w:val="00D91A1B"/>
    <w:rsid w:val="00D9275A"/>
    <w:rsid w:val="00D929F4"/>
    <w:rsid w:val="00D92D76"/>
    <w:rsid w:val="00D93674"/>
    <w:rsid w:val="00D93B95"/>
    <w:rsid w:val="00D94240"/>
    <w:rsid w:val="00D9442D"/>
    <w:rsid w:val="00D94BBE"/>
    <w:rsid w:val="00D94F7C"/>
    <w:rsid w:val="00D95364"/>
    <w:rsid w:val="00D9540B"/>
    <w:rsid w:val="00D956EA"/>
    <w:rsid w:val="00D95C1A"/>
    <w:rsid w:val="00D96213"/>
    <w:rsid w:val="00D964E3"/>
    <w:rsid w:val="00D9684B"/>
    <w:rsid w:val="00D96AB6"/>
    <w:rsid w:val="00D96B80"/>
    <w:rsid w:val="00D97E16"/>
    <w:rsid w:val="00DA021F"/>
    <w:rsid w:val="00DA05AC"/>
    <w:rsid w:val="00DA062B"/>
    <w:rsid w:val="00DA1B57"/>
    <w:rsid w:val="00DA1BDC"/>
    <w:rsid w:val="00DA2334"/>
    <w:rsid w:val="00DA2359"/>
    <w:rsid w:val="00DA23DC"/>
    <w:rsid w:val="00DA2473"/>
    <w:rsid w:val="00DA255A"/>
    <w:rsid w:val="00DA2632"/>
    <w:rsid w:val="00DA2662"/>
    <w:rsid w:val="00DA279F"/>
    <w:rsid w:val="00DA3B1C"/>
    <w:rsid w:val="00DA5FEF"/>
    <w:rsid w:val="00DA76AE"/>
    <w:rsid w:val="00DA7873"/>
    <w:rsid w:val="00DB1538"/>
    <w:rsid w:val="00DB1EC1"/>
    <w:rsid w:val="00DB2934"/>
    <w:rsid w:val="00DB2CAC"/>
    <w:rsid w:val="00DB461B"/>
    <w:rsid w:val="00DB4988"/>
    <w:rsid w:val="00DB4A07"/>
    <w:rsid w:val="00DB502C"/>
    <w:rsid w:val="00DB5A69"/>
    <w:rsid w:val="00DB65B1"/>
    <w:rsid w:val="00DB6C28"/>
    <w:rsid w:val="00DB7B43"/>
    <w:rsid w:val="00DC05F0"/>
    <w:rsid w:val="00DC112D"/>
    <w:rsid w:val="00DC1EAB"/>
    <w:rsid w:val="00DC2920"/>
    <w:rsid w:val="00DC5056"/>
    <w:rsid w:val="00DC51D5"/>
    <w:rsid w:val="00DC5565"/>
    <w:rsid w:val="00DC58FB"/>
    <w:rsid w:val="00DC5E46"/>
    <w:rsid w:val="00DC677A"/>
    <w:rsid w:val="00DD13AE"/>
    <w:rsid w:val="00DD1E6B"/>
    <w:rsid w:val="00DD26FB"/>
    <w:rsid w:val="00DD301B"/>
    <w:rsid w:val="00DD4CB9"/>
    <w:rsid w:val="00DD5426"/>
    <w:rsid w:val="00DD5AD1"/>
    <w:rsid w:val="00DE0824"/>
    <w:rsid w:val="00DE1164"/>
    <w:rsid w:val="00DE12E5"/>
    <w:rsid w:val="00DE18C8"/>
    <w:rsid w:val="00DE2022"/>
    <w:rsid w:val="00DE2703"/>
    <w:rsid w:val="00DE30E3"/>
    <w:rsid w:val="00DE3F49"/>
    <w:rsid w:val="00DE4434"/>
    <w:rsid w:val="00DE4BD1"/>
    <w:rsid w:val="00DE4E85"/>
    <w:rsid w:val="00DE5236"/>
    <w:rsid w:val="00DE576B"/>
    <w:rsid w:val="00DE6094"/>
    <w:rsid w:val="00DE63E3"/>
    <w:rsid w:val="00DE6F91"/>
    <w:rsid w:val="00DF021F"/>
    <w:rsid w:val="00DF09DF"/>
    <w:rsid w:val="00DF17C3"/>
    <w:rsid w:val="00DF207B"/>
    <w:rsid w:val="00DF23AA"/>
    <w:rsid w:val="00DF25FB"/>
    <w:rsid w:val="00DF2772"/>
    <w:rsid w:val="00DF2F59"/>
    <w:rsid w:val="00DF3176"/>
    <w:rsid w:val="00DF3703"/>
    <w:rsid w:val="00DF3BBE"/>
    <w:rsid w:val="00DF3D73"/>
    <w:rsid w:val="00DF43BF"/>
    <w:rsid w:val="00DF517A"/>
    <w:rsid w:val="00DF53A3"/>
    <w:rsid w:val="00DF624A"/>
    <w:rsid w:val="00DF72C5"/>
    <w:rsid w:val="00DF741E"/>
    <w:rsid w:val="00DF7BCF"/>
    <w:rsid w:val="00E00C67"/>
    <w:rsid w:val="00E017DE"/>
    <w:rsid w:val="00E02509"/>
    <w:rsid w:val="00E02F51"/>
    <w:rsid w:val="00E0401C"/>
    <w:rsid w:val="00E0434C"/>
    <w:rsid w:val="00E055D9"/>
    <w:rsid w:val="00E05ECB"/>
    <w:rsid w:val="00E0613B"/>
    <w:rsid w:val="00E06E96"/>
    <w:rsid w:val="00E10063"/>
    <w:rsid w:val="00E1051E"/>
    <w:rsid w:val="00E10CA3"/>
    <w:rsid w:val="00E123E4"/>
    <w:rsid w:val="00E12D77"/>
    <w:rsid w:val="00E134DE"/>
    <w:rsid w:val="00E13AA0"/>
    <w:rsid w:val="00E13F84"/>
    <w:rsid w:val="00E140A7"/>
    <w:rsid w:val="00E15064"/>
    <w:rsid w:val="00E155DD"/>
    <w:rsid w:val="00E15942"/>
    <w:rsid w:val="00E16E60"/>
    <w:rsid w:val="00E17FE6"/>
    <w:rsid w:val="00E20A79"/>
    <w:rsid w:val="00E22004"/>
    <w:rsid w:val="00E232E4"/>
    <w:rsid w:val="00E23934"/>
    <w:rsid w:val="00E24EF5"/>
    <w:rsid w:val="00E25A19"/>
    <w:rsid w:val="00E267C5"/>
    <w:rsid w:val="00E30005"/>
    <w:rsid w:val="00E32023"/>
    <w:rsid w:val="00E32B2F"/>
    <w:rsid w:val="00E36066"/>
    <w:rsid w:val="00E363C1"/>
    <w:rsid w:val="00E3776B"/>
    <w:rsid w:val="00E37AB3"/>
    <w:rsid w:val="00E404CA"/>
    <w:rsid w:val="00E40C17"/>
    <w:rsid w:val="00E4121D"/>
    <w:rsid w:val="00E421E4"/>
    <w:rsid w:val="00E423A6"/>
    <w:rsid w:val="00E43599"/>
    <w:rsid w:val="00E4380B"/>
    <w:rsid w:val="00E43DB7"/>
    <w:rsid w:val="00E43EA1"/>
    <w:rsid w:val="00E4464A"/>
    <w:rsid w:val="00E46A73"/>
    <w:rsid w:val="00E46CB6"/>
    <w:rsid w:val="00E47B26"/>
    <w:rsid w:val="00E5006C"/>
    <w:rsid w:val="00E50489"/>
    <w:rsid w:val="00E5062B"/>
    <w:rsid w:val="00E50791"/>
    <w:rsid w:val="00E51608"/>
    <w:rsid w:val="00E5262C"/>
    <w:rsid w:val="00E52ECC"/>
    <w:rsid w:val="00E53A16"/>
    <w:rsid w:val="00E544E2"/>
    <w:rsid w:val="00E54AD9"/>
    <w:rsid w:val="00E5685D"/>
    <w:rsid w:val="00E56F79"/>
    <w:rsid w:val="00E57295"/>
    <w:rsid w:val="00E57301"/>
    <w:rsid w:val="00E574A5"/>
    <w:rsid w:val="00E57986"/>
    <w:rsid w:val="00E60A4E"/>
    <w:rsid w:val="00E617CB"/>
    <w:rsid w:val="00E63D81"/>
    <w:rsid w:val="00E65313"/>
    <w:rsid w:val="00E659FD"/>
    <w:rsid w:val="00E66843"/>
    <w:rsid w:val="00E66F02"/>
    <w:rsid w:val="00E66FA0"/>
    <w:rsid w:val="00E675B1"/>
    <w:rsid w:val="00E679A3"/>
    <w:rsid w:val="00E703FC"/>
    <w:rsid w:val="00E70407"/>
    <w:rsid w:val="00E7128C"/>
    <w:rsid w:val="00E715A2"/>
    <w:rsid w:val="00E717D2"/>
    <w:rsid w:val="00E719DA"/>
    <w:rsid w:val="00E723EA"/>
    <w:rsid w:val="00E72409"/>
    <w:rsid w:val="00E725DF"/>
    <w:rsid w:val="00E72B4A"/>
    <w:rsid w:val="00E72DB0"/>
    <w:rsid w:val="00E73776"/>
    <w:rsid w:val="00E74851"/>
    <w:rsid w:val="00E75A0D"/>
    <w:rsid w:val="00E75D9E"/>
    <w:rsid w:val="00E76C6A"/>
    <w:rsid w:val="00E7794B"/>
    <w:rsid w:val="00E77E60"/>
    <w:rsid w:val="00E77E9A"/>
    <w:rsid w:val="00E80098"/>
    <w:rsid w:val="00E802B7"/>
    <w:rsid w:val="00E80DD6"/>
    <w:rsid w:val="00E812C7"/>
    <w:rsid w:val="00E82303"/>
    <w:rsid w:val="00E83444"/>
    <w:rsid w:val="00E83A45"/>
    <w:rsid w:val="00E83C77"/>
    <w:rsid w:val="00E83EEC"/>
    <w:rsid w:val="00E843DD"/>
    <w:rsid w:val="00E872CE"/>
    <w:rsid w:val="00E87F43"/>
    <w:rsid w:val="00E910D6"/>
    <w:rsid w:val="00E912CE"/>
    <w:rsid w:val="00E9171E"/>
    <w:rsid w:val="00E9177D"/>
    <w:rsid w:val="00E92EB6"/>
    <w:rsid w:val="00E937F7"/>
    <w:rsid w:val="00E938D2"/>
    <w:rsid w:val="00E93AF7"/>
    <w:rsid w:val="00E93EB5"/>
    <w:rsid w:val="00E94321"/>
    <w:rsid w:val="00E94546"/>
    <w:rsid w:val="00E94599"/>
    <w:rsid w:val="00E94796"/>
    <w:rsid w:val="00E94B6C"/>
    <w:rsid w:val="00E95273"/>
    <w:rsid w:val="00E9758A"/>
    <w:rsid w:val="00EA11A8"/>
    <w:rsid w:val="00EA2546"/>
    <w:rsid w:val="00EA3689"/>
    <w:rsid w:val="00EA3E6A"/>
    <w:rsid w:val="00EA4140"/>
    <w:rsid w:val="00EA4305"/>
    <w:rsid w:val="00EA444D"/>
    <w:rsid w:val="00EA5975"/>
    <w:rsid w:val="00EB023D"/>
    <w:rsid w:val="00EB0513"/>
    <w:rsid w:val="00EB06E4"/>
    <w:rsid w:val="00EB1A38"/>
    <w:rsid w:val="00EB2177"/>
    <w:rsid w:val="00EB223A"/>
    <w:rsid w:val="00EB23E0"/>
    <w:rsid w:val="00EB2DCA"/>
    <w:rsid w:val="00EB2DFF"/>
    <w:rsid w:val="00EB332A"/>
    <w:rsid w:val="00EB595C"/>
    <w:rsid w:val="00EB65A1"/>
    <w:rsid w:val="00EB6B43"/>
    <w:rsid w:val="00EB735D"/>
    <w:rsid w:val="00EB7AB1"/>
    <w:rsid w:val="00EC0709"/>
    <w:rsid w:val="00EC0AD8"/>
    <w:rsid w:val="00EC0FFA"/>
    <w:rsid w:val="00EC1FBD"/>
    <w:rsid w:val="00EC39F0"/>
    <w:rsid w:val="00EC3CEB"/>
    <w:rsid w:val="00EC3F91"/>
    <w:rsid w:val="00EC4000"/>
    <w:rsid w:val="00EC40EE"/>
    <w:rsid w:val="00EC5107"/>
    <w:rsid w:val="00EC5293"/>
    <w:rsid w:val="00EC6DF6"/>
    <w:rsid w:val="00EC6EDD"/>
    <w:rsid w:val="00EC73ED"/>
    <w:rsid w:val="00EC7AE9"/>
    <w:rsid w:val="00ED007C"/>
    <w:rsid w:val="00ED0C8C"/>
    <w:rsid w:val="00ED0E4F"/>
    <w:rsid w:val="00ED2A2B"/>
    <w:rsid w:val="00ED305E"/>
    <w:rsid w:val="00ED3F35"/>
    <w:rsid w:val="00ED4331"/>
    <w:rsid w:val="00ED557E"/>
    <w:rsid w:val="00ED58BB"/>
    <w:rsid w:val="00ED63C0"/>
    <w:rsid w:val="00ED6AD5"/>
    <w:rsid w:val="00ED7896"/>
    <w:rsid w:val="00ED79CD"/>
    <w:rsid w:val="00EE031E"/>
    <w:rsid w:val="00EE09AD"/>
    <w:rsid w:val="00EE0A2D"/>
    <w:rsid w:val="00EE1034"/>
    <w:rsid w:val="00EE17EA"/>
    <w:rsid w:val="00EE1B04"/>
    <w:rsid w:val="00EE1EAA"/>
    <w:rsid w:val="00EE2824"/>
    <w:rsid w:val="00EE28F9"/>
    <w:rsid w:val="00EE2BE4"/>
    <w:rsid w:val="00EE38DA"/>
    <w:rsid w:val="00EE3B5C"/>
    <w:rsid w:val="00EE3DE3"/>
    <w:rsid w:val="00EE4C68"/>
    <w:rsid w:val="00EE4F4D"/>
    <w:rsid w:val="00EE51AC"/>
    <w:rsid w:val="00EE626B"/>
    <w:rsid w:val="00EE627A"/>
    <w:rsid w:val="00EE6BE1"/>
    <w:rsid w:val="00EE6C2E"/>
    <w:rsid w:val="00EE6CEE"/>
    <w:rsid w:val="00EF0472"/>
    <w:rsid w:val="00EF0756"/>
    <w:rsid w:val="00EF0E7D"/>
    <w:rsid w:val="00EF162E"/>
    <w:rsid w:val="00EF1BD7"/>
    <w:rsid w:val="00EF1FCC"/>
    <w:rsid w:val="00EF29F8"/>
    <w:rsid w:val="00EF2C10"/>
    <w:rsid w:val="00EF34EC"/>
    <w:rsid w:val="00EF3DA7"/>
    <w:rsid w:val="00EF3E85"/>
    <w:rsid w:val="00EF4916"/>
    <w:rsid w:val="00EF4DD5"/>
    <w:rsid w:val="00EF5D36"/>
    <w:rsid w:val="00EF6A34"/>
    <w:rsid w:val="00EF7942"/>
    <w:rsid w:val="00F001FB"/>
    <w:rsid w:val="00F002DB"/>
    <w:rsid w:val="00F00370"/>
    <w:rsid w:val="00F011B6"/>
    <w:rsid w:val="00F0157B"/>
    <w:rsid w:val="00F01C43"/>
    <w:rsid w:val="00F0239F"/>
    <w:rsid w:val="00F02818"/>
    <w:rsid w:val="00F037A6"/>
    <w:rsid w:val="00F04575"/>
    <w:rsid w:val="00F04628"/>
    <w:rsid w:val="00F04E97"/>
    <w:rsid w:val="00F04F3C"/>
    <w:rsid w:val="00F0503D"/>
    <w:rsid w:val="00F05183"/>
    <w:rsid w:val="00F06389"/>
    <w:rsid w:val="00F06E88"/>
    <w:rsid w:val="00F06FA5"/>
    <w:rsid w:val="00F10CD5"/>
    <w:rsid w:val="00F11DAB"/>
    <w:rsid w:val="00F12749"/>
    <w:rsid w:val="00F12D73"/>
    <w:rsid w:val="00F12DDA"/>
    <w:rsid w:val="00F13AAA"/>
    <w:rsid w:val="00F15ECB"/>
    <w:rsid w:val="00F1647F"/>
    <w:rsid w:val="00F16CB2"/>
    <w:rsid w:val="00F17526"/>
    <w:rsid w:val="00F205BF"/>
    <w:rsid w:val="00F2082D"/>
    <w:rsid w:val="00F22341"/>
    <w:rsid w:val="00F2472B"/>
    <w:rsid w:val="00F25398"/>
    <w:rsid w:val="00F25855"/>
    <w:rsid w:val="00F26C21"/>
    <w:rsid w:val="00F26F51"/>
    <w:rsid w:val="00F271B6"/>
    <w:rsid w:val="00F27208"/>
    <w:rsid w:val="00F2733C"/>
    <w:rsid w:val="00F3023C"/>
    <w:rsid w:val="00F30885"/>
    <w:rsid w:val="00F3346C"/>
    <w:rsid w:val="00F34C8A"/>
    <w:rsid w:val="00F354FF"/>
    <w:rsid w:val="00F3560B"/>
    <w:rsid w:val="00F35BC0"/>
    <w:rsid w:val="00F35F5D"/>
    <w:rsid w:val="00F360ED"/>
    <w:rsid w:val="00F365BD"/>
    <w:rsid w:val="00F36E22"/>
    <w:rsid w:val="00F418E5"/>
    <w:rsid w:val="00F41B19"/>
    <w:rsid w:val="00F430BE"/>
    <w:rsid w:val="00F43F82"/>
    <w:rsid w:val="00F44157"/>
    <w:rsid w:val="00F4419A"/>
    <w:rsid w:val="00F44B68"/>
    <w:rsid w:val="00F44BE8"/>
    <w:rsid w:val="00F4557C"/>
    <w:rsid w:val="00F45C82"/>
    <w:rsid w:val="00F46FFD"/>
    <w:rsid w:val="00F472E7"/>
    <w:rsid w:val="00F47453"/>
    <w:rsid w:val="00F514FA"/>
    <w:rsid w:val="00F524C1"/>
    <w:rsid w:val="00F5272C"/>
    <w:rsid w:val="00F5394A"/>
    <w:rsid w:val="00F55669"/>
    <w:rsid w:val="00F556EC"/>
    <w:rsid w:val="00F56DC2"/>
    <w:rsid w:val="00F57A74"/>
    <w:rsid w:val="00F57DCE"/>
    <w:rsid w:val="00F61D73"/>
    <w:rsid w:val="00F62539"/>
    <w:rsid w:val="00F625D2"/>
    <w:rsid w:val="00F62C19"/>
    <w:rsid w:val="00F62F75"/>
    <w:rsid w:val="00F635E8"/>
    <w:rsid w:val="00F64270"/>
    <w:rsid w:val="00F64498"/>
    <w:rsid w:val="00F64554"/>
    <w:rsid w:val="00F6455A"/>
    <w:rsid w:val="00F64912"/>
    <w:rsid w:val="00F65622"/>
    <w:rsid w:val="00F65A82"/>
    <w:rsid w:val="00F65E5E"/>
    <w:rsid w:val="00F65F29"/>
    <w:rsid w:val="00F65F93"/>
    <w:rsid w:val="00F670FE"/>
    <w:rsid w:val="00F672EF"/>
    <w:rsid w:val="00F67852"/>
    <w:rsid w:val="00F67877"/>
    <w:rsid w:val="00F70818"/>
    <w:rsid w:val="00F709FC"/>
    <w:rsid w:val="00F70DE5"/>
    <w:rsid w:val="00F71112"/>
    <w:rsid w:val="00F71437"/>
    <w:rsid w:val="00F72077"/>
    <w:rsid w:val="00F72273"/>
    <w:rsid w:val="00F73675"/>
    <w:rsid w:val="00F73898"/>
    <w:rsid w:val="00F738A1"/>
    <w:rsid w:val="00F74902"/>
    <w:rsid w:val="00F754B0"/>
    <w:rsid w:val="00F75D63"/>
    <w:rsid w:val="00F75F7B"/>
    <w:rsid w:val="00F7606B"/>
    <w:rsid w:val="00F765A7"/>
    <w:rsid w:val="00F80577"/>
    <w:rsid w:val="00F836FF"/>
    <w:rsid w:val="00F8390B"/>
    <w:rsid w:val="00F8423B"/>
    <w:rsid w:val="00F853E8"/>
    <w:rsid w:val="00F854BB"/>
    <w:rsid w:val="00F85677"/>
    <w:rsid w:val="00F8602F"/>
    <w:rsid w:val="00F86A4D"/>
    <w:rsid w:val="00F86A84"/>
    <w:rsid w:val="00F901D0"/>
    <w:rsid w:val="00F904FF"/>
    <w:rsid w:val="00F90608"/>
    <w:rsid w:val="00F90F1B"/>
    <w:rsid w:val="00F91CAD"/>
    <w:rsid w:val="00F92573"/>
    <w:rsid w:val="00F92CE8"/>
    <w:rsid w:val="00F93AC5"/>
    <w:rsid w:val="00F93C8E"/>
    <w:rsid w:val="00F943D7"/>
    <w:rsid w:val="00F953B3"/>
    <w:rsid w:val="00F9571F"/>
    <w:rsid w:val="00F958AA"/>
    <w:rsid w:val="00F96499"/>
    <w:rsid w:val="00F96FFB"/>
    <w:rsid w:val="00F970CB"/>
    <w:rsid w:val="00F970CD"/>
    <w:rsid w:val="00F9725C"/>
    <w:rsid w:val="00FA09BF"/>
    <w:rsid w:val="00FA0D74"/>
    <w:rsid w:val="00FA11F9"/>
    <w:rsid w:val="00FA1252"/>
    <w:rsid w:val="00FA3628"/>
    <w:rsid w:val="00FA3C33"/>
    <w:rsid w:val="00FA40B3"/>
    <w:rsid w:val="00FA41AD"/>
    <w:rsid w:val="00FA4A22"/>
    <w:rsid w:val="00FA566F"/>
    <w:rsid w:val="00FA5805"/>
    <w:rsid w:val="00FA5874"/>
    <w:rsid w:val="00FA66BA"/>
    <w:rsid w:val="00FA6801"/>
    <w:rsid w:val="00FA73CB"/>
    <w:rsid w:val="00FA76A3"/>
    <w:rsid w:val="00FB0AF9"/>
    <w:rsid w:val="00FB0F89"/>
    <w:rsid w:val="00FB1F9D"/>
    <w:rsid w:val="00FB1FEC"/>
    <w:rsid w:val="00FB223A"/>
    <w:rsid w:val="00FB2738"/>
    <w:rsid w:val="00FB2EF0"/>
    <w:rsid w:val="00FB37F9"/>
    <w:rsid w:val="00FB3A9F"/>
    <w:rsid w:val="00FB449F"/>
    <w:rsid w:val="00FB4D88"/>
    <w:rsid w:val="00FB5201"/>
    <w:rsid w:val="00FB5F55"/>
    <w:rsid w:val="00FB64DA"/>
    <w:rsid w:val="00FB64FE"/>
    <w:rsid w:val="00FB670B"/>
    <w:rsid w:val="00FB6AD7"/>
    <w:rsid w:val="00FB752C"/>
    <w:rsid w:val="00FB76DF"/>
    <w:rsid w:val="00FC0D32"/>
    <w:rsid w:val="00FC1228"/>
    <w:rsid w:val="00FC1B36"/>
    <w:rsid w:val="00FC1B8C"/>
    <w:rsid w:val="00FC2D5B"/>
    <w:rsid w:val="00FC3061"/>
    <w:rsid w:val="00FC37CE"/>
    <w:rsid w:val="00FC3D9C"/>
    <w:rsid w:val="00FC5963"/>
    <w:rsid w:val="00FC5E90"/>
    <w:rsid w:val="00FC658A"/>
    <w:rsid w:val="00FC6B49"/>
    <w:rsid w:val="00FC735F"/>
    <w:rsid w:val="00FC7741"/>
    <w:rsid w:val="00FC782D"/>
    <w:rsid w:val="00FD0892"/>
    <w:rsid w:val="00FD0B76"/>
    <w:rsid w:val="00FD0D50"/>
    <w:rsid w:val="00FD2084"/>
    <w:rsid w:val="00FD248F"/>
    <w:rsid w:val="00FD25B4"/>
    <w:rsid w:val="00FD2A85"/>
    <w:rsid w:val="00FD2C3E"/>
    <w:rsid w:val="00FD2F70"/>
    <w:rsid w:val="00FD3800"/>
    <w:rsid w:val="00FD44FC"/>
    <w:rsid w:val="00FD4B5B"/>
    <w:rsid w:val="00FD4CF6"/>
    <w:rsid w:val="00FD52DD"/>
    <w:rsid w:val="00FD54D5"/>
    <w:rsid w:val="00FD5CAC"/>
    <w:rsid w:val="00FD6087"/>
    <w:rsid w:val="00FD70AE"/>
    <w:rsid w:val="00FE0C19"/>
    <w:rsid w:val="00FE0CB3"/>
    <w:rsid w:val="00FE0EEA"/>
    <w:rsid w:val="00FE1BE1"/>
    <w:rsid w:val="00FE1E44"/>
    <w:rsid w:val="00FE29F3"/>
    <w:rsid w:val="00FE2C42"/>
    <w:rsid w:val="00FE3711"/>
    <w:rsid w:val="00FE76E3"/>
    <w:rsid w:val="00FE7F07"/>
    <w:rsid w:val="00FF0026"/>
    <w:rsid w:val="00FF05E8"/>
    <w:rsid w:val="00FF065A"/>
    <w:rsid w:val="00FF131E"/>
    <w:rsid w:val="00FF252B"/>
    <w:rsid w:val="00FF2B3C"/>
    <w:rsid w:val="00FF3227"/>
    <w:rsid w:val="00FF38EB"/>
    <w:rsid w:val="00FF3E91"/>
    <w:rsid w:val="00FF4471"/>
    <w:rsid w:val="00FF4D67"/>
    <w:rsid w:val="00FF4E94"/>
    <w:rsid w:val="00FF6895"/>
    <w:rsid w:val="00FF79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1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9"/>
      </w:numPr>
      <w:spacing w:before="360"/>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9"/>
      </w:numPr>
      <w:tabs>
        <w:tab w:val="left" w:pos="851"/>
      </w:tabs>
      <w:spacing w:before="240"/>
      <w:outlineLvl w:val="1"/>
    </w:pPr>
    <w:rPr>
      <w:b/>
      <w:color w:val="00A1DE"/>
      <w:sz w:val="40"/>
      <w:szCs w:val="28"/>
    </w:rPr>
  </w:style>
  <w:style w:type="paragraph" w:styleId="Heading3">
    <w:name w:val="heading 3"/>
    <w:basedOn w:val="Normal"/>
    <w:next w:val="BodyText"/>
    <w:qFormat/>
    <w:rsid w:val="00F0239F"/>
    <w:pPr>
      <w:keepNext/>
      <w:numPr>
        <w:ilvl w:val="2"/>
        <w:numId w:val="9"/>
      </w:numPr>
      <w:spacing w:before="240"/>
      <w:outlineLvl w:val="2"/>
    </w:pPr>
    <w:rPr>
      <w:color w:val="00A1DE"/>
      <w:sz w:val="28"/>
    </w:rPr>
  </w:style>
  <w:style w:type="paragraph" w:styleId="Heading4">
    <w:name w:val="heading 4"/>
    <w:basedOn w:val="Normal"/>
    <w:next w:val="BodyText"/>
    <w:qFormat/>
    <w:rsid w:val="00F0239F"/>
    <w:pPr>
      <w:keepNext/>
      <w:numPr>
        <w:ilvl w:val="3"/>
        <w:numId w:val="9"/>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rsid w:val="00003CCA"/>
    <w:pPr>
      <w:numPr>
        <w:numId w:val="6"/>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1"/>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ind w:left="1134" w:hanging="567"/>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link w:val="HeadingCChar"/>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link w:val="TableNoteChar"/>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AC4800"/>
    <w:pPr>
      <w:numPr>
        <w:ilvl w:val="6"/>
        <w:numId w:val="9"/>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1"/>
      </w:numPr>
    </w:pPr>
    <w:rPr>
      <w:color w:val="002776"/>
    </w:rPr>
  </w:style>
  <w:style w:type="paragraph" w:customStyle="1" w:styleId="ExecFigureCaption">
    <w:name w:val="Exec Figure Caption"/>
    <w:basedOn w:val="CaptionAE"/>
    <w:next w:val="BodyText"/>
    <w:qFormat/>
    <w:rsid w:val="00AC4800"/>
    <w:pPr>
      <w:numPr>
        <w:ilvl w:val="3"/>
        <w:numId w:val="11"/>
      </w:numPr>
    </w:pPr>
    <w:rPr>
      <w:color w:val="002776"/>
    </w:rPr>
  </w:style>
  <w:style w:type="paragraph" w:customStyle="1" w:styleId="ExecTableCaption">
    <w:name w:val="Exec Table Caption"/>
    <w:basedOn w:val="CaptionAE"/>
    <w:next w:val="BodyText"/>
    <w:qFormat/>
    <w:rsid w:val="00AC4800"/>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312748"/>
    <w:rPr>
      <w:sz w:val="20"/>
    </w:rPr>
  </w:style>
  <w:style w:type="character" w:customStyle="1" w:styleId="CommentTextChar">
    <w:name w:val="Comment Text Char"/>
    <w:basedOn w:val="DefaultParagraphFont"/>
    <w:link w:val="CommentText"/>
    <w:rsid w:val="00312748"/>
    <w:rPr>
      <w:rFonts w:ascii="Calibri" w:hAnsi="Calibri"/>
      <w:lang w:eastAsia="en-US"/>
    </w:rPr>
  </w:style>
  <w:style w:type="paragraph" w:customStyle="1" w:styleId="Picture">
    <w:name w:val="Picture"/>
    <w:basedOn w:val="Normal"/>
    <w:next w:val="Normal"/>
    <w:rsid w:val="00D13B29"/>
    <w:pPr>
      <w:spacing w:after="240"/>
      <w:jc w:val="center"/>
    </w:pPr>
    <w:rPr>
      <w:sz w:val="28"/>
      <w:szCs w:val="28"/>
    </w:rPr>
  </w:style>
  <w:style w:type="character" w:customStyle="1" w:styleId="HeadingCChar">
    <w:name w:val="Heading C Char"/>
    <w:basedOn w:val="DefaultParagraphFont"/>
    <w:link w:val="HeadingC"/>
    <w:rsid w:val="00D13B29"/>
    <w:rPr>
      <w:rFonts w:ascii="Calibri" w:hAnsi="Calibri"/>
      <w:b/>
      <w:color w:val="002776"/>
      <w:sz w:val="24"/>
      <w:szCs w:val="28"/>
      <w:lang w:eastAsia="en-US"/>
    </w:rPr>
  </w:style>
  <w:style w:type="character" w:customStyle="1" w:styleId="TableNoteChar">
    <w:name w:val="Table Note Char"/>
    <w:basedOn w:val="DefaultParagraphFont"/>
    <w:link w:val="TableNote"/>
    <w:rsid w:val="00D13B29"/>
    <w:rPr>
      <w:rFonts w:ascii="Calibri" w:hAnsi="Calibr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index heading" w:semiHidden="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9"/>
      </w:numPr>
      <w:spacing w:before="360"/>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9"/>
      </w:numPr>
      <w:tabs>
        <w:tab w:val="left" w:pos="851"/>
      </w:tabs>
      <w:spacing w:before="240"/>
      <w:outlineLvl w:val="1"/>
    </w:pPr>
    <w:rPr>
      <w:b/>
      <w:color w:val="00A1DE"/>
      <w:sz w:val="40"/>
      <w:szCs w:val="28"/>
    </w:rPr>
  </w:style>
  <w:style w:type="paragraph" w:styleId="Heading3">
    <w:name w:val="heading 3"/>
    <w:basedOn w:val="Normal"/>
    <w:next w:val="BodyText"/>
    <w:qFormat/>
    <w:rsid w:val="00F0239F"/>
    <w:pPr>
      <w:keepNext/>
      <w:numPr>
        <w:ilvl w:val="2"/>
        <w:numId w:val="9"/>
      </w:numPr>
      <w:spacing w:before="240"/>
      <w:outlineLvl w:val="2"/>
    </w:pPr>
    <w:rPr>
      <w:color w:val="00A1DE"/>
      <w:sz w:val="28"/>
    </w:rPr>
  </w:style>
  <w:style w:type="paragraph" w:styleId="Heading4">
    <w:name w:val="heading 4"/>
    <w:basedOn w:val="Normal"/>
    <w:next w:val="BodyText"/>
    <w:qFormat/>
    <w:rsid w:val="00F0239F"/>
    <w:pPr>
      <w:keepNext/>
      <w:numPr>
        <w:ilvl w:val="3"/>
        <w:numId w:val="9"/>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rsid w:val="00003CCA"/>
    <w:pPr>
      <w:numPr>
        <w:numId w:val="6"/>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Ind w:w="0" w:type="dxa"/>
      <w:tblBorders>
        <w:bottom w:val="single" w:sz="12" w:space="0" w:color="00277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1"/>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blInd w:w="0" w:type="dxa"/>
      <w:tblCellMar>
        <w:top w:w="0" w:type="dxa"/>
        <w:left w:w="108" w:type="dxa"/>
        <w:bottom w:w="0" w:type="dxa"/>
        <w:right w:w="108" w:type="dxa"/>
      </w:tblCellMa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blInd w:w="0" w:type="dxa"/>
      <w:tblCellMar>
        <w:top w:w="0" w:type="dxa"/>
        <w:left w:w="108" w:type="dxa"/>
        <w:bottom w:w="0" w:type="dxa"/>
        <w:right w:w="108" w:type="dxa"/>
      </w:tblCellMa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Ind w:w="0" w:type="dxa"/>
      <w:tblCellMar>
        <w:top w:w="0" w:type="dxa"/>
        <w:left w:w="108" w:type="dxa"/>
        <w:bottom w:w="0" w:type="dxa"/>
        <w:right w:w="108" w:type="dxa"/>
      </w:tblCellMa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ind w:left="1134" w:hanging="567"/>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jc w:val="center"/>
      <w:tblInd w:w="0" w:type="dxa"/>
      <w:tblBorders>
        <w:top w:val="single" w:sz="12" w:space="0" w:color="002776"/>
        <w:bottom w:val="single" w:sz="12" w:space="0" w:color="002776"/>
        <w:insideH w:val="single" w:sz="4" w:space="0" w:color="A6A6A6"/>
        <w:insideV w:val="single" w:sz="4" w:space="0" w:color="A6A6A6"/>
      </w:tblBorders>
      <w:tblCellMar>
        <w:top w:w="0" w:type="dxa"/>
        <w:left w:w="108" w:type="dxa"/>
        <w:bottom w:w="0" w:type="dxa"/>
        <w:right w:w="108" w:type="dxa"/>
      </w:tblCellMar>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Ind w:w="0" w:type="dxa"/>
      <w:tblBorders>
        <w:top w:val="single" w:sz="4" w:space="0" w:color="931638"/>
        <w:bottom w:val="single" w:sz="4" w:space="0" w:color="931638"/>
      </w:tblBorders>
      <w:tblCellMar>
        <w:top w:w="0" w:type="dxa"/>
        <w:left w:w="108" w:type="dxa"/>
        <w:bottom w:w="0" w:type="dxa"/>
        <w:right w:w="108" w:type="dxa"/>
      </w:tblCellMar>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rsid w:val="00F35BC0"/>
    <w:pPr>
      <w:tabs>
        <w:tab w:val="center" w:pos="4513"/>
        <w:tab w:val="right" w:pos="9026"/>
      </w:tabs>
    </w:pPr>
    <w:rPr>
      <w:sz w:val="18"/>
    </w:rPr>
  </w:style>
  <w:style w:type="character" w:customStyle="1" w:styleId="FooterChar">
    <w:name w:val="Footer Char"/>
    <w:basedOn w:val="DefaultParagraphFont"/>
    <w:link w:val="Footer"/>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link w:val="HeadingCChar"/>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link w:val="TableNoteChar"/>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Ind w:w="0" w:type="dxa"/>
      <w:tblBorders>
        <w:top w:val="single" w:sz="12" w:space="0" w:color="002776"/>
        <w:bottom w:val="single" w:sz="12" w:space="0" w:color="002776"/>
      </w:tblBorders>
      <w:tblCellMar>
        <w:top w:w="0" w:type="dxa"/>
        <w:left w:w="108" w:type="dxa"/>
        <w:bottom w:w="0" w:type="dxa"/>
        <w:right w:w="108" w:type="dxa"/>
      </w:tblCellMar>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AC4800"/>
    <w:pPr>
      <w:numPr>
        <w:ilvl w:val="6"/>
        <w:numId w:val="9"/>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1"/>
      </w:numPr>
    </w:pPr>
    <w:rPr>
      <w:color w:val="002776"/>
    </w:rPr>
  </w:style>
  <w:style w:type="paragraph" w:customStyle="1" w:styleId="ExecFigureCaption">
    <w:name w:val="Exec Figure Caption"/>
    <w:basedOn w:val="CaptionAE"/>
    <w:next w:val="BodyText"/>
    <w:qFormat/>
    <w:rsid w:val="00AC4800"/>
    <w:pPr>
      <w:numPr>
        <w:ilvl w:val="3"/>
        <w:numId w:val="11"/>
      </w:numPr>
    </w:pPr>
    <w:rPr>
      <w:color w:val="002776"/>
    </w:rPr>
  </w:style>
  <w:style w:type="paragraph" w:customStyle="1" w:styleId="ExecTableCaption">
    <w:name w:val="Exec Table Caption"/>
    <w:basedOn w:val="CaptionAE"/>
    <w:next w:val="BodyText"/>
    <w:qFormat/>
    <w:rsid w:val="00AC4800"/>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rsid w:val="00312748"/>
    <w:rPr>
      <w:sz w:val="20"/>
    </w:rPr>
  </w:style>
  <w:style w:type="character" w:customStyle="1" w:styleId="CommentTextChar">
    <w:name w:val="Comment Text Char"/>
    <w:basedOn w:val="DefaultParagraphFont"/>
    <w:link w:val="CommentText"/>
    <w:rsid w:val="00312748"/>
    <w:rPr>
      <w:rFonts w:ascii="Calibri" w:hAnsi="Calibri"/>
      <w:lang w:eastAsia="en-US"/>
    </w:rPr>
  </w:style>
  <w:style w:type="paragraph" w:customStyle="1" w:styleId="Picture">
    <w:name w:val="Picture"/>
    <w:basedOn w:val="Normal"/>
    <w:next w:val="Normal"/>
    <w:rsid w:val="00D13B29"/>
    <w:pPr>
      <w:spacing w:after="240"/>
      <w:jc w:val="center"/>
    </w:pPr>
    <w:rPr>
      <w:sz w:val="28"/>
      <w:szCs w:val="28"/>
    </w:rPr>
  </w:style>
  <w:style w:type="character" w:customStyle="1" w:styleId="HeadingCChar">
    <w:name w:val="Heading C Char"/>
    <w:basedOn w:val="DefaultParagraphFont"/>
    <w:link w:val="HeadingC"/>
    <w:rsid w:val="00D13B29"/>
    <w:rPr>
      <w:rFonts w:ascii="Calibri" w:hAnsi="Calibri"/>
      <w:b/>
      <w:color w:val="002776"/>
      <w:sz w:val="24"/>
      <w:szCs w:val="28"/>
      <w:lang w:eastAsia="en-US"/>
    </w:rPr>
  </w:style>
  <w:style w:type="character" w:customStyle="1" w:styleId="TableNoteChar">
    <w:name w:val="Table Note Char"/>
    <w:basedOn w:val="DefaultParagraphFont"/>
    <w:link w:val="TableNote"/>
    <w:rsid w:val="00D13B29"/>
    <w:rPr>
      <w:rFonts w:ascii="Calibri" w:hAnsi="Calibri"/>
      <w:sz w:val="18"/>
      <w:lang w:eastAsia="en-US"/>
    </w:rPr>
  </w:style>
</w:styles>
</file>

<file path=word/webSettings.xml><?xml version="1.0" encoding="utf-8"?>
<w:webSettings xmlns:r="http://schemas.openxmlformats.org/officeDocument/2006/relationships" xmlns:w="http://schemas.openxmlformats.org/wordprocessingml/2006/main">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63069749">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29969484">
      <w:bodyDiv w:val="1"/>
      <w:marLeft w:val="0"/>
      <w:marRight w:val="0"/>
      <w:marTop w:val="0"/>
      <w:marBottom w:val="0"/>
      <w:divBdr>
        <w:top w:val="none" w:sz="0" w:space="0" w:color="auto"/>
        <w:left w:val="none" w:sz="0" w:space="0" w:color="auto"/>
        <w:bottom w:val="none" w:sz="0" w:space="0" w:color="auto"/>
        <w:right w:val="none" w:sz="0" w:space="0" w:color="auto"/>
      </w:divBdr>
    </w:div>
    <w:div w:id="273027723">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50766701">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4255129">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3308223">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53271226">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278755653">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6442777">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60222176">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717700436">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894266622">
      <w:bodyDiv w:val="1"/>
      <w:marLeft w:val="0"/>
      <w:marRight w:val="0"/>
      <w:marTop w:val="0"/>
      <w:marBottom w:val="0"/>
      <w:divBdr>
        <w:top w:val="none" w:sz="0" w:space="0" w:color="auto"/>
        <w:left w:val="none" w:sz="0" w:space="0" w:color="auto"/>
        <w:bottom w:val="none" w:sz="0" w:space="0" w:color="auto"/>
        <w:right w:val="none" w:sz="0" w:space="0" w:color="auto"/>
      </w:divBdr>
    </w:div>
    <w:div w:id="1914387889">
      <w:bodyDiv w:val="1"/>
      <w:marLeft w:val="0"/>
      <w:marRight w:val="0"/>
      <w:marTop w:val="0"/>
      <w:marBottom w:val="0"/>
      <w:divBdr>
        <w:top w:val="none" w:sz="0" w:space="0" w:color="auto"/>
        <w:left w:val="none" w:sz="0" w:space="0" w:color="auto"/>
        <w:bottom w:val="none" w:sz="0" w:space="0" w:color="auto"/>
        <w:right w:val="none" w:sz="0" w:space="0" w:color="auto"/>
      </w:divBdr>
    </w:div>
    <w:div w:id="1921677803">
      <w:bodyDiv w:val="1"/>
      <w:marLeft w:val="0"/>
      <w:marRight w:val="0"/>
      <w:marTop w:val="0"/>
      <w:marBottom w:val="0"/>
      <w:divBdr>
        <w:top w:val="none" w:sz="0" w:space="0" w:color="auto"/>
        <w:left w:val="none" w:sz="0" w:space="0" w:color="auto"/>
        <w:bottom w:val="none" w:sz="0" w:space="0" w:color="auto"/>
        <w:right w:val="none" w:sz="0" w:space="0" w:color="auto"/>
      </w:divBdr>
    </w:div>
    <w:div w:id="1931963496">
      <w:bodyDiv w:val="1"/>
      <w:marLeft w:val="0"/>
      <w:marRight w:val="0"/>
      <w:marTop w:val="0"/>
      <w:marBottom w:val="0"/>
      <w:divBdr>
        <w:top w:val="none" w:sz="0" w:space="0" w:color="auto"/>
        <w:left w:val="none" w:sz="0" w:space="0" w:color="auto"/>
        <w:bottom w:val="none" w:sz="0" w:space="0" w:color="auto"/>
        <w:right w:val="none" w:sz="0" w:space="0" w:color="auto"/>
      </w:divBdr>
      <w:divsChild>
        <w:div w:id="1591045939">
          <w:marLeft w:val="0"/>
          <w:marRight w:val="0"/>
          <w:marTop w:val="0"/>
          <w:marBottom w:val="0"/>
          <w:divBdr>
            <w:top w:val="none" w:sz="0" w:space="0" w:color="auto"/>
            <w:left w:val="none" w:sz="0" w:space="0" w:color="auto"/>
            <w:bottom w:val="none" w:sz="0" w:space="0" w:color="auto"/>
            <w:right w:val="none" w:sz="0" w:space="0" w:color="auto"/>
          </w:divBdr>
          <w:divsChild>
            <w:div w:id="230164930">
              <w:marLeft w:val="0"/>
              <w:marRight w:val="0"/>
              <w:marTop w:val="0"/>
              <w:marBottom w:val="0"/>
              <w:divBdr>
                <w:top w:val="none" w:sz="0" w:space="0" w:color="auto"/>
                <w:left w:val="none" w:sz="0" w:space="0" w:color="auto"/>
                <w:bottom w:val="none" w:sz="0" w:space="0" w:color="auto"/>
                <w:right w:val="none" w:sz="0" w:space="0" w:color="auto"/>
              </w:divBdr>
            </w:div>
          </w:divsChild>
        </w:div>
        <w:div w:id="1104812107">
          <w:marLeft w:val="0"/>
          <w:marRight w:val="0"/>
          <w:marTop w:val="0"/>
          <w:marBottom w:val="0"/>
          <w:divBdr>
            <w:top w:val="none" w:sz="0" w:space="0" w:color="auto"/>
            <w:left w:val="none" w:sz="0" w:space="0" w:color="auto"/>
            <w:bottom w:val="none" w:sz="0" w:space="0" w:color="auto"/>
            <w:right w:val="none" w:sz="0" w:space="0" w:color="auto"/>
          </w:divBdr>
          <w:divsChild>
            <w:div w:id="602690074">
              <w:marLeft w:val="0"/>
              <w:marRight w:val="0"/>
              <w:marTop w:val="0"/>
              <w:marBottom w:val="0"/>
              <w:divBdr>
                <w:top w:val="none" w:sz="0" w:space="0" w:color="auto"/>
                <w:left w:val="none" w:sz="0" w:space="0" w:color="auto"/>
                <w:bottom w:val="none" w:sz="0" w:space="0" w:color="auto"/>
                <w:right w:val="none" w:sz="0" w:space="0" w:color="auto"/>
              </w:divBdr>
            </w:div>
          </w:divsChild>
        </w:div>
        <w:div w:id="2004115145">
          <w:marLeft w:val="0"/>
          <w:marRight w:val="0"/>
          <w:marTop w:val="0"/>
          <w:marBottom w:val="0"/>
          <w:divBdr>
            <w:top w:val="none" w:sz="0" w:space="0" w:color="auto"/>
            <w:left w:val="none" w:sz="0" w:space="0" w:color="auto"/>
            <w:bottom w:val="none" w:sz="0" w:space="0" w:color="auto"/>
            <w:right w:val="none" w:sz="0" w:space="0" w:color="auto"/>
          </w:divBdr>
          <w:divsChild>
            <w:div w:id="98985490">
              <w:marLeft w:val="0"/>
              <w:marRight w:val="0"/>
              <w:marTop w:val="0"/>
              <w:marBottom w:val="0"/>
              <w:divBdr>
                <w:top w:val="none" w:sz="0" w:space="0" w:color="auto"/>
                <w:left w:val="none" w:sz="0" w:space="0" w:color="auto"/>
                <w:bottom w:val="none" w:sz="0" w:space="0" w:color="auto"/>
                <w:right w:val="none" w:sz="0" w:space="0" w:color="auto"/>
              </w:divBdr>
            </w:div>
          </w:divsChild>
        </w:div>
        <w:div w:id="440954940">
          <w:marLeft w:val="0"/>
          <w:marRight w:val="0"/>
          <w:marTop w:val="0"/>
          <w:marBottom w:val="0"/>
          <w:divBdr>
            <w:top w:val="none" w:sz="0" w:space="0" w:color="auto"/>
            <w:left w:val="none" w:sz="0" w:space="0" w:color="auto"/>
            <w:bottom w:val="none" w:sz="0" w:space="0" w:color="auto"/>
            <w:right w:val="none" w:sz="0" w:space="0" w:color="auto"/>
          </w:divBdr>
          <w:divsChild>
            <w:div w:id="2079546278">
              <w:marLeft w:val="0"/>
              <w:marRight w:val="0"/>
              <w:marTop w:val="0"/>
              <w:marBottom w:val="0"/>
              <w:divBdr>
                <w:top w:val="none" w:sz="0" w:space="0" w:color="auto"/>
                <w:left w:val="none" w:sz="0" w:space="0" w:color="auto"/>
                <w:bottom w:val="none" w:sz="0" w:space="0" w:color="auto"/>
                <w:right w:val="none" w:sz="0" w:space="0" w:color="auto"/>
              </w:divBdr>
            </w:div>
          </w:divsChild>
        </w:div>
        <w:div w:id="1506750085">
          <w:marLeft w:val="0"/>
          <w:marRight w:val="0"/>
          <w:marTop w:val="0"/>
          <w:marBottom w:val="0"/>
          <w:divBdr>
            <w:top w:val="none" w:sz="0" w:space="0" w:color="auto"/>
            <w:left w:val="none" w:sz="0" w:space="0" w:color="auto"/>
            <w:bottom w:val="none" w:sz="0" w:space="0" w:color="auto"/>
            <w:right w:val="none" w:sz="0" w:space="0" w:color="auto"/>
          </w:divBdr>
          <w:divsChild>
            <w:div w:id="1449929670">
              <w:marLeft w:val="0"/>
              <w:marRight w:val="0"/>
              <w:marTop w:val="0"/>
              <w:marBottom w:val="0"/>
              <w:divBdr>
                <w:top w:val="none" w:sz="0" w:space="0" w:color="auto"/>
                <w:left w:val="none" w:sz="0" w:space="0" w:color="auto"/>
                <w:bottom w:val="none" w:sz="0" w:space="0" w:color="auto"/>
                <w:right w:val="none" w:sz="0" w:space="0" w:color="auto"/>
              </w:divBdr>
            </w:div>
          </w:divsChild>
        </w:div>
        <w:div w:id="359166383">
          <w:marLeft w:val="0"/>
          <w:marRight w:val="0"/>
          <w:marTop w:val="0"/>
          <w:marBottom w:val="0"/>
          <w:divBdr>
            <w:top w:val="none" w:sz="0" w:space="0" w:color="auto"/>
            <w:left w:val="none" w:sz="0" w:space="0" w:color="auto"/>
            <w:bottom w:val="none" w:sz="0" w:space="0" w:color="auto"/>
            <w:right w:val="none" w:sz="0" w:space="0" w:color="auto"/>
          </w:divBdr>
          <w:divsChild>
            <w:div w:id="9747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41854798">
      <w:bodyDiv w:val="1"/>
      <w:marLeft w:val="0"/>
      <w:marRight w:val="0"/>
      <w:marTop w:val="0"/>
      <w:marBottom w:val="0"/>
      <w:divBdr>
        <w:top w:val="none" w:sz="0" w:space="0" w:color="auto"/>
        <w:left w:val="none" w:sz="0" w:space="0" w:color="auto"/>
        <w:bottom w:val="none" w:sz="0" w:space="0" w:color="auto"/>
        <w:right w:val="none" w:sz="0" w:space="0" w:color="auto"/>
      </w:divBdr>
    </w:div>
    <w:div w:id="2057125149">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hyperlink" Target="http://www.gbrmpa.gov.au/about-the-reef/animals" TargetMode="External"/><Relationship Id="rId21" Type="http://schemas.openxmlformats.org/officeDocument/2006/relationships/footer" Target="footer5.xml"/><Relationship Id="rId34" Type="http://schemas.openxmlformats.org/officeDocument/2006/relationships/image" Target="media/image12.emf"/><Relationship Id="rId42" Type="http://schemas.openxmlformats.org/officeDocument/2006/relationships/hyperlink" Target="http://www.ret.gov.au/Department/archive/tourism-review/tra/regional/tourism/Pages/default.aspx"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6.xml"/><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gbrmpa.gov.au"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yperlink" Target="http://travel.nationalgeographic.com/travel/world-heritage/great-barrier-reef/" TargetMode="External"/><Relationship Id="rId45" Type="http://schemas.openxmlformats.org/officeDocument/2006/relationships/header" Target="header10.xml"/><Relationship Id="rId53" Type="http://schemas.openxmlformats.org/officeDocument/2006/relationships/header" Target="header15.xml"/><Relationship Id="rId58" Type="http://schemas.openxmlformats.org/officeDocument/2006/relationships/hyperlink" Target="http://www.deloitteaccesseconomics"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8.xml"/><Relationship Id="rId28" Type="http://schemas.openxmlformats.org/officeDocument/2006/relationships/image" Target="media/image6.emf"/><Relationship Id="rId36" Type="http://schemas.openxmlformats.org/officeDocument/2006/relationships/image" Target="media/image14.png"/><Relationship Id="rId49" Type="http://schemas.openxmlformats.org/officeDocument/2006/relationships/header" Target="header12.xml"/><Relationship Id="rId57" Type="http://schemas.openxmlformats.org/officeDocument/2006/relationships/header" Target="header18.xml"/><Relationship Id="rId61" Type="http://schemas.openxmlformats.org/officeDocument/2006/relationships/header" Target="header19.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emf"/><Relationship Id="rId44" Type="http://schemas.openxmlformats.org/officeDocument/2006/relationships/image" Target="media/image17.wmf"/><Relationship Id="rId52" Type="http://schemas.openxmlformats.org/officeDocument/2006/relationships/header" Target="header14.xml"/><Relationship Id="rId60" Type="http://schemas.openxmlformats.org/officeDocument/2006/relationships/hyperlink" Target="http://www.deloitte.com/dtt/home/0%2C1044%2Csid%25253D5518%2C00.htm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hyperlink" Target="http://whc.unesco.org/en/list/154" TargetMode="External"/><Relationship Id="rId48" Type="http://schemas.openxmlformats.org/officeDocument/2006/relationships/footer" Target="footer8.xml"/><Relationship Id="rId56" Type="http://schemas.openxmlformats.org/officeDocument/2006/relationships/header" Target="header17.xml"/><Relationship Id="rId64" Type="http://schemas.openxmlformats.org/officeDocument/2006/relationships/header" Target="header21.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header" Target="header11.xml"/><Relationship Id="rId59" Type="http://schemas.openxmlformats.org/officeDocument/2006/relationships/hyperlink" Target="file:///\\ausydcl001\users$\NMongan\Kate\www.deloitte.com\au\about" TargetMode="External"/><Relationship Id="rId67" Type="http://schemas.microsoft.com/office/2007/relationships/stylesWithEffects" Target="stylesWithEffects.xml"/><Relationship Id="rId20" Type="http://schemas.openxmlformats.org/officeDocument/2006/relationships/header" Target="header6.xml"/><Relationship Id="rId41" Type="http://schemas.openxmlformats.org/officeDocument/2006/relationships/hyperlink" Target="http://www.ret.gov.au/tourism/research/tra/Pages/default.aspx" TargetMode="External"/><Relationship Id="rId54" Type="http://schemas.openxmlformats.org/officeDocument/2006/relationships/footer" Target="footer10.xml"/><Relationship Id="rId62" Type="http://schemas.openxmlformats.org/officeDocument/2006/relationships/header" Target="header20.xm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footer9.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F5808-17DD-49D0-B69F-7EB61B6DB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47</TotalTime>
  <Pages>52</Pages>
  <Words>12438</Words>
  <Characters>70903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83175</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Moses, Jessica (AU - Sydney)</dc:creator>
  <cp:lastModifiedBy>A06605</cp:lastModifiedBy>
  <cp:revision>14</cp:revision>
  <cp:lastPrinted>2013-05-21T00:43:00Z</cp:lastPrinted>
  <dcterms:created xsi:type="dcterms:W3CDTF">2013-05-07T04:48:00Z</dcterms:created>
  <dcterms:modified xsi:type="dcterms:W3CDTF">2013-06-13T03:00:00Z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September 2012</vt:lpwstr>
  </property>
  <property fmtid="{D5CDD505-2E9C-101B-9397-08002B2CF9AE}" pid="3" name="Report Company">
    <vt:lpwstr>Great Barrier Reef Marine Park Authority</vt:lpwstr>
  </property>
  <property fmtid="{D5CDD505-2E9C-101B-9397-08002B2CF9AE}" pid="4" name="Report Title">
    <vt:lpwstr>Economic Contribution of the Great Barrier Reef</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Economic Contribution of the Great Barrier Reef</vt:lpwstr>
  </property>
</Properties>
</file>