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511D" w:rsidRDefault="00D1511D">
      <w:pPr>
        <w:pStyle w:val="BodyText"/>
        <w:rPr>
          <w:rFonts w:ascii="Times New Roman"/>
        </w:rPr>
      </w:pPr>
    </w:p>
    <w:p w:rsidR="00D1511D" w:rsidRDefault="00D1511D">
      <w:pPr>
        <w:pStyle w:val="BodyText"/>
        <w:rPr>
          <w:rFonts w:ascii="Times New Roman"/>
        </w:rPr>
      </w:pPr>
    </w:p>
    <w:p w:rsidR="00D1511D" w:rsidRDefault="00D1511D">
      <w:pPr>
        <w:pStyle w:val="BodyText"/>
        <w:rPr>
          <w:rFonts w:ascii="Times New Roman"/>
        </w:rPr>
      </w:pPr>
    </w:p>
    <w:p w:rsidR="00D1511D" w:rsidRDefault="00D1511D">
      <w:pPr>
        <w:pStyle w:val="BodyText"/>
        <w:rPr>
          <w:rFonts w:ascii="Times New Roman"/>
        </w:rPr>
      </w:pPr>
    </w:p>
    <w:p w:rsidR="00D1511D" w:rsidRDefault="00D1511D">
      <w:pPr>
        <w:pStyle w:val="BodyText"/>
        <w:rPr>
          <w:rFonts w:ascii="Times New Roman"/>
        </w:rPr>
      </w:pPr>
    </w:p>
    <w:p w:rsidR="00D1511D" w:rsidRDefault="00D1511D">
      <w:pPr>
        <w:pStyle w:val="BodyText"/>
        <w:rPr>
          <w:rFonts w:ascii="Times New Roman"/>
        </w:rPr>
      </w:pPr>
    </w:p>
    <w:p w:rsidR="00D1511D" w:rsidRDefault="00D1511D">
      <w:pPr>
        <w:pStyle w:val="BodyText"/>
        <w:rPr>
          <w:rFonts w:ascii="Times New Roman"/>
        </w:rPr>
      </w:pPr>
    </w:p>
    <w:p w:rsidR="00D1511D" w:rsidRDefault="00D1511D">
      <w:pPr>
        <w:pStyle w:val="BodyText"/>
        <w:rPr>
          <w:rFonts w:ascii="Times New Roman"/>
        </w:rPr>
      </w:pPr>
    </w:p>
    <w:p w:rsidR="00D1511D" w:rsidRDefault="00D1511D">
      <w:pPr>
        <w:pStyle w:val="BodyText"/>
        <w:rPr>
          <w:rFonts w:ascii="Times New Roman"/>
        </w:rPr>
      </w:pPr>
    </w:p>
    <w:p w:rsidR="00D1511D" w:rsidRDefault="00D1511D">
      <w:pPr>
        <w:pStyle w:val="BodyText"/>
        <w:rPr>
          <w:rFonts w:ascii="Times New Roman"/>
        </w:rPr>
      </w:pPr>
    </w:p>
    <w:p w:rsidR="00D1511D" w:rsidRDefault="00D1511D">
      <w:pPr>
        <w:pStyle w:val="BodyText"/>
        <w:spacing w:before="1"/>
        <w:rPr>
          <w:rFonts w:ascii="Times New Roman"/>
          <w:sz w:val="17"/>
        </w:rPr>
      </w:pPr>
    </w:p>
    <w:p w:rsidR="00D1511D" w:rsidRDefault="003F0CB3">
      <w:pPr>
        <w:spacing w:before="113"/>
        <w:ind w:left="2690"/>
        <w:rPr>
          <w:rFonts w:ascii="MyriadPro-Semibold"/>
          <w:b/>
          <w:sz w:val="56"/>
        </w:rPr>
      </w:pPr>
      <w:r>
        <w:pict>
          <v:group id="_x0000_s1331" alt="" style="position:absolute;left:0;text-align:left;margin-left:53.8pt;margin-top:-102.85pt;width:64pt;height:46.9pt;z-index:251660288;mso-position-horizontal-relative:page" coordorigin="1076,-2057" coordsize="1280,938">
            <v:shape id="_x0000_s1332" alt="" style="position:absolute;left:1504;top:-1805;width:417;height:502" coordorigin="1505,-1805" coordsize="417,502" o:spt="100" adj="0,,0" path="m1508,-1306r-3,3l1506,-1304r1,-1l1508,-1306t27,-227l1532,-1536r-8,l1520,-1533r,7l1524,-1523r8,l1535,-1526r,-7m1544,-1550r-3,-3l1534,-1553r-3,3l1531,-1543r3,3l1541,-1540r3,-3l1544,-1550t14,19l1555,-1534r-8,l1543,-1531r,7l1547,-1521r8,l1558,-1524r,-7m1645,-1740r-1,-4l1643,-1740r2,m1828,-1804r,l1828,-1805r-7,l1821,-1798r,120l1821,-1671r,51l1820,-1607r-4,11l1807,-1590r-54,32l1753,-1671r68,l1821,-1678r-68,l1753,-1798r68,l1821,-1805r-74,l1747,-1798r,120l1747,-1671r,117l1722,-1539r-1,l1719,-1538r-2,1l1712,-1537r-2,-1l1708,-1539r-25,-15l1683,-1558r,-113l1747,-1671r,-7l1683,-1678r,-44l1683,-1728r,-1l1683,-1731r,-11l1683,-1745r,-1l1683,-1752r,-46l1747,-1798r,-7l1677,-1805r,7l1677,-1752r,30l1677,-1678r,7l1677,-1651r-6,5l1664,-1644r7,-9l1675,-1657r-3,1l1664,-1653r6,-5l1670,-1658r2,-6l1671,-1666r-7,8l1659,-1659r-1,14l1657,-1638r-6,7l1651,-1632r2,-17l1642,-1649r-7,l1633,-1645r2,l1638,-1641r,4l1639,-1632r-6,l1630,-1638r,-3l1630,-1644r,-1l1630,-1644r,l1630,-1645r,-8l1630,-1655r-12,-11l1613,-1666r,5l1620,-1659r,6l1617,-1653r-4,-5l1613,-1652r4,1l1617,-1645r-5,-4l1612,-1644r3,l1615,-1641r-2,-1l1612,-1642r-1,2l1612,-1639r1,1l1613,-1637r-1,1l1612,-1617r9,7l1632,-1610r,-4l1632,-1615r1,2l1634,-1615r1,-1l1635,-1608r-5,-2l1630,-1601r7,-5l1637,-1594r,l1637,-1594r,5l1644,-1594r,l1644,-1594r2,l1645,-1588r4,l1651,-1589r,-5l1652,-1594r8,5l1660,-1594r,-2l1660,-1598r-3,2l1657,-1604r10,l1666,-1604r-1,-2l1665,-1606r-1,-2l1663,-1606r,-2l1662,-1609r,l1662,-1609r-5,-7l1655,-1620r18,12l1673,-1620r1,-8l1674,-1629r-1,-1l1669,-1629r-2,1l1668,-1630r1,-1l1672,-1635r,l1674,-1636r,-3l1670,-1637r-4,2l1673,-1644r4,-6l1677,-1558r-54,-32l1614,-1596r-4,-11l1609,-1620r,-51l1677,-1671r,-7l1658,-1678r,-8l1658,-1697r,-3l1658,-1722r19,l1677,-1752r,l1677,-1736r-4,1l1673,-1731r-3,-2l1666,-1731r,-4l1663,-1736r3,-2l1664,-1742r4,1l1668,-1742r2,-3l1672,-1741r4,-1l1674,-1738r3,2l1677,-1752r-14,l1663,-1729r-11,l1653,-1730r2,-2l1655,-1733r-2,-1l1652,-1734r,43l1648,-1690r,4l1645,-1688r-3,2l1642,-1690r-4,-1l1641,-1693r-2,-4l1643,-1696r,-1l1645,-1700r2,4l1651,-1697r-2,4l1652,-1691r,-43l1650,-1734r,4l1646,-1730r,l1646,-1733r2,-1l1649,-1735r-14,l1637,-1737r-2,l1635,-1734r-1,6l1632,-1728r,6l1632,-1678r-23,l1609,-1722r23,l1632,-1728r-4,l1631,-1731r4,-3l1635,-1737r-1,-1l1633,-1741r-1,-1l1629,-1743r2,-2l1631,-1745r1,1l1634,-1743r,-1l1634,-1745r1,-1l1644,-1746r,2l1645,-1746r10,l1663,-1729r,-23l1658,-1752r,-24l1658,-1787r,-3l1658,-1798r19,l1677,-1805r-25,l1652,-1781r-4,1l1648,-1776r-3,-3l1642,-1776r,-4l1638,-1781r3,-3l1639,-1787r4,l1643,-1787r2,-3l1647,-1787r4,l1649,-1784r3,3l1652,-1805r-20,l1632,-1798r,46l1625,-1752r,16l1622,-1735r,4l1618,-1733r-3,2l1615,-1735r-4,-1l1614,-1738r-2,-4l1616,-1741r,-1l1618,-1745r2,4l1624,-1742r-2,4l1625,-1736r,-16l1609,-1752r,-46l1632,-1798r,-7l1602,-1805r,1l1602,-1804r,182l1604,-1610r3,11l1613,-1590r7,5l1707,-1533r2,2l1711,-1529r6,l1720,-1531r2,-1l1730,-1537r35,-21l1810,-1585r7,-5l1822,-1599r4,-11l1827,-1622r,-49l1827,-1678r1,-120l1828,-1804t63,230l1888,-1577r-8,l1876,-1574r,7l1880,-1564r8,l1891,-1567r,-7m1921,-1592r-3,-3l1910,-1595r-4,3l1906,-1585r4,3l1918,-1582r3,-3l1921,-1592e" fillcolor="#005695" stroked="f">
              <v:stroke joinstyle="round"/>
              <v:formulas/>
              <v:path arrowok="t" o:connecttype="segments"/>
            </v:shape>
            <v:shape id="_x0000_s1333" alt="" style="position:absolute;left:1852;top:-1711;width:2;height:2" coordorigin="1852,-1711" coordsize="1,1" path="m1852,-1711r,l1852,-1710e" filled="f" strokecolor="#231f20" strokeweight="0">
              <v:path arrowok="t"/>
            </v:shape>
            <v:shape id="_x0000_s1334" alt="" style="position:absolute;left:1549;top:-1655;width:463;height:108" coordorigin="1550,-1655" coordsize="463,108" o:spt="100" adj="0,,0" path="m1565,-1572r-1,-4l1563,-1579r-6,-1l1554,-1579r-3,1l1550,-1574r1,2l1553,-1569r3,1l1559,-1568r3,-2l1565,-1572t4,-58l1567,-1642r-2,-4l1561,-1644r-1,4l1556,-1628r-2,14l1554,-1601r4,12l1563,-1589r-1,-5l1562,-1597r5,-11l1569,-1619r,-11m1744,-1643r-1,-1l1740,-1647r-5,-8l1728,-1649r-4,3l1722,-1642r1,6l1725,-1626r4,9l1731,-1607r-2,-1l1727,-1611r-2,-1l1720,-1619r-3,-3l1703,-1619r-9,-10l1690,-1627r2,5l1693,-1618r-5,3l1688,-1612r3,2l1691,-1608r-1,1l1688,-1607r-1,1l1687,-1599r4,6l1699,-1573r16,-7l1726,-1579r3,-1l1732,-1582r6,-4l1741,-1592r1,-6l1744,-1606r-1,-1l1740,-1612r-5,-5l1734,-1626r-2,-8l1730,-1644r13,9l1744,-1643t144,44l1888,-1603r-2,-4l1880,-1608r-3,3l1876,-1603r-2,1l1875,-1599r1,4l1880,-1593r4,-1l1887,-1595r1,-4m1909,-1608r,-15l1902,-1637r,-7l1896,-1643r,7l1894,-1629r-2,7l1893,-1612r3,9l1901,-1594r3,-3l1909,-1608t77,45l1985,-1564r-3,-6l1975,-1568r-3,4l1971,-1560r3,2l1976,-1555r4,2l1983,-1556r3,-3l1986,-1561r,-2m2012,-1555r-1,-3l2009,-1561r-2,-2l2003,-1563r-4,1l1998,-1558r-2,3l1998,-1551r4,4l2007,-1549r4,-2l2012,-1555e" fillcolor="#005695" stroked="f">
              <v:stroke joinstyle="round"/>
              <v:formulas/>
              <v:path arrowok="t" o:connecttype="segments"/>
            </v:shape>
            <v:shape id="_x0000_s1335" alt="" style="position:absolute;left:2086;top:-1842;width:156;height:154" coordorigin="2086,-1842" coordsize="156,154" o:spt="100" adj="0,,0" path="m2104,-1732r-3,-10l2103,-1749r-1,-11l2099,-1769r-4,-9l2094,-1780r,-4l2091,-1783r-3,11l2086,-1761r,12l2089,-1739r4,4l2093,-1729r5,2l2104,-1732t45,12l2148,-1726r-2,-2l2144,-1730r-2,-1l2139,-1731r-2,1l2134,-1728r-3,3l2132,-1721r2,3l2137,-1714r4,l2146,-1716r3,-4m2163,-1736r-1,-14l2157,-1762r-4,-2l2151,-1769r,-4l2150,-1776r-2,-2l2145,-1776r-3,7l2140,-1762r,8l2143,-1742r8,10l2157,-1722r2,-2l2163,-1736t27,-37l2190,-1777r,-6l2188,-1785r-3,-2l2182,-1787r-4,2l2176,-1781r,4l2177,-1774r4,4l2185,-1772r5,-1m2202,-1808r-3,-13l2192,-1832r-3,-3l2191,-1841r-5,-1l2183,-1829r1,13l2188,-1804r5,12l2194,-1789r-1,6l2198,-1783r4,-12l2202,-1808t5,39l2205,-1772r-5,-4l2196,-1773r-3,2l2190,-1768r2,4l2193,-1760r4,2l2201,-1759r4,-1l2206,-1765r1,-4m2218,-1760r-13,4l2194,-1750r-8,11l2181,-1732r-7,7l2175,-1717r4,l2182,-1720r2,-2l2195,-1726r9,-7l2209,-1744r,-5l2217,-1754r1,-6m2222,-1787r-3,-1l2216,-1790r-2,-1l2211,-1790r-4,1l2206,-1785r,4l2207,-1779r2,l2211,-1777r3,2l2217,-1779r2,-2l2220,-1783r2,-4m2223,-1737r-3,l2210,-1726r-9,11l2192,-1704r-7,13l2190,-1689r4,-4l2199,-1695r10,-7l2216,-1713r5,-12l2223,-1737t5,-72l2226,-1813r-3,-4l2220,-1817r-4,l2212,-1815r-2,4l2211,-1807r2,3l2217,-1802r4,l2224,-1804r4,-5m2242,-1786r-1,-3l2239,-1791r-3,-2l2233,-1793r-3,1l2227,-1789r-1,3l2227,-1783r1,2l2231,-1779r3,2l2238,-1779r3,-4l2242,-1785r,-1e" fillcolor="#005695" stroked="f">
              <v:stroke joinstyle="round"/>
              <v:formulas/>
              <v:path arrowok="t" o:connecttype="segments"/>
            </v:shape>
            <v:shape id="_x0000_s1336" alt="" style="position:absolute;left:1962;top:-1710;width:328;height:302" coordorigin="1962,-1709" coordsize="328,302" o:spt="100" adj="0,,0" path="m1977,-1544r-2,-1l1973,-1549r-8,l1963,-1544r-1,3l1964,-1538r3,1l1971,-1534r3,-4l1976,-1540r1,-1l1977,-1544t21,5l1997,-1542r-1,-3l1993,-1545r-3,-1l1988,-1545r-2,1l1985,-1543r-1,2l1985,-1538r1,1l1988,-1536r4,3l1994,-1536r3,-1l1998,-1539t11,116l2006,-1431r-10,l1994,-1423r,2l1993,-1419r2,2l1997,-1416r3,2l2003,-1414r4,-2l2008,-1420r1,-3m2016,-1445r-14,-2l1987,-1446r-13,4l1962,-1434r,2l1973,-1432r11,l1994,-1434r10,-4l2007,-1441r9,1l2016,-1441r,-4m2085,-1544r-1,-5l2081,-1552r-2,-2l2076,-1554r-5,2l2069,-1548r1,5l2073,-1542r2,1l2078,-1540r3,-3l2085,-1544t2,120l2072,-1425r-16,1l2042,-1419r-12,9l2032,-1408r22,l2067,-1408r11,-8l2087,-1422r,-2m2106,-1536r-2,-4l2103,-1543r-4,-2l2096,-1545r-3,1l2092,-1541r-3,2l2089,-1535r2,1l2094,-1531r3,l2100,-1532r2,-2l2106,-1536t20,l2126,-1540r-3,-3l2119,-1547r-5,2l2113,-1543r-2,2l2111,-1539r2,3l2115,-1532r5,-2l2122,-1534r4,-2m2150,-1483r-2,-5l2144,-1495r-3,-4l2139,-1503r-3,-2l2133,-1509r-7,-6l2117,-1522r-11,2l2106,-1518r3,2l2110,-1514r6,10l2125,-1495r11,7l2146,-1482r1,l2149,-1482r1,-1m2153,-1700r-1,-4l2150,-1707r-3,-2l2143,-1708r-3,1l2138,-1705r-1,3l2137,-1697r5,1l2146,-1695r4,-2l2153,-1700t13,163l2164,-1541r-5,l2157,-1541r-3,1l2150,-1537r2,3l2153,-1530r5,2l2162,-1530r2,-1l2166,-1534r,-3m2174,-1515r,-5l2172,-1523r-3,-3l2165,-1525r-2,2l2159,-1522r1,5l2161,-1515r3,2l2168,-1513r2,-2l2174,-1515t2,-185l2174,-1703r-2,-2l2170,-1707r-2,-2l2166,-1708r-3,2l2159,-1704r1,5l2161,-1695r4,1l2169,-1695r1,-1l2172,-1697r1,-1l2176,-1700t13,29l2184,-1671r-4,l2189,-1671t1,168l2190,-1505r-3,-4l2181,-1513r-4,5l2174,-1506r2,3l2177,-1501r3,3l2183,-1499r3,l2187,-1501r3,-2m2193,-1524r-1,-4l2190,-1530r-4,-1l2185,-1530r-3,l2181,-1529r-2,2l2178,-1524r1,3l2181,-1519r3,2l2187,-1517r3,-1l2193,-1521r,-3m2210,-1677r-1,-4l2207,-1684r-3,l2200,-1684r-2,2l2196,-1680r,4l2197,-1673r3,2l2204,-1672r2,-2l2210,-1677t8,19l2217,-1659r-13,l2195,-1670r-3,l2179,-1670r-8,l2170,-1665r5,3l2181,-1661r4,4l2194,-1649r14,-1l2217,-1655r1,-1l2218,-1658t14,-33l2231,-1694r-3,-2l2225,-1697r-3,1l2219,-1695r-2,3l2217,-1690r-1,3l2219,-1686r2,2l2224,-1683r3,-1l2229,-1685r3,-3l2232,-1691t8,130l2230,-1564r-4,6l2225,-1556r-1,4l2226,-1551r3,2l2231,-1547r3,l2237,-1549r2,-2l2240,-1554r,-7m2242,-1675r-3,-1l2238,-1678r-2,-1l2232,-1680r-4,2l2226,-1675r-1,3l2225,-1668r5,4l2234,-1664r3,-1l2241,-1667r,-1l2241,-1672r1,-3m2247,-1598r-3,-1l2240,-1598r-17,9l2213,-1579r-9,13l2195,-1555r1,2l2198,-1553r1,l2214,-1560r13,-11l2237,-1584r10,-14m2258,-1688r-2,-4l2252,-1694r-4,2l2246,-1691r-2,3l2244,-1686r-1,4l2248,-1681r2,l2254,-1681r2,-3l2258,-1688t5,118l2262,-1574r-2,-2l2258,-1577r-2,-1l2253,-1579r-4,2l2247,-1574r,3l2249,-1569r,2l2252,-1566r2,1l2257,-1566r3,-2l2263,-1570t3,65l2265,-1508r-1,-2l2262,-1513r-3,-2l2255,-1514r-4,1l2250,-1509r-4,1l2240,-1515r-10,-9l2219,-1524r-5,4l2222,-1518r1,4l2228,-1502r12,8l2252,-1490r1,1l2256,-1488r,-2l2256,-1493r-2,-3l2251,-1498r,-5l2256,-1499r3,-2l2263,-1503r3,-2m2270,-1552r-1,-4l2266,-1560r-5,2l2258,-1558r,2l2256,-1555r-3,5l2257,-1547r4,2l2265,-1546r4,-2l2270,-1552t12,22l2282,-1532r,-3l2280,-1536r-6,-1l2268,-1539r-13,-3l2242,-1544r-13,5l2226,-1537r-6,-2l2219,-1534r13,4l2246,-1527r13,1l2273,-1531r2,-1l2282,-1530t4,11l2284,-1520r-3,-2l2278,-1524r-3,1l2272,-1522r-2,2l2269,-1518r-1,3l2270,-1513r2,2l2275,-1511r6,2l2283,-1513r2,-2l2286,-1519t3,24l2288,-1499r-2,-2l2285,-1502r-2,-1l2279,-1505r-3,2l2273,-1501r,3l2271,-1496r2,3l2275,-1491r3,3l2282,-1490r4,-2l2289,-1495t1,-77l2288,-1576r-3,l2283,-1580r-4,2l2277,-1577r-4,2l2273,-1572r1,4l2277,-1567r2,3l2282,-1563r3,-1l2286,-1567r4,-5e" fillcolor="#005695" stroked="f">
              <v:stroke joinstyle="round"/>
              <v:formulas/>
              <v:path arrowok="t" o:connecttype="segments"/>
            </v:shape>
            <v:shape id="_x0000_s1337" alt="" style="position:absolute;left:1184;top:-1835;width:146;height:135" coordorigin="1185,-1834" coordsize="146,135" o:spt="100" adj="0,,0" path="m1227,-1796r-1,-3l1223,-1800r-3,-1l1218,-1800r-4,l1213,-1797r-1,3l1212,-1791r2,2l1216,-1787r6,l1225,-1788r1,-4l1227,-1796t2,28l1228,-1773r-2,-4l1222,-1779r-4,1l1215,-1777r-2,4l1213,-1769r2,3l1218,-1762r5,-1l1225,-1766r4,-2m1238,-1704r-7,-6l1225,-1717r-8,-5l1209,-1724r-4,-2l1202,-1728r-9,l1190,-1726r-5,-2l1185,-1724r10,5l1203,-1714r9,6l1221,-1703r6,l1233,-1700r5,-4m1246,-1779r-1,-3l1242,-1786r-4,1l1235,-1783r-3,4l1234,-1775r2,2l1239,-1771r3,-1l1245,-1773r1,-3l1246,-1779t1,23l1246,-1760r-4,-2l1239,-1764r-3,1l1234,-1763r-1,2l1231,-1758r,3l1233,-1752r2,2l1238,-1747r3,-2l1244,-1750r3,-3l1247,-1756t4,-58l1249,-1822r-3,-7l1239,-1834r-1,l1236,-1834r-1,1l1237,-1820r,13l1240,-1795r7,10l1249,-1785r,4l1251,-1783r-1,-2l1249,-1792r,-13l1251,-1814t4,91l1255,-1724r-7,-6l1245,-1736r-6,-7l1234,-1750r-8,-1l1220,-1756r,l1217,-1756r-5,-4l1211,-1755r7,11l1228,-1733r11,9l1252,-1720r2,l1255,-1723t11,-31l1264,-1758r-2,-4l1260,-1765r-5,1l1252,-1762r-2,3l1251,-1755r2,3l1255,-1749r5,-1l1261,-1752r5,-2m1271,-1777r-1,-4l1268,-1785r-6,-3l1259,-1784r-1,2l1254,-1779r3,2l1259,-1774r3,3l1265,-1772r2,-2l1271,-1777t37,68l1307,-1713r-2,-2l1302,-1718r-5,2l1294,-1713r-2,3l1295,-1707r2,2l1299,-1702r5,-2l1306,-1706r2,-3m1331,-1710r-1,-5l1330,-1719r-4,l1323,-1720r-4,2l1316,-1715r1,4l1319,-1708r2,1l1325,-1706r3,-2l1331,-1710e" fillcolor="#005695" stroked="f">
              <v:stroke joinstyle="round"/>
              <v:formulas/>
              <v:path arrowok="t" o:connecttype="segments"/>
            </v:shape>
            <v:shape id="_x0000_s1338" alt="" style="position:absolute;left:1075;top:-2057;width:1280;height:877" coordorigin="1076,-2057" coordsize="1280,877" o:spt="100" adj="0,,0" path="m1128,-1375r-2,-2l1126,-1379r-2,-3l1120,-1383r-3,1l1113,-1380r-1,3l1113,-1374r2,4l1117,-1368r5,l1124,-1369r2,-2l1127,-1373r1,-2m1139,-1356r-1,-5l1136,-1363r-3,-3l1129,-1365r-3,2l1124,-1360r1,4l1126,-1353r4,2l1134,-1351r3,-1l1139,-1356t12,-22l1148,-1383r-2,-5l1139,-1386r-3,3l1135,-1380r1,5l1139,-1373r4,1l1146,-1373r2,-2l1151,-1378t7,-184l1157,-1564r-1,-4l1153,-1570r-3,l1146,-1569r-3,3l1143,-1562r1,2l1146,-1557r2,1l1151,-1555r2,-2l1155,-1558r1,-2l1158,-1562t3,201l1158,-1364r-8,l1147,-1361r,8l1150,-1350r8,l1161,-1353r,-8m1174,-1368r-1,-5l1172,-1376r-2,-4l1166,-1380r-4,l1159,-1378r-2,3l1157,-1372r4,4l1164,-1365r5,-2l1174,-1368t,-210l1173,-1582r-3,-1l1167,-1585r-3,1l1160,-1580r2,4l1163,-1573r4,2l1170,-1573r4,l1172,-1577r2,-1m1184,-1554r-1,-4l1181,-1560r-2,-4l1176,-1564r-4,2l1169,-1558r-1,3l1170,-1551r4,4l1179,-1549r2,-2l1184,-1554t13,-20l1196,-1576r,-2l1194,-1580r-3,-1l1188,-1581r-3,1l1182,-1578r-1,4l1183,-1571r1,1l1187,-1568r3,l1194,-1568r2,-4l1197,-1574t6,20l1202,-1557r-2,-3l1198,-1563r-4,1l1191,-1561r-2,2l1189,-1555r,3l1192,-1551r2,2l1196,-1549r2,-2l1200,-1551r,-2l1203,-1554t1,186l1198,-1377r-5,-9l1187,-1394r-9,-6l1176,-1402r-4,-1l1171,-1404r-1,-1l1167,-1404r-3,-5l1162,-1404r8,7l1176,-1388r5,9l1189,-1372r5,2l1200,-1364r4,-4m1206,-1540r-1,-1l1191,-1542r-14,1l1164,-1537r-12,7l1154,-1528r13,2l1180,-1527r13,-4l1204,-1537r2,-3m1206,-1700r-1,-5l1202,-1707r-5,l1194,-1706r-1,3l1192,-1700r1,2l1194,-1696r2,1l1201,-1693r4,-2l1206,-1700t14,174l1219,-1529r-1,-1l1207,-1523r-11,7l1187,-1507r-9,11l1180,-1493r10,-3l1201,-1496r8,-9l1212,-1511r4,-4l1218,-1524r2,-2m1221,-1564r-5,-4l1212,-1566r-4,2l1209,-1560r,3l1211,-1555r1,3l1219,-1553r1,-3l1221,-1558r,-6m1225,-1575r-3,l1220,-1577r-5,-10l1209,-1598r-7,-9l1193,-1615r-4,l1189,-1614r2,13l1196,-1590r7,10l1213,-1573r5,-1l1221,-1569r3,-3l1225,-1574r,-1m1227,-1340r-7,-2l1215,-1338r,2l1213,-1335r,3l1214,-1329r3,1l1220,-1327r4,-1l1226,-1330r1,-4l1227,-1340t10,-24l1236,-1368r1,-3l1236,-1373r-4,l1227,-1373r-2,1l1224,-1370r-2,3l1226,-1365r1,2l1232,-1362r2,-2l1237,-1364t1,-299l1236,-1666r-1,-5l1227,-1676r-3,7l1224,-1667r-2,4l1225,-1661r2,1l1230,-1659r3,-2l1234,-1662r4,-1m1244,-1511r-2,-3l1240,-1516r-2,-3l1235,-1519r-3,2l1227,-1514r3,5l1232,-1507r3,2l1239,-1506r2,-2l1244,-1511t4,-175l1247,-1687r-3,l1242,-1686r6,m1249,-1531r-1,-3l1247,-1537r-3,-2l1240,-1540r-2,1l1236,-1537r-2,1l1233,-1531r3,3l1238,-1526r3,1l1244,-1525r2,-2l1247,-1529r2,-2m1252,-1678r-1,-4l1249,-1685r,-1l1241,-1686r-4,l1237,-1683r-2,3l1237,-1677r2,2l1241,-1673r3,2l1246,-1673r4,-2l1252,-1678t4,19l1255,-1662r-2,-5l1248,-1669r-5,4l1241,-1661r1,4l1246,-1655r2,1l1251,-1653r2,-2l1253,-1658r3,-1m1259,-1339r-2,l1248,-1333r-9,7l1232,-1319r-6,9l1225,-1306r-7,4l1220,-1298r10,-3l1239,-1307r7,-8l1251,-1325r2,-5l1259,-1333r,-6m1266,-1518r-1,-1l1264,-1519r,-1l1263,-1524r-5,l1255,-1524r-4,2l1249,-1518r2,3l1253,-1512r3,1l1260,-1511r2,-2l1265,-1514r1,-4m1270,-1368r-21,-17l1237,-1392r-13,-3l1222,-1394r2,2l1224,-1391r9,4l1239,-1379r6,8l1252,-1366r9,3l1270,-1365r,-3m1271,-1676r-1,-3l1268,-1684r-8,-3l1257,-1681r-3,4l1257,-1674r3,3l1262,-1670r3,-1l1267,-1672r1,-3l1271,-1676t5,140l1274,-1539r-4,-4l1266,-1540r-2,2l1260,-1537r2,4l1263,-1530r5,4l1275,-1529r,-3l1276,-1536t12,-33l1287,-1573r-11,-5l1264,-1580r-13,-1l1239,-1583r-2,l1237,-1580r10,8l1258,-1567r12,1l1282,-1568r2,-1l1288,-1569t3,-87l1290,-1660r-3,-4l1280,-1667r-4,6l1273,-1658r3,3l1278,-1652r3,l1283,-1650r3,-1l1289,-1653r2,-3m1318,-1692r-1,-3l1316,-1696r-3,-2l1312,-1700r-4,1l1306,-1698r-2,2l1303,-1694r-1,4l1304,-1689r3,2l1311,-1684r3,-4l1317,-1690r1,-2m1320,-1326r,-5l1317,-1333r-1,-4l1311,-1335r-2,2l1306,-1331r,4l1308,-1325r2,3l1314,-1323r3,-1l1320,-1326t5,-316l1324,-1646r-1,-2l1319,-1650r-2,l1314,-1648r-2,2l1313,-1642r1,2l1316,-1636r4,-1l1322,-1639r3,-3m1333,-1539r-3,-2l1328,-1543r-2,-2l1323,-1545r-4,l1319,-1543r-2,1l1316,-1539r,5l1320,-1532r3,2l1328,-1532r2,-2l1330,-1536r3,-3m1335,-1412r-2,-4l1329,-1420r-8,4l1320,-1412r1,4l1323,-1406r3,2l1330,-1405r3,-1l1335,-1409r,-3m1339,-1693r-2,-5l1332,-1701r-4,2l1325,-1699r-2,4l1323,-1691r2,2l1328,-1686r4,l1335,-1688r3,-2l1339,-1693t2,302l1341,-1394r-3,-3l1335,-1397r-3,l1328,-1395r-1,2l1327,-1389r,2l1329,-1384r3,1l1334,-1383r3,l1339,-1385r2,-2l1341,-1391t4,118l1344,-1277r-3,-3l1337,-1280r-3,1l1331,-1279r-1,3l1328,-1273r3,2l1332,-1269r2,2l1337,-1266r3,-1l1343,-1268r,-4l1345,-1273t,-35l1329,-1305r-15,7l1302,-1287r-9,14l1297,-1271r2,-4l1303,-1276r11,-5l1325,-1289r10,-8l1344,-1305r1,-3m1347,-1329r-1,-5l1342,-1335r-4,l1335,-1333r-3,2l1332,-1327r2,3l1337,-1323r2,l1343,-1323r3,-3l1347,-1329t4,-18l1350,-1352r-3,-2l1346,-1358r-5,1l1339,-1356r-1,1l1336,-1353r-1,4l1338,-1347r1,2l1341,-1343r3,-1l1345,-1344r2,-3l1351,-1347t3,96l1354,-1255r-2,-5l1347,-1261r-4,1l1338,-1258r,5l1338,-1249r2,5l1345,-1244r5,-1l1353,-1247r1,-4m1355,-1630r-1,-1l1354,-1632r-2,1l1351,-1633r-13,l1326,-1630r-11,7l1306,-1614r12,2l1332,-1614r9,-7l1346,-1624r6,-1l1355,-1630t1,224l1354,-1408r-1,-3l1351,-1412r-3,-2l1347,-1412r-3,l1342,-1408r1,3l1345,-1403r2,2l1350,-1402r3,-1l1354,-1405r2,-1m1364,-1385r-1,-4l1362,-1392r-4,-3l1355,-1394r-2,2l1350,-1390r1,4l1353,-1384r2,2l1358,-1382r3,-2l1364,-1385t4,115l1366,-1273r-3,-4l1359,-1277r-2,2l1354,-1275r-2,5l1353,-1268r1,3l1357,-1263r2,1l1362,-1262r3,-2l1367,-1268r1,-2m1376,-1257r-8,8l1359,-1241r-9,8l1343,-1225r,2l1349,-1219r7,-6l1362,-1226r11,-6l1375,-1246r1,-11m1384,-1311r-1,-5l1383,-1319r-2,-2l1379,-1323r-3,1l1373,-1319r-4,l1371,-1314r1,5l1377,-1308r3,-1l1384,-1311t19,-113l1401,-1426r-7,2l1403,-1424t18,204l1415,-1229r1,-3l1413,-1232r,-3l1409,-1240r-5,-7l1398,-1251r,-1l1396,-1252r,2l1398,-1240r2,11l1402,-1218r5,9l1411,-1205r3,8l1421,-1198r-3,-10l1421,-1220t14,-86l1434,-1306r,l1434,-1307r-19,-3l1403,-1311r-11,5l1381,-1302r-2,l1378,-1300r1,1l1393,-1294r15,l1422,-1299r13,-7m1442,-1428r,-3l1439,-1433r-4,-1l1432,-1432r-4,2l1430,-1425r1,2l1434,-1421r3,l1440,-1422r2,-2l1442,-1428t104,-157l1543,-1588r-8,l1532,-1585r,7l1535,-1575r8,l1546,-1578r,-7m1586,-1250r-23,6l1555,-1282r-1,-3l1556,-1286r5,-1l1561,-1289r-26,7l1535,-1281r4,l1541,-1282r9,35l1552,-1245r4,1l1562,-1241r7,-2l1573,-1243r4,-1l1578,-1245r6,-2l1586,-1250t2,l1588,-1253r-2,3l1588,-1250t2,-6l1589,-1262r-6,-29l1583,-1291r1,-1l1588,-1293r,-2l1571,-1291r,2l1578,-1291r1,2l1586,-1261r2,8l1590,-1256t8,-394l1595,-1656r-4,7l1591,-1647r2,1l1597,-1646r1,-1l1598,-1650t,-80l1595,-1735r-4,6l1591,-1726r2,1l1597,-1725r1,-1l1598,-1730t,-80l1595,-1817r-4,6l1591,-1808r2,2l1597,-1806r1,-2l1598,-1810t10,222l1604,-1594r-3,7l1601,-1585r1,2l1606,-1583r2,-2l1608,-1588t29,322l1637,-1266r-3,-13l1628,-1281r-3,-1l1605,-1285r-2,-1l1601,-1294r4,-3l1619,-1300r6,7l1627,-1289r3,-1l1627,-1300r,l1626,-1304r-2,1l1624,-1302r,1l1620,-1300r-4,-1l1594,-1297r,10l1597,-1274r20,3l1623,-1270r4,1l1628,-1264r1,6l1609,-1253r-6,-7l1600,-1266r-2,l1602,-1249r2,-1l1604,-1252r4,-1l1612,-1252r7,-1l1620,-1253r14,-4l1637,-1266t20,-288l1654,-1560r-4,7l1650,-1551r2,2l1656,-1549r1,-2l1657,-1554t1,-256l1654,-1817r-4,6l1650,-1808r2,2l1656,-1806r2,-2l1658,-1810t28,514l1685,-1306r,-3l1637,-1305r1,14l1640,-1291r1,-11l1649,-1303r5,-1l1658,-1263r-7,1l1651,-1260r28,-3l1679,-1265r,l1673,-1265r-2,l1671,-1270r-4,-34l1667,-1306r14,l1684,-1296r2,m1706,-1721r-2,-3l1705,-1727r,l1705,-1728r-4,1l1699,-1731r-2,4l1693,-1728r2,4l1692,-1721r4,1l1696,-1716r3,-3l1703,-1716r,-3l1703,-1720r3,-1m1709,-1781r-3,l1706,-1782r2,3l1709,-1781t8,-29l1713,-1817r-3,6l1710,-1808r1,2l1715,-1806r2,-2l1717,-1810t2,292l1715,-1525r-3,6l1712,-1516r1,2l1717,-1514r2,-2l1719,-1518t1,-174l1715,-1697r2,-5l1717,-1702r1,-1l1711,-1702r-4,-7l1703,-1702r-6,-1l1700,-1697r-5,5l1701,-1691r,7l1707,-1688r6,4l1713,-1688r,-3l1720,-1692t4,-51l1721,-1746r1,-3l1722,-1749r1,-1l1719,-1749r-3,-4l1714,-1749r-4,-1l1712,-1746r-3,3l1713,-1743r,4l1716,-1741r4,2l1720,-1741r,-2l1724,-1743t2,-33l1725,-1783r-4,-1l1716,-1785r-4,-6l1709,-1781r7,l1723,-1783r,13l1717,-1773r-10,l1701,-1770r,-13l1706,-1782r-2,-1l1698,-1789r,17l1699,-1769r2,2l1701,-1761r1,1l1722,-1760r1,-1l1723,-1768r2,-1l1725,-1770r1,-2l1726,-1776t9,71l1733,-1707r1,-2l1734,-1709r,l1732,-1709r-2,-2l1729,-1709r-2,l1728,-1707r-2,2l1728,-1705r,2l1730,-1704r2,1l1732,-1704r,-1l1735,-1705t1,-19l1733,-1727r1,-3l1734,-1730r1,l1731,-1730r-2,-4l1726,-1730r-4,l1724,-1727r-3,3l1725,-1723r,4l1729,-1722r3,3l1732,-1722r,-1l1736,-1724t40,-256l1746,-2001r12,-22l1764,-2033r-35,10l1715,-2057r-14,34l1666,-2033r18,32l1654,-1980r36,6l1688,-1937r27,-25l1742,-1937r-1,-25l1740,-1974r36,-6m1776,-1810r-3,-7l1769,-1811r,3l1771,-1806r4,l1776,-1808r,-2m1779,-1553r-3,-7l1772,-1554r,3l1774,-1549r4,l1779,-1551r,-2m1784,-1904r-1,l1784,-1904r,m1784,-1917r-3,-4l1752,-1921r,17l1723,-1904r-11,-13l1741,-1917r11,13l1752,-1921r-48,l1704,-1904r-29,l1665,-1917r29,l1704,-1904r,-17l1653,-1921r-4,5l1649,-1905r4,4l1781,-1901r2,-3l1770,-1904r-10,-13l1784,-1917t,l1784,-1917r,l1784,-1917t1,1l1784,-1917r,13l1785,-1905r,-11m1799,-1258r-4,l1794,-1261r-5,-14l1789,-1275r-6,-17l1778,-1306r-2,l1776,-1275r-15,-2l1770,-1292r6,17l1776,-1306r,l1753,-1272r-2,5l1749,-1265r-4,l1744,-1265r,l1742,-1267r-15,-18l1727,-1286r5,-1l1740,-1289r,-18l1740,-1308r-14,-1l1726,-1304r,16l1722,-1287r-11,l1711,-1304r1,-2l1712,-1307r11,l1726,-1304r,-5l1723,-1309r-31,-1l1692,-1308r7,1l1698,-1267r-2,1l1691,-1266r,2l1718,-1264r,-1l1711,-1266r,-19l1713,-1285r16,22l1744,-1263r17,2l1761,-1263r-7,-1l1754,-1265r1,-3l1756,-1270r3,-5l1777,-1272r1,2l1780,-1265r,1l1779,-1261r-1,l1773,-1261r,1l1798,-1256r1,-2m1818,-1758r-15,3l1803,-1741r,8l1803,-1728r-31,l1772,-1752r7,6l1776,-1747r,12l1783,-1738r10,l1800,-1735r,-3l1800,-1745r,-2l1802,-1746r1,5l1803,-1755r-2,1l1807,-1778r2,-9l1799,-1783r,36l1793,-1745r-9,l1787,-1752r,-1l1792,-1748r5,1l1799,-1747r,-36l1787,-1778r-22,-9l1773,-1754r-17,-3l1761,-1738r-5,20l1774,-1723r-9,36l1787,-1696r22,9l1808,-1696r-5,-27l1818,-1719r-1,-4l1815,-1728r-3,-10l1817,-1753r,-1l1818,-1758t1,109l1816,-1652r-8,2l1802,-1649r-4,6l1798,-1639r3,4l1804,-1633r2,-1l1806,-1632r2,1l1808,-1629r-1,2l1805,-1627r-4,-5l1800,-1632r,29l1793,-1602r1,-3l1800,-1607r,4l1800,-1632r-7,6l1790,-1631r,-1l1791,-1637r2,-4l1794,-1643r-5,-6l1790,-1650r2,-1l1790,-1652r,-1l1789,-1657r-6,4l1780,-1653r-6,-1l1769,-1651r-3,5l1766,-1645r1,2l1769,-1641r2,l1771,-1641r1,2l1768,-1637r1,1l1769,-1634r,1l1767,-1632r-3,-4l1763,-1637r,-6l1764,-1646r-5,l1759,-1646r-3,1l1755,-1644r,1l1755,-1636r1,4l1768,-1624r2,5l1767,-1612r,10l1759,-1599r-2,2l1757,-1593r2,2l1764,-1594r9,-1l1772,-1603r2,-3l1776,-1610r3,-3l1783,-1613r3,1l1788,-1608r-1,5l1783,-1599r-5,2l1777,-1596r,1l1777,-1594r2,2l1783,-1593r2,l1792,-1597r1,-5l1797,-1598r4,-1l1805,-1598r1,-1l1807,-1602r,-1l1806,-1607r-1,-2l1817,-1612r-2,-1l1809,-1618r,-5l1815,-1625r,-1l1815,-1627r,-4l1814,-1634r-1,-3l1806,-1637r-2,-6l1806,-1645r3,1l1812,-1643r,1l1814,-1642r3,l1817,-1645r2,-4l1819,-1649t10,62l1825,-1594r-3,6l1822,-1585r2,2l1827,-1583r2,-2l1829,-1587t7,-223l1832,-1817r-4,6l1828,-1808r2,2l1834,-1806r2,-2l1836,-1810t3,161l1835,-1656r-3,6l1832,-1647r1,1l1837,-1646r2,-1l1839,-1649t,-80l1835,-1735r-3,5l1832,-1726r1,1l1837,-1725r2,-1l1839,-1729t12,468l1849,-1262r-5,7l1838,-1250r-17,-3l1820,-1254r,-2l1827,-1295r2,1l1835,-1293r,-2l1835,-1295r-27,-5l1807,-1298r7,1l1808,-1260r-1,4l1804,-1257r-4,l1800,-1255r45,8l1847,-1250r4,-11m1874,-1588r-3,-3l1863,-1591r-4,3l1859,-1580r4,2l1871,-1578r3,-2l1874,-1588t11,303l1857,-1290r,1l1860,-1288r4,1l1856,-1247r-3,l1848,-1248r,2l1875,-1240r1,-2l1868,-1244r1,-3l1877,-1284r4,l1884,-1283r1,-1l1885,-1285t46,50l1927,-1235r,-2l1921,-1250r,-1l1915,-1268r-6,-14l1908,-1282r,31l1893,-1253r9,-15l1908,-1251r,-31l1907,-1282r-26,42l1877,-1240r,1l1893,-1237r,-2l1891,-1239r-4,-1l1887,-1243r2,-3l1891,-1250r18,1l1912,-1241r,4l1910,-1237r-5,l1905,-1236r26,3l1931,-1235t98,-10l2027,-1248r-2,-2l2022,-1254r-3,1l2017,-1252r-3,1l2014,-1249r-2,3l2013,-1242r3,1l2018,-1240r5,1l2025,-1241r1,-2l2029,-1245t14,24l2037,-1222r-10,6l2018,-1208r-7,11l2007,-1186r-1,4l2008,-1180r8,-8l2025,-1196r8,-8l2038,-1214r-1,-3l2043,-1221t4,-24l2046,-1249r-4,-2l2038,-1249r-2,2l2033,-1246r1,4l2036,-1240r3,1l2041,-1239r2,-2l2047,-1241r,-4m2062,-1281r-45,l2013,-1281r-1,2l2024,-1276r12,6l2050,-1275r5,-1l2062,-1279r,-2m2064,-1285r,l2063,-1286r-3,l2059,-1285r,l2059,-1285r-10,-2l2038,-1287r-10,2l2019,-1283r-1,l2063,-1283r1,-2m2065,-1219r-1,-3l2063,-1226r-3,-3l2055,-1227r-2,1l2049,-1224r,4l2050,-1214r6,1l2061,-1214r2,-2l2065,-1219t3,17l2066,-1205r-3,-2l2059,-1206r-3,2l2053,-1203r1,4l2056,-1196r3,1l2062,-1195r2,-2l2068,-1198r,-4m2089,-1263r,-3l2087,-1272r-7,-2l2076,-1270r-2,2l2071,-1266r2,4l2074,-1260r1,3l2078,-1257r2,2l2084,-1256r2,-2l2088,-1261r1,-2m2089,-1389r-1,-6l2086,-1400r-7,l2076,-1397r-2,2l2072,-1393r1,3l2075,-1387r2,3l2082,-1384r4,-2l2089,-1389t5,180l2092,-1220r-6,-10l2079,-1237r-8,-8l2069,-1244r1,11l2074,-1223r7,8l2090,-1207r1,l2093,-1206r1,-2l2094,-1209t3,-120l2096,-1333r-3,-5l2087,-1342r-5,5l2080,-1334r-2,4l2082,-1327r2,1l2086,-1323r4,-1l2093,-1326r4,-3m2098,-1284r-2,-3l2095,-1290r-3,l2088,-1291r-2,1l2084,-1289r-1,2l2082,-1280r4,1l2087,-1277r4,l2093,-1279r3,l2098,-1284t9,-61l2106,-1347r-1,-6l2095,-1355r-4,6l2090,-1345r3,3l2095,-1340r3,2l2102,-1339r2,-2l2104,-1343r3,-2m2108,-1263r-1,-2l2106,-1267r-2,-1l2102,-1271r-4,1l2093,-1269r-1,4l2092,-1263r2,4l2095,-1258r1,3l2098,-1256r5,2l2104,-1256r1,-3l2107,-1261r1,-2m2121,-1330r-1,-5l2114,-1336r-4,1l2108,-1335r-1,3l2105,-1330r,4l2107,-1324r3,1l2111,-1322r2,-1l2114,-1322r4,-1l2120,-1326r1,-4m2132,-1260r-3,-2l2130,-1265r-1,-10l2125,-1285r-5,-8l2109,-1305r-4,-1l2102,-1313r-4,3l2098,-1308r,1l2100,-1306r4,13l2110,-1280r7,12l2128,-1258r2,l2132,-1260t22,-139l2151,-1400r,-1l2135,-1402r-15,3l2106,-1392r-12,10l2093,-1382r1,2l2095,-1380r2,1l2098,-1380r2,-1l2115,-1382r14,-3l2141,-1390r12,-7l2154,-1399t54,47l2207,-1356r-3,-5l2196,-1363r-3,6l2190,-1355r2,4l2194,-1349r2,2l2198,-1345r3,-1l2205,-1348r3,-4m2211,-1298r-4,-2l2205,-1302r-4,-11l2192,-1323r-9,-7l2180,-1332r-4,-4l2172,-1332r4,11l2183,-1310r10,9l2199,-1300r5,8l2210,-1295r1,-3m2211,-1394r-2,-1l2207,-1395r-2,l2194,-1388r-10,9l2176,-1368r-6,11l2173,-1354r2,-4l2178,-1358r11,-6l2197,-1373r7,-11l2211,-1394t10,68l2220,-1329r-3,-1l2215,-1333r-3,1l2210,-1331r-4,1l2205,-1327r-2,3l2206,-1321r2,3l2212,-1317r5,l2219,-1321r2,-2l2221,-1326t6,-37l2226,-1366r-2,-4l2221,-1373r-5,l2213,-1372r-3,3l2209,-1366r2,5l2216,-1357r5,-3l2223,-1361r4,-2m2260,-1387r-2,-2l2250,-1384r-7,7l2237,-1368r-5,9l2231,-1355r-5,4l2228,-1347r12,-2l2247,-1360r8,-9l2258,-1374r-1,-8l2260,-1387t15,20l2274,-1372r-7,l2264,-1370r-6,5l2262,-1362r2,2l2268,-1359r3,-2l2273,-1362r2,-3l2275,-1367t6,50l2273,-1325r-6,-8l2259,-1337r-3,-1l2257,-1340r2,1l2261,-1340r2,l2264,-1341r4,-2l2267,-1348r-2,-2l2264,-1352r-3,-1l2258,-1354r-2,2l2254,-1351r-7,4l2258,-1343r-5,6l2246,-1337r-10,-2l2231,-1334r3,3l2239,-1331r3,2l2250,-1322r10,5l2270,-1315r11,1l2281,-1317t11,-29l2290,-1353r-4,-2l2282,-1355r-3,1l2279,-1352r-2,2l2277,-1344r3,2l2283,-1341r4,l2289,-1343r1,-2l2292,-1346t6,-22l2297,-1373r-5,-1l2288,-1374r-3,1l2282,-1371r1,5l2285,-1363r4,1l2292,-1362r3,l2297,-1366r1,-2m2355,-1510r-5,-12l2346,-1528r-3,-4l2333,-1538r-13,l2310,-1536r-8,6l2298,-1522r-2,10l2299,-1504r7,4l2308,-1498r4,l2313,-1502r2,-4l2310,-1506r-1,-4l2308,-1516r2,-4l2317,-1528r7,2l2329,-1526r5,2l2338,-1520r3,4l2343,-1508r,8l2341,-1494r-5,10l2326,-1476r-10,2l2241,-1472r-132,2l1982,-1470r-56,-2l1893,-1470r-33,l1828,-1468r-29,12l1788,-1450r-8,12l1774,-1426r-4,12l1762,-1408r-8,8l1747,-1392r-7,8l1738,-1384r2,-10l1745,-1402r,-2l1747,-1412r6,-8l1753,-1430r4,-10l1768,-1458r12,-16l1793,-1490r5,-4l1809,-1504r9,-8l1828,-1514r12,-2l1851,-1516r13,6l1891,-1506r15,-2l1907,-1508r,-2l1902,-1516r-10,-2l1886,-1522r-11,-4l1851,-1522r-14,l1838,-1524r11,-8l1862,-1538r25,-12l1897,-1554r11,-6l1919,-1562r10,-4l1935,-1566r6,-6l1946,-1568r-8,16l1928,-1534r-10,18l1906,-1502r-6,l1896,-1496r-5,2l1887,-1490r-6,-4l1877,-1492r-10,2l1857,-1488r-10,4l1839,-1478r1,l1841,-1476r81,l1925,-1480r,-4l1922,-1490r4,-6l1929,-1502r2,-8l1938,-1516r2,-10l1947,-1538r7,-12l1966,-1572r1,-2l1968,-1574r1,2l1970,-1572r7,-2l1984,-1576r16,l2015,-1574r15,l2033,-1572r,8l2034,-1554r-1,12l2031,-1528r-1,14l2021,-1500r-13,6l1993,-1492r-15,4l1973,-1484r-9,-2l1964,-1478r18,2l2038,-1476r4,-2l2043,-1482r1,-2l2045,-1486r,-4l2051,-1496r-2,-4l2045,-1506r4,-10l2047,-1522r1,-2l2048,-1528r-1,-2l2051,-1542r-1,-14l2052,-1566r7,l2062,-1558r8,l2074,-1562r-9,-2l2064,-1566r-1,-2l2072,-1570r10,2l2090,-1564r-4,4l2084,-1556r3,4l2091,-1552r2,2l2097,-1554r5,-2l2097,-1560r1,-4l2120,-1560r42,12l2182,-1540r8,2l2197,-1532r8,l2197,-1540r-12,-4l2175,-1548r-7,-4l2159,-1552r-5,-6l2155,-1560r3,2l2159,-1560r10,-4l2178,-1568r8,-6l2193,-1582r1,-4l2198,-1584r,-4l2194,-1592r-6,6l2184,-1586r-11,4l2155,-1566r-11,6l2129,-1564r-23,-6l2083,-1576r-10,l2063,-1578r-9,-4l2054,-1584r,-6l2056,-1596r,-6l2056,-1604r2,-2l2058,-1608r,-4l2059,-1614r1,l2062,-1616r8,-4l2080,-1622r12,2l2102,-1620r6,4l2115,-1616r6,2l2124,-1616r4,-2l2131,-1616r3,-2l2141,-1622r3,-2l2135,-1638r1,-8l2136,-1650r8,-8l2146,-1660r6,-6l2159,-1674r7,-8l2166,-1686r-2,-2l2162,-1690r-6,l2154,-1688r-5,4l2154,-1680r,4l2149,-1670r-7,6l2136,-1660r-4,l2131,-1662r-1,-2l2129,-1666r-1,-4l2126,-1672r-2,-6l2122,-1680r-6,-12l2108,-1702r-17,-20l2074,-1738r-11,-8l2054,-1752r-15,-8l2032,-1763r,167l2032,-1584r-42,l1990,-1586r11,-4l2011,-1594r10,-4l2031,-1602r1,6l2032,-1763r,-1l2027,-1765r,153l2016,-1606r-37,12l1982,-1600r10,-16l1996,-1622r3,-4l1999,-1630r-2,-2l1995,-1634r2,-4l2002,-1636r3,-2l2015,-1632r10,10l2027,-1612r,-153l2008,-1772r-23,-4l1964,-1774r,156l1962,-1608r-3,8l1957,-1590r-2,4l1951,-1582r-4,l1940,-1580r-5,4l1929,-1576r-77,32l1817,-1522r-33,28l1786,-1500r2,-6l1788,-1512r-1,-4l1788,-1524r-4,-4l1780,-1536r1,-4l1830,-1570r9,-8l1845,-1588r5,-12l1852,-1616r,-130l1852,-1710r10,16l1874,-1678r14,12l1904,-1658r10,8l1925,-1644r12,4l1949,-1644r9,-2l1959,-1634r4,6l1964,-1618r,-156l1962,-1774r-22,6l1918,-1760r-9,-2l1905,-1768r-2,-8l1902,-1788r2,-10l1905,-1804r1,-4l1910,-1818r1,-10l1918,-1836r3,-8l1926,-1860r5,-18l1935,-1894r2,-18l1937,-1914r1,-14l1927,-1938r-11,-6l1908,-1946r-8,l1894,-1940r-5,12l1878,-1922r-9,6l1868,-1910r8,-4l1879,-1912r8,2l1897,-1912r7,4l1903,-1896r-4,10l1894,-1876r-16,24l1868,-1836r-9,16l1852,-1804r,-2l1852,-1818r,-2l1852,-1826r-8,l1844,-1818r,204l1842,-1602r-3,10l1833,-1584r-7,6l1779,-1547r,61l1773,-1480r-12,18l1750,-1444r-9,20l1731,-1404r-2,l1729,-1386r-5,4l1725,-1376r-2,6l1720,-1366r,4l1719,-1360r1,-6l1714,-1370r2,-6l1712,-1382r,-6l1710,-1392r-4,-6l1713,-1402r3,-4l1721,-1404r2,6l1727,-1394r2,8l1729,-1404r-2,l1725,-1406r-1,-2l1722,-1414r5,-6l1732,-1426r8,-14l1746,-1456r4,-16l1753,-1474r-2,-4l1754,-1480r-1,-6l1757,-1494r-3,-4l1757,-1508r-14,-7l1738,-1498r2,20l1741,-1458r-7,18l1734,-1438r-6,6l1725,-1424r-7,4l1709,-1424r-4,-10l1700,-1442r-9,-8l1691,-1468r5,-12l1700,-1490r-6,-10l1692,-1510r-3,-4l1683,-1502r-4,12l1679,-1478r4,12l1687,-1460r,10l1693,-1444r4,12l1704,-1424r6,10l1712,-1410r-4,l1706,-1408r-5,-2l1702,-1416r-4,-4l1688,-1440r-12,-18l1663,-1476r-15,-16l1647,-1496r-3,-2l1646,-1502r7,-8l1655,-1524r-4,-8l1650,-1534r-2,-4l1648,-1540r,l1705,-1504r2,2l1711,-1500r10,l1723,-1502r9,-6l1743,-1516r,l1752,-1520r-2,l1775,-1536r-4,10l1768,-1512r4,10l1773,-1496r6,10l1779,-1547r-56,35l1722,-1512r-2,2l1717,-1508r-6,l1709,-1510r-3,-2l1659,-1542r-17,-11l1642,-1544r-1,10l1639,-1524r-2,8l1637,-1512r1,6l1638,-1502r-31,-22l1574,-1546r-33,-18l1526,-1572r-19,-10l1511,-1594r4,-8l1516,-1604r1,-6l1519,-1616r-1,-6l1521,-1630r,-8l1521,-1648r,-2l1522,-1662r7,-12l1533,-1686r2,-6l1537,-1698r3,-6l1542,-1712r1,-8l1547,-1726r13,8l1571,-1718r7,14l1578,-1616r2,16l1584,-1588r7,10l1599,-1570r43,26l1642,-1553r-39,-25l1596,-1584r-5,-8l1587,-1602r-2,-12l1585,-1666r4,l1599,-1672r-3,-16l1596,-1698r2,-12l1589,-1716r-2,-10l1586,-1728r-1,l1585,-1740r,-46l1585,-1818r46,l1634,-1814r4,l1641,-1818r203,l1844,-1826r-179,l1656,-1830r-8,-8l1638,-1838r-15,-2l1609,-1836r-14,6l1579,-1828r-1,1l1578,-1740r-4,-8l1558,-1754r4,-10l1565,-1774r2,-8l1576,-1786r1,l1578,-1784r,l1578,-1740r,-87l1576,-1826r1,2l1576,-1822r-1,2l1573,-1820r-2,-2l1570,-1830r-3,-10l1566,-1848r-2,-4l1565,-1858r-2,-4l1562,-1878r12,-4l1590,-1882r12,-8l1603,-1902r-6,-6l1588,-1914r-7,-8l1581,-1928r-6,-6l1568,-1936r-4,-8l1566,-1950r1,-4l1568,-1964r-3,-10l1565,-1978r-2,-2l1560,-1978r-8,10l1547,-1960r-7,10l1532,-1956r-7,-8l1516,-1968r-6,l1505,-1974r-7,2l1497,-1970r2,4l1501,-1956r4,10l1511,-1936r8,8l1520,-1922r-4,12l1514,-1896r,14l1513,-1870r-16,34l1478,-1804r-23,28l1428,-1750r-18,20l1394,-1710r-13,20l1375,-1664r-1,4l1376,-1652r-5,4l1352,-1656r-3,-2l1343,-1662r-8,-6l1320,-1676r-16,-4l1290,-1688r-2,-2l1279,-1702r-5,-10l1284,-1726r8,-12l1294,-1752r-1,-12l1289,-1778r-2,l1287,-1776r-1,l1282,-1760r-6,16l1272,-1728r1,18l1275,-1702r4,4l1281,-1690r-3,-2l1271,-1692r-8,-2l1254,-1698r-9,2l1231,-1692r-16,l1200,-1690r-12,8l1185,-1682r-3,2l1183,-1678r9,l1200,-1674r9,-2l1222,-1672r3,-4l1231,-1684r10,-6l1243,-1690r4,-4l1254,-1692r5,l1277,-1688r16,6l1323,-1666r,2l1315,-1660r-9,2l1299,-1654r-9,8l1279,-1638r-2,12l1270,-1616r9,8l1282,-1600r1,8l1287,-1590r5,-10l1292,-1612r-2,-12l1290,-1634r3,-12l1304,-1652r11,-4l1331,-1658r14,4l1358,-1646r14,10l1372,-1622r,14l1372,-1596r-2,12l1364,-1582r-7,2l1351,-1580r-22,4l1268,-1552r-10,4l1248,-1548r-10,2l1228,-1542r10,2l1248,-1544r10,l1286,-1552r52,-20l1368,-1574r1,2l1364,-1562r-6,8l1350,-1548r-1,-4l1349,-1556r-4,-2l1338,-1558r-4,6l1334,-1550r2,2l1338,-1544r3,l1344,-1542r-1,2l1339,-1538r-2,4l1327,-1524r-25,8l1290,-1510r-2,2l1281,-1506r3,4l1296,-1502r10,-2l1316,-1506r9,-6l1336,-1524r22,-24l1369,-1558r3,12l1368,-1534r-7,12l1357,-1524r-3,-4l1346,-1528r-3,4l1343,-1520r3,4l1349,-1514r-11,6l1327,-1504r-12,2l1303,-1498r-64,6l1207,-1492r-11,2l1185,-1490r-10,-2l1164,-1492r-11,2l1142,-1490r-10,4l1130,-1484r2,2l1132,-1480r15,6l1373,-1474r9,-6l1396,-1490r11,-12l1416,-1516r3,-6l1428,-1540r2,-8l1432,-1556r,-2l1436,-1570r6,-4l1448,-1578r13,-2l1461,-1576r1,14l1460,-1550r-2,16l1455,-1520r-3,10l1449,-1500r-2,8l1449,-1482r1,6l1457,-1476r5,2l1498,-1474r36,-2l1570,-1476r38,2l1617,-1472r7,2l1635,-1470r3,-2l1637,-1474r-2,-4l1632,-1484r-5,l1626,-1486r-3,l1622,-1488r-13,-4l1602,-1494r-21,-2l1537,-1494r-12,2l1514,-1492r-11,-2l1493,-1498r-6,-8l1492,-1528r1,-6l1499,-1558r5,-14l1515,-1566r14,6l1541,-1552r4,2l1556,-1546r10,6l1585,-1528r37,24l1652,-1472r25,36l1698,-1396r,4l1702,-1386r-3,4l1692,-1390r-7,-8l1677,-1404r-8,-8l1666,-1424r,-2l1659,-1438r-9,-10l1639,-1456r-6,-8l1621,-1466r-10,-2l1468,-1470r-86,l1299,-1468r-169,l1118,-1470r-13,-4l1096,-1480r-7,-12l1086,-1498r,-10l1089,-1514r5,-6l1102,-1524r14,l1120,-1518r3,4l1123,-1508r-4,4l1117,-1498r,l1119,-1494r2,-2l1126,-1498r4,-4l1132,-1508r,-2l1133,-1514r-3,-2l1128,-1524r-9,-6l1112,-1532r-10,-2l1092,-1530r-7,6l1076,-1516r,14l1079,-1490r7,12l1096,-1468r12,6l1121,-1458r383,l1533,-1456r29,-2l1592,-1458r29,4l1631,-1450r10,6l1648,-1434r5,10l1650,-1424r-21,-10l1625,-1436r-7,-2l1604,-1442r-7,-2l1568,-1448r-30,2l1527,-1446r-11,2l1505,-1440r-11,2l1487,-1436r-7,-4l1475,-1444r-12,-6l1448,-1454r-15,l1418,-1450r,2l1418,-1448r14,2l1443,-1440r11,6l1466,-1432r4,2l1474,-1434r3,2l1450,-1418r-13,6l1422,-1406r-5,-2l1415,-1410r-2,-4l1409,-1416r-5,-6l1387,-1422r-13,l1368,-1422r3,6l1378,-1412r7,2l1395,-1404r11,-6l1415,-1404r-2,4l1410,-1400r-3,2l1394,-1392r-13,8l1367,-1378r-14,2l1337,-1376r-16,-2l1307,-1384r-12,-10l1288,-1404r-9,-8l1268,-1416r-13,-2l1254,-1416r-2,l1253,-1414r8,4l1268,-1400r9,6l1282,-1386r11,-8l1298,-1386r7,6l1315,-1376r8,2l1330,-1372r7,2l1344,-1370r-3,2l1313,-1360r-29,4l1212,-1356r-11,-4l1189,-1360r2,2l1195,-1356r3,2l1195,-1352r-7,l1183,-1350r-5,l1173,-1348r-7,l1161,-1346r-5,2l1149,-1336r-8,8l1134,-1326r,2l1133,-1322r2,l1143,-1324r9,2l1156,-1324r3,-2l1172,-1326r8,-14l1190,-1346r9,-6l1230,-1352r8,2l1229,-1346r3,6l1235,-1338r3,4l1242,-1336r1,l1244,-1338r1,l1247,-1342r,-2l1245,-1348r6,-4l1258,-1348r6,-2l1275,-1350r22,-4l1311,-1354r3,-2l1316,-1354r-1,2l1311,-1350r1,4l1313,-1342r4,l1320,-1340r4,-2l1328,-1344r-2,-6l1325,-1352r-3,-2l1320,-1354r8,-4l1338,-1360r8,-4l1352,-1364r6,-2l1368,-1370r4,-4l1377,-1372r-2,6l1372,-1360r-3,6l1364,-1336r-2,16l1362,-1316r1,16l1369,-1284r1,l1371,-1286r-4,-16l1367,-1318r3,-16l1374,-1350r9,-22l1386,-1374r2,-2l1400,-1386r39,-20l1440,-1404r-5,12l1430,-1378r-4,14l1426,-1350r,4l1424,-1342r2,2l1432,-1344r5,-8l1440,-1358r,-10l1440,-1376r,-10l1442,-1400r9,-12l1475,-1422r24,-8l1511,-1434r6,-2l1524,-1438r27,-2l1552,-1440r2,-2l1555,-1440r-8,10l1536,-1422r-4,10l1525,-1396r-3,18l1522,-1360r3,16l1529,-1330r-11,6l1513,-1314r-2,2l1510,-1306r-2,4l1516,-1300r6,-8l1529,-1316r,-10l1530,-1324r3,4l1536,-1320r3,-4l1534,-1326r,-4l1540,-1334r3,8l1548,-1326r8,2l1563,-1320r9,l1575,-1322r-8,-8l1560,-1334r-4,-2l1545,-1338r-11,l1529,-1350r-2,-10l1526,-1370r1,-12l1527,-1384r3,-16l1534,-1408r2,-6l1542,-1420r3,-4l1553,-1430r9,-6l1570,-1438r1,l1571,-1436r1,l1561,-1428r-1,12l1554,-1406r-7,10l1544,-1382r6,10l1553,-1366r-2,8l1557,-1354r5,-8l1562,-1370r3,-8l1563,-1388r-2,-10l1560,-1408r4,-8l1567,-1426r9,-4l1585,-1434r15,l1615,-1430r15,6l1644,-1416r4,2l1655,-1412r,4l1655,-1404r,8l1649,-1384r-8,4l1630,-1374r-15,2l1605,-1380r-6,-6l1597,-1396r2,-8l1603,-1408r6,-4l1616,-1410r4,2l1624,-1404r5,-2l1631,-1408r1,-4l1630,-1414r-4,-2l1624,-1422r-5,l1611,-1424r-9,l1597,-1418r-8,8l1586,-1400r2,10l1591,-1378r9,10l1612,-1364r14,l1639,-1366r12,-6l1661,-1382r4,-4l1666,-1392r3,-6l1682,-1388r12,12l1703,-1362r7,16l1710,-1340r2,8l1710,-1326r14,l1723,-1328r1,-4l1725,-1334r6,-20l1734,-1360r6,-10l1750,-1384r2,-2l1766,-1400r6,-4l1771,-1394r1,2l1778,-1382r8,10l1796,-1366r10,4l1830,-1362r10,-6l1842,-1370r7,-6l1854,-1386r6,-14l1852,-1408r-3,-4l1846,-1416r-7,-4l1820,-1420r-7,8l1808,-1404r,4l1808,-1398r3,2l1815,-1396r2,-2l1817,-1404r6,-2l1827,-1410r5,-2l1836,-1410r4,2l1844,-1404r1,6l1845,-1396r,6l1845,-1384r-6,8l1832,-1374r-9,4l1813,-1370r-10,-2l1795,-1378r-5,-4l1787,-1388r-3,-6l1783,-1400r-2,-4l1780,-1406r4,-6l1797,-1420r4,-2l1810,-1426r8,-2l1825,-1430r15,-2l1848,-1432r7,6l1861,-1420r7,16l1867,-1388r-2,18l1869,-1354r5,l1874,-1360r2,-4l1878,-1376r-1,-10l1874,-1398r-3,-10l1866,-1418r-3,-6l1856,-1432r5,l1869,-1428r9,8l1885,-1412r7,14l1897,-1382r3,18l1900,-1348r-3,12l1884,-1330r-10,4l1870,-1322r-4,4l1864,-1312r5,2l1880,-1314r7,-4l1892,-1326r5,-6l1898,-1330r-1,l1898,-1328r,4l1896,-1318r4,l1902,-1324r,-6l1902,-1332r1,-6l1908,-1332r1,6l1911,-1318r3,8l1920,-1302r9,2l1932,-1304r-3,-4l1928,-1310r-1,-10l1919,-1326r-6,-6l1911,-1338r-5,-10l1903,-1366r-2,-20l1895,-1402r-4,-12l1883,-1422r-9,-10l1876,-1434r27,4l1916,-1426r13,2l1946,-1418r19,6l1981,-1404r11,16l1996,-1376r5,12l2007,-1354r7,10l2018,-1350r,-6l2016,-1360r-5,-12l2004,-1382r-9,-8l1987,-1402r1,l2007,-1398r10,4l2038,-1384r18,18l2068,-1346r6,24l2073,-1304r-2,18l2066,-1270r-6,16l2058,-1252r-5,4l2056,-1246r5,-2l2061,-1254r3,-2l2072,-1274r6,-20l2079,-1316r-2,-20l2076,-1342r-5,-4l2073,-1350r2,2l2086,-1348r1,-2l2087,-1352r1,-2l2089,-1356r-2,-2l2085,-1362r-9,l2074,-1360r-2,4l2071,-1352r-8,-16l2057,-1374r1,l2071,-1370r13,6l2110,-1356r4,2l2118,-1352r6,l2148,-1344r12,2l2172,-1338r12,-2l2194,-1334r11,-4l2205,-1338r-4,-6l2191,-1338r-2,-2l2186,-1342r-20,-2l2146,-1350r-19,-4l2109,-1362r3,l2116,-1364r3,-4l2118,-1372r-2,-2l2113,-1376r-6,l2104,-1372r-1,2l2104,-1366r2,4l2106,-1362r-13,-6l2082,-1372r-4,-2l2070,-1378r-5,l2062,-1382r-4,-2l2030,-1396r-14,-6l2011,-1404r-20,-8l1971,-1418r-20,-8l1945,-1426r-11,-4l1924,-1432r-5,-2l1914,-1436r-10,-2l1878,-1442r-29,-2l1821,-1438r-24,10l1792,-1430r-2,8l1787,-1428r9,-14l1809,-1450r16,-6l1841,-1458r307,-2l2225,-1462r77,l2315,-1464r13,-4l2338,-1474r9,-10l2354,-1494r1,-16e" fillcolor="#005695" stroked="f">
              <v:stroke joinstyle="round"/>
              <v:formulas/>
              <v:path arrowok="t" o:connecttype="segments"/>
            </v:shape>
            <v:line id="_x0000_s1339" alt="" style="position:absolute" from="1752,-1521" to="1755,-1523" strokecolor="#231f20" strokeweight="0"/>
            <v:shape id="_x0000_s1340" alt="" style="position:absolute;left:1392;top:-1360;width:607;height:240" coordorigin="1392,-1359" coordsize="607,240" o:spt="100" adj="0,,0" path="m1545,-1235r,-1l1545,-1237r-4,1l1539,-1238r-4,-8l1534,-1246r-11,-17l1519,-1270r,22l1503,-1246r6,-17l1519,-1248r,-22l1513,-1278r-2,l1495,-1232r-4,2l1491,-1229r16,-2l1507,-1232r,l1500,-1232r,-4l1502,-1243r18,-3l1525,-1239r,4l1524,-1235r-5,1l1519,-1232r26,-3m1746,-1133r-2,l1746,-1131r,-2m1746,-1165r,l1746,-1168r,l1745,-1165r1,1l1746,-1165t253,-166l1994,-1345r-3,-3l1991,-1333r-3,16l1985,-1309r-5,3l1980,-1295r-1,10l1977,-1275r-3,10l1972,-1255r-3,4l1972,-1245r-4,4l1968,-1233r-6,2l1957,-1227r-35,4l1887,-1227r-34,-6l1819,-1241r-13,-2l1794,-1245r-25,-4l1749,-1251r,16l1746,-1229r-5,2l1742,-1229r2,-2l1749,-1235r,-16l1745,-1251r,8l1738,-1229r-4,-12l1734,-1245r4,4l1740,-1243r5,l1745,-1251r-12,-1l1733,-1225r-4,2l1729,-1209r-2,2l1725,-1205r-3,l1724,-1207r1,-2l1726,-1211r3,l1729,-1209r,-14l1722,-1217r-3,2l1715,-1214r,7l1714,-1207r-1,2l1712,-1205r2,-4l1715,-1207r,-7l1714,-1213r-4,-2l1706,-1219r,-1l1706,-1207r-1,2l1700,-1205r,-2l1701,-1209r,-2l1703,-1213r2,4l1706,-1207r,-13l1705,-1221r-1,-2l1704,-1225r1,-2l1706,-1229r1,-4l1708,-1235r,-4l1711,-1243r1,-2l1719,-1245r3,2l1723,-1235r10,10l1733,-1252r-15,-1l1700,-1253r,26l1700,-1223r-1,l1699,-1227r1,l1700,-1253r-2,l1698,-1239r-1,1l1697,-1219r-1,4l1694,-1207r-4,4l1692,-1209r2,-6l1697,-1219r,-19l1695,-1237r,2l1692,-1237r,12l1690,-1217r-3,8l1685,-1207r,14l1685,-1191r,l1685,-1193r,l1685,-1207r-3,4l1680,-1203r,28l1676,-1173r,4l1671,-1161r-4,10l1662,-1141r-6,8l1655,-1131r-3,2l1650,-1129r,-6l1655,-1139r3,-6l1666,-1155r2,-12l1674,-1173r4,-4l1680,-1175r,-28l1677,-1203r,8l1677,-1193r-1,2l1674,-1191r-6,-4l1668,-1183r-7,6l1648,-1173r-10,l1648,-1177r9,-8l1668,-1183r,-12l1667,-1195r-8,l1652,-1201r-2,-14l1656,-1227r2,-3l1656,-1217r1,4l1655,-1209r2,4l1662,-1197r10,-4l1677,-1195r,-8l1675,-1203r-6,-2l1663,-1207r-4,-4l1663,-1217r,-4l1668,-1229r16,-4l1692,-1225r,-12l1690,-1237r-1,-2l1687,-1243r9,l1698,-1239r,-14l1682,-1252r,17l1672,-1233r-12,1l1665,-1237r5,l1677,-1239r5,4l1682,-1252r-15,1l1617,-1243r-45,8l1528,-1223r-14,2l1486,-1221r-13,-2l1466,-1231r-3,-8l1462,-1251r-1,-8l1461,-1261r,-10l1458,-1279r-1,-10l1456,-1291r-1,-4l1456,-1299r6,2l1468,-1293r6,2l1498,-1289r46,-8l1556,-1299r11,-2l1589,-1307r23,-4l1658,-1315r26,l1711,-1317r52,4l1774,-1311r10,2l1794,-1309r17,4l1827,-1303r16,4l1859,-1297r8,l1871,-1295r55,8l1953,-1289r27,-6l1980,-1306r-1,1l1972,-1303r,-4l1972,-1311r,-2l1981,-1319r-4,-12l1972,-1337r-4,-2l1968,-1317r-3,2l1963,-1313r-2,1l1961,-1297r-6,-2l1952,-1295r-9,l1941,-1299r1,-4l1942,-1307r6,2l1955,-1305r6,2l1961,-1297r,-15l1960,-1311r-3,-2l1957,-1315r1,-4l1959,-1327r2,-4l1968,-1325r,4l1968,-1317r,-22l1962,-1341r-9,2l1949,-1335r2,4l1949,-1329r-1,14l1940,-1315r,-8l1937,-1327r1,-10l1941,-1345r8,-4l1956,-1351r10,l1972,-1347r5,l1983,-1345r2,6l1991,-1333r,-15l1987,-1351r-3,-2l1972,-1357r-13,-2l1946,-1357r-8,10l1931,-1337r-1,10l1932,-1313r2,12l1934,-1299r,2l1931,-1295r-42,-4l1806,-1315r-21,-2l1764,-1319r-6,-2l1751,-1323r-13,2l1726,-1325r-53,l1601,-1317r-35,8l1556,-1307r-11,2l1535,-1303r-7,l1522,-1299r-6,-2l1503,-1297r-5,l1498,-1309r1,-4l1500,-1315r1,-4l1506,-1329r-1,-10l1500,-1349r-1,-1l1499,-1331r-3,8l1492,-1319r,12l1492,-1301r-4,4l1482,-1299r-9,l1470,-1305r,-2l1468,-1311r1,-4l1475,-1311r8,-2l1490,-1311r2,4l1492,-1319r-4,l1488,-1331r2,-6l1490,-1341r-4,-2l1483,-1345r-3,-1l1480,-1335r-1,10l1478,-1321r-6,2l1470,-1323r-2,-4l1469,-1331r-1,-4l1472,-1337r7,l1480,-1335r,-11l1476,-1347r-11,6l1461,-1335r-4,6l1460,-1323r2,4l1460,-1313r2,6l1461,-1307r-5,-4l1450,-1317r2,-16l1453,-1341r7,-4l1470,-1351r13,2l1491,-1345r3,2l1496,-1341r1,4l1499,-1331r,-19l1497,-1351r-5,-4l1490,-1357r-12,2l1464,-1357r-11,8l1446,-1339r-3,14l1445,-1309r4,14l1452,-1279r-1,6l1459,-1267r-7,6l1442,-1267r-11,-4l1408,-1271r-5,4l1394,-1271r-2,6l1406,-1261r14,4l1435,-1257r15,-2l1453,-1259r2,2l1457,-1247r-4,14l1460,-1225r7,10l1490,-1211r26,-2l1550,-1221r41,-10l1597,-1233r3,-2l1606,-1235r56,-8l1654,-1231r-5,12l1645,-1207r-4,12l1654,-1195r3,6l1645,-1185r-8,8l1625,-1171r-10,l1615,-1165r-9,6l1595,-1155r-21,4l1569,-1157r2,-2l1577,-1157r2,-2l1582,-1161r10,-2l1604,-1167r11,2l1615,-1171r-8,l1573,-1163r-18,2l1555,-1155r9,-2l1564,-1151r-1,2l1560,-1147r-3,2l1556,-1143r3,l1562,-1145r5,2l1568,-1145r1,-2l1577,-1147r7,-2l1591,-1149r7,-2l1605,-1153r6,-4l1619,-1159r5,-6l1633,-1167r11,l1655,-1171r11,l1666,-1169r-7,10l1652,-1147r-7,10l1638,-1125r-1,2l1639,-1121r2,2l1652,-1119r4,-2l1660,-1129r2,-4l1668,-1143r6,-10l1679,-1165r2,-12l1691,-1185r6,-6l1699,-1193r2,-2l1703,-1195r2,-2l1707,-1195r-2,1l1705,-1187r-3,10l1698,-1167r-6,10l1690,-1167r10,-8l1703,-1183r2,-4l1705,-1194r-6,9l1688,-1167r-3,10l1684,-1141r10,8l1698,-1129r14,l1718,-1131r6,-2l1736,-1131r8,-2l1743,-1133r-13,-8l1721,-1137r-8,2l1702,-1131r-7,-6l1695,-1141r-3,-2l1692,-1145r6,-4l1704,-1141r6,-6l1719,-1145r9,-2l1737,-1145r5,l1743,-1147r5,-6l1749,-1145r-3,12l1748,-1133r10,-6l1766,-1141r1,8l1771,-1129r6,2l1784,-1119r7,-6l1791,-1129r-5,-4l1779,-1145r-2,-4l1777,-1135r-1,2l1774,-1133r-1,-2l1770,-1141r-2,-2l1766,-1147r-4,-6l1759,-1157r-1,-2l1758,-1160r,13l1757,-1145r-2,2l1753,-1145r1,-8l1757,-1151r1,4l1758,-1160r-4,-9l1750,-1179r,16l1748,-1159r-1,-2l1746,-1164r-4,9l1734,-1149r-12,-6l1714,-1149r-12,l1700,-1153r1,-4l1706,-1173r4,-10l1712,-1187r2,-4l1720,-1197r4,10l1726,-1183r6,8l1746,-1168r,-1l1746,-1168r1,1l1746,-1165r4,2l1750,-1179r-1,-4l1750,-1183r7,12l1770,-1147r7,12l1777,-1149r-4,-4l1769,-1159r-2,-6l1763,-1169r-1,-6l1769,-1171r7,4l1784,-1165r6,2l1799,-1163r6,4l1810,-1153r8,4l1825,-1145r9,6l1845,-1139r11,4l1859,-1135r6,4l1868,-1135r-1,-2l1865,-1139r-3,l1861,-1143r,-2l1869,-1141r3,-4l1871,-1147r-2,-2l1867,-1149r-5,-2l1861,-1151r,4l1860,-1143r-9,-4l1852,-1139r-12,-6l1825,-1147r-9,-10l1820,-1157r8,2l1839,-1151r22,4l1861,-1151r-13,-2l1844,-1155r-5,l1835,-1157r-5,-2l1814,-1163r-10,-6l1801,-1171r-10,-8l1791,-1171r-1,l1790,-1169r-11,l1773,-1175r-2,-2l1763,-1183r-1,-2l1773,-1183r9,6l1791,-1171r,-8l1788,-1181r-13,-8l1777,-1191r2,-2l1786,-1195r3,-6l1792,-1207r1,-10l1790,-1223r-1,-2l1788,-1231r-1,-2l1786,-1235r,l1786,-1215r,6l1786,-1205r-5,8l1773,-1195r-4,2l1762,-1191r-4,-2l1767,-1193r5,-2l1777,-1197r1,-2l1781,-1207r,-18l1786,-1223r,6l1786,-1215r,-20l1778,-1234r,19l1776,-1209r-4,8l1764,-1201r-7,2l1751,-1199r-3,-2l1748,-1203r-1,-2l1746,-1205r1,-4l1747,-1211r-3,-2l1744,-1195r,2l1744,-1193r,-2l1744,-1195r,-18l1739,-1216r,31l1738,-1185r-9,-6l1733,-1193r3,2l1738,-1187r,l1739,-1185r,-31l1738,-1217r,6l1738,-1209r-1,l1737,-1211r1,l1738,-1217r-1,l1744,-1221r6,-4l1753,-1227r5,-4l1766,-1231r6,6l1774,-1221r4,6l1778,-1234r-7,1l1768,-1235r-6,-4l1763,-1241r11,l1805,-1235r28,4l1861,-1223r56,8l1934,-1215r17,-2l1966,-1223r11,-12l1979,-1247r2,-12l1983,-1271r5,-16l1992,-1297r1,-4l1994,-1303r4,-14l1999,-1331e" fillcolor="#005695" stroked="f">
              <v:stroke joinstyle="round"/>
              <v:formulas/>
              <v:path arrowok="t" o:connecttype="segments"/>
            </v:shape>
            <w10:wrap anchorx="page"/>
          </v:group>
        </w:pict>
      </w:r>
      <w:r>
        <w:pict>
          <v:line id="_x0000_s1330" alt="" style="position:absolute;left:0;text-align:left;z-index:251661312;mso-wrap-edited:f;mso-width-percent:0;mso-height-percent:0;mso-position-horizontal-relative:page;mso-width-percent:0;mso-height-percent:0" from="123.8pt,-73.4pt" to="326.9pt,-73.4pt" strokecolor="#005695" strokeweight=".22156mm">
            <w10:wrap anchorx="page"/>
          </v:line>
        </w:pict>
      </w:r>
      <w:r>
        <w:rPr>
          <w:noProof/>
        </w:rPr>
        <w:drawing>
          <wp:anchor distT="0" distB="0" distL="0" distR="0" simplePos="0" relativeHeight="251662336" behindDoc="0" locked="0" layoutInCell="1" allowOverlap="1">
            <wp:simplePos x="0" y="0"/>
            <wp:positionH relativeFrom="page">
              <wp:posOffset>1571365</wp:posOffset>
            </wp:positionH>
            <wp:positionV relativeFrom="paragraph">
              <wp:posOffset>-1120550</wp:posOffset>
            </wp:positionV>
            <wp:extent cx="1639746" cy="111728"/>
            <wp:effectExtent l="0" t="0" r="0" b="0"/>
            <wp:wrapNone/>
            <wp:docPr id="1"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639746" cy="111728"/>
                    </a:xfrm>
                    <a:prstGeom prst="rect">
                      <a:avLst/>
                    </a:prstGeom>
                  </pic:spPr>
                </pic:pic>
              </a:graphicData>
            </a:graphic>
          </wp:anchor>
        </w:drawing>
      </w:r>
      <w:r>
        <w:rPr>
          <w:noProof/>
        </w:rPr>
        <w:drawing>
          <wp:anchor distT="0" distB="0" distL="0" distR="0" simplePos="0" relativeHeight="251663360" behindDoc="0" locked="0" layoutInCell="1" allowOverlap="1">
            <wp:simplePos x="0" y="0"/>
            <wp:positionH relativeFrom="page">
              <wp:posOffset>1572971</wp:posOffset>
            </wp:positionH>
            <wp:positionV relativeFrom="paragraph">
              <wp:posOffset>-853702</wp:posOffset>
            </wp:positionV>
            <wp:extent cx="2587589" cy="126301"/>
            <wp:effectExtent l="0" t="0" r="0" b="0"/>
            <wp:wrapNone/>
            <wp:docPr id="3"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2587589" cy="126301"/>
                    </a:xfrm>
                    <a:prstGeom prst="rect">
                      <a:avLst/>
                    </a:prstGeom>
                  </pic:spPr>
                </pic:pic>
              </a:graphicData>
            </a:graphic>
          </wp:anchor>
        </w:drawing>
      </w:r>
      <w:r>
        <w:rPr>
          <w:rFonts w:ascii="MyriadPro-Semibold"/>
          <w:b/>
          <w:color w:val="005695"/>
          <w:sz w:val="56"/>
        </w:rPr>
        <w:t>STATE PARTY REPORT</w:t>
      </w:r>
    </w:p>
    <w:p w:rsidR="00D1511D" w:rsidRDefault="003F0CB3">
      <w:pPr>
        <w:spacing w:before="238" w:line="230" w:lineRule="auto"/>
        <w:ind w:left="2688" w:right="3049"/>
        <w:rPr>
          <w:rFonts w:ascii="Myriad Pro"/>
          <w:sz w:val="40"/>
        </w:rPr>
      </w:pPr>
      <w:r>
        <w:rPr>
          <w:rFonts w:ascii="Myriad Pro"/>
          <w:color w:val="005695"/>
          <w:sz w:val="40"/>
        </w:rPr>
        <w:t>ON THE STATE OF CONSERVATION OF THE GREAT BARRIER REEF</w:t>
      </w:r>
    </w:p>
    <w:p w:rsidR="00D1511D" w:rsidRDefault="003F0CB3">
      <w:pPr>
        <w:spacing w:line="463" w:lineRule="exact"/>
        <w:ind w:left="2688"/>
        <w:rPr>
          <w:rFonts w:ascii="Myriad Pro"/>
          <w:sz w:val="40"/>
        </w:rPr>
      </w:pPr>
      <w:r>
        <w:rPr>
          <w:rFonts w:ascii="Myriad Pro"/>
          <w:color w:val="005695"/>
          <w:sz w:val="40"/>
        </w:rPr>
        <w:t>WORLD HERITAGE AREA (AUSTRALIA)</w:t>
      </w:r>
    </w:p>
    <w:p w:rsidR="00D1511D" w:rsidRDefault="003F0CB3">
      <w:pPr>
        <w:spacing w:before="310"/>
        <w:ind w:left="2687"/>
        <w:rPr>
          <w:rFonts w:ascii="MyriadPro-Semibold"/>
          <w:b/>
          <w:sz w:val="28"/>
        </w:rPr>
      </w:pPr>
      <w:r>
        <w:rPr>
          <w:rFonts w:ascii="MyriadPro-Semibold"/>
          <w:b/>
          <w:color w:val="808285"/>
          <w:sz w:val="28"/>
        </w:rPr>
        <w:t>PROPERTY ID N154</w:t>
      </w:r>
    </w:p>
    <w:p w:rsidR="00D1511D" w:rsidRDefault="00D1511D">
      <w:pPr>
        <w:pStyle w:val="BodyText"/>
        <w:rPr>
          <w:rFonts w:ascii="MyriadPro-Semibold"/>
          <w:b/>
        </w:rPr>
      </w:pPr>
    </w:p>
    <w:p w:rsidR="00D1511D" w:rsidRDefault="00D1511D">
      <w:pPr>
        <w:pStyle w:val="BodyText"/>
        <w:rPr>
          <w:rFonts w:ascii="MyriadPro-Semibold"/>
          <w:b/>
        </w:rPr>
      </w:pPr>
    </w:p>
    <w:p w:rsidR="00D1511D" w:rsidRDefault="00D1511D">
      <w:pPr>
        <w:pStyle w:val="BodyText"/>
        <w:rPr>
          <w:rFonts w:ascii="MyriadPro-Semibold"/>
          <w:b/>
        </w:rPr>
      </w:pPr>
    </w:p>
    <w:p w:rsidR="00D1511D" w:rsidRDefault="00D1511D">
      <w:pPr>
        <w:pStyle w:val="BodyText"/>
        <w:rPr>
          <w:rFonts w:ascii="MyriadPro-Semibold"/>
          <w:b/>
        </w:rPr>
      </w:pPr>
    </w:p>
    <w:p w:rsidR="00D1511D" w:rsidRDefault="00D1511D">
      <w:pPr>
        <w:pStyle w:val="BodyText"/>
        <w:rPr>
          <w:rFonts w:ascii="MyriadPro-Semibold"/>
          <w:b/>
        </w:rPr>
      </w:pPr>
    </w:p>
    <w:p w:rsidR="00D1511D" w:rsidRDefault="00D1511D">
      <w:pPr>
        <w:pStyle w:val="BodyText"/>
        <w:rPr>
          <w:rFonts w:ascii="MyriadPro-Semibold"/>
          <w:b/>
        </w:rPr>
      </w:pPr>
    </w:p>
    <w:p w:rsidR="00D1511D" w:rsidRDefault="00D1511D">
      <w:pPr>
        <w:pStyle w:val="BodyText"/>
        <w:rPr>
          <w:rFonts w:ascii="MyriadPro-Semibold"/>
          <w:b/>
        </w:rPr>
      </w:pPr>
    </w:p>
    <w:p w:rsidR="00D1511D" w:rsidRDefault="00D1511D">
      <w:pPr>
        <w:pStyle w:val="BodyText"/>
        <w:rPr>
          <w:rFonts w:ascii="MyriadPro-Semibold"/>
          <w:b/>
        </w:rPr>
      </w:pPr>
    </w:p>
    <w:p w:rsidR="00D1511D" w:rsidRDefault="00D1511D">
      <w:pPr>
        <w:pStyle w:val="BodyText"/>
        <w:rPr>
          <w:rFonts w:ascii="MyriadPro-Semibold"/>
          <w:b/>
        </w:rPr>
      </w:pPr>
    </w:p>
    <w:p w:rsidR="00D1511D" w:rsidRDefault="00D1511D">
      <w:pPr>
        <w:pStyle w:val="BodyText"/>
        <w:rPr>
          <w:rFonts w:ascii="MyriadPro-Semibold"/>
          <w:b/>
        </w:rPr>
      </w:pPr>
    </w:p>
    <w:p w:rsidR="00D1511D" w:rsidRDefault="00D1511D">
      <w:pPr>
        <w:pStyle w:val="BodyText"/>
        <w:rPr>
          <w:rFonts w:ascii="MyriadPro-Semibold"/>
          <w:b/>
        </w:rPr>
      </w:pPr>
    </w:p>
    <w:p w:rsidR="00D1511D" w:rsidRDefault="00D1511D">
      <w:pPr>
        <w:pStyle w:val="BodyText"/>
        <w:rPr>
          <w:rFonts w:ascii="MyriadPro-Semibold"/>
          <w:b/>
        </w:rPr>
      </w:pPr>
    </w:p>
    <w:p w:rsidR="00D1511D" w:rsidRDefault="00D1511D">
      <w:pPr>
        <w:pStyle w:val="BodyText"/>
        <w:rPr>
          <w:rFonts w:ascii="MyriadPro-Semibold"/>
          <w:b/>
        </w:rPr>
      </w:pPr>
    </w:p>
    <w:p w:rsidR="00D1511D" w:rsidRDefault="00D1511D">
      <w:pPr>
        <w:pStyle w:val="BodyText"/>
        <w:rPr>
          <w:rFonts w:ascii="MyriadPro-Semibold"/>
          <w:b/>
        </w:rPr>
      </w:pPr>
    </w:p>
    <w:p w:rsidR="00D1511D" w:rsidRDefault="00D1511D">
      <w:pPr>
        <w:pStyle w:val="BodyText"/>
        <w:rPr>
          <w:rFonts w:ascii="MyriadPro-Semibold"/>
          <w:b/>
        </w:rPr>
      </w:pPr>
    </w:p>
    <w:p w:rsidR="00D1511D" w:rsidRDefault="00D1511D">
      <w:pPr>
        <w:pStyle w:val="BodyText"/>
        <w:rPr>
          <w:rFonts w:ascii="MyriadPro-Semibold"/>
          <w:b/>
        </w:rPr>
      </w:pPr>
    </w:p>
    <w:p w:rsidR="00D1511D" w:rsidRDefault="00D1511D">
      <w:pPr>
        <w:pStyle w:val="BodyText"/>
        <w:rPr>
          <w:rFonts w:ascii="MyriadPro-Semibold"/>
          <w:b/>
        </w:rPr>
      </w:pPr>
    </w:p>
    <w:p w:rsidR="00D1511D" w:rsidRDefault="00D1511D">
      <w:pPr>
        <w:pStyle w:val="BodyText"/>
        <w:rPr>
          <w:rFonts w:ascii="MyriadPro-Semibold"/>
          <w:b/>
        </w:rPr>
      </w:pPr>
    </w:p>
    <w:p w:rsidR="00D1511D" w:rsidRDefault="00D1511D">
      <w:pPr>
        <w:pStyle w:val="BodyText"/>
        <w:rPr>
          <w:rFonts w:ascii="MyriadPro-Semibold"/>
          <w:b/>
        </w:rPr>
      </w:pPr>
    </w:p>
    <w:p w:rsidR="00D1511D" w:rsidRDefault="00D1511D">
      <w:pPr>
        <w:pStyle w:val="BodyText"/>
        <w:rPr>
          <w:rFonts w:ascii="MyriadPro-Semibold"/>
          <w:b/>
        </w:rPr>
      </w:pPr>
    </w:p>
    <w:p w:rsidR="00D1511D" w:rsidRDefault="00D1511D">
      <w:pPr>
        <w:pStyle w:val="BodyText"/>
        <w:rPr>
          <w:rFonts w:ascii="MyriadPro-Semibold"/>
          <w:b/>
        </w:rPr>
      </w:pPr>
    </w:p>
    <w:p w:rsidR="00D1511D" w:rsidRDefault="00D1511D">
      <w:pPr>
        <w:pStyle w:val="BodyText"/>
        <w:rPr>
          <w:rFonts w:ascii="MyriadPro-Semibold"/>
          <w:b/>
        </w:rPr>
      </w:pPr>
    </w:p>
    <w:p w:rsidR="00D1511D" w:rsidRDefault="00D1511D">
      <w:pPr>
        <w:pStyle w:val="BodyText"/>
        <w:rPr>
          <w:rFonts w:ascii="MyriadPro-Semibold"/>
          <w:b/>
        </w:rPr>
      </w:pPr>
    </w:p>
    <w:p w:rsidR="00D1511D" w:rsidRDefault="00D1511D">
      <w:pPr>
        <w:pStyle w:val="BodyText"/>
        <w:rPr>
          <w:rFonts w:ascii="MyriadPro-Semibold"/>
          <w:b/>
        </w:rPr>
      </w:pPr>
    </w:p>
    <w:p w:rsidR="00D1511D" w:rsidRDefault="00D1511D">
      <w:pPr>
        <w:pStyle w:val="BodyText"/>
        <w:rPr>
          <w:rFonts w:ascii="MyriadPro-Semibold"/>
          <w:b/>
        </w:rPr>
      </w:pPr>
    </w:p>
    <w:p w:rsidR="00D1511D" w:rsidRDefault="00D1511D">
      <w:pPr>
        <w:pStyle w:val="BodyText"/>
        <w:rPr>
          <w:rFonts w:ascii="MyriadPro-Semibold"/>
          <w:b/>
        </w:rPr>
      </w:pPr>
    </w:p>
    <w:p w:rsidR="00D1511D" w:rsidRDefault="00D1511D">
      <w:pPr>
        <w:pStyle w:val="BodyText"/>
        <w:rPr>
          <w:rFonts w:ascii="MyriadPro-Semibold"/>
          <w:b/>
        </w:rPr>
      </w:pPr>
    </w:p>
    <w:p w:rsidR="00D1511D" w:rsidRDefault="00D1511D">
      <w:pPr>
        <w:pStyle w:val="BodyText"/>
        <w:rPr>
          <w:rFonts w:ascii="MyriadPro-Semibold"/>
          <w:b/>
        </w:rPr>
      </w:pPr>
    </w:p>
    <w:p w:rsidR="00D1511D" w:rsidRDefault="00D1511D">
      <w:pPr>
        <w:pStyle w:val="BodyText"/>
        <w:rPr>
          <w:rFonts w:ascii="MyriadPro-Semibold"/>
          <w:b/>
        </w:rPr>
      </w:pPr>
    </w:p>
    <w:p w:rsidR="00D1511D" w:rsidRDefault="00D1511D">
      <w:pPr>
        <w:pStyle w:val="BodyText"/>
        <w:rPr>
          <w:rFonts w:ascii="MyriadPro-Semibold"/>
          <w:b/>
          <w:sz w:val="16"/>
        </w:rPr>
      </w:pPr>
    </w:p>
    <w:p w:rsidR="00D1511D" w:rsidRDefault="003F0CB3">
      <w:pPr>
        <w:spacing w:before="106"/>
        <w:ind w:left="2756"/>
        <w:rPr>
          <w:rFonts w:ascii="MyriadPro-Semibold"/>
          <w:b/>
          <w:sz w:val="28"/>
        </w:rPr>
      </w:pPr>
      <w:r>
        <w:pict>
          <v:line id="_x0000_s1329" alt="" style="position:absolute;left:0;text-align:left;z-index:251658240;mso-wrap-edited:f;mso-width-percent:0;mso-height-percent:0;mso-position-horizontal-relative:page;mso-width-percent:0;mso-height-percent:0" from="6.4pt,-17.6pt" to="595.3pt,-17.6pt" strokecolor="#005695" strokeweight="2pt">
            <w10:wrap anchorx="page"/>
          </v:line>
        </w:pict>
      </w:r>
      <w:r>
        <w:rPr>
          <w:noProof/>
        </w:rPr>
        <w:drawing>
          <wp:anchor distT="0" distB="0" distL="0" distR="0" simplePos="0" relativeHeight="251659264" behindDoc="0" locked="0" layoutInCell="1" allowOverlap="1">
            <wp:simplePos x="0" y="0"/>
            <wp:positionH relativeFrom="page">
              <wp:posOffset>0</wp:posOffset>
            </wp:positionH>
            <wp:positionV relativeFrom="paragraph">
              <wp:posOffset>-4138781</wp:posOffset>
            </wp:positionV>
            <wp:extent cx="7559992" cy="3851998"/>
            <wp:effectExtent l="0" t="0" r="0" b="0"/>
            <wp:wrapNone/>
            <wp:docPr id="5" name="image3.png" descr="This photo shows a yellow feather coral. This photo was taken on the Great Barrier Reef and is copyrighted to the Commonwealth of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7559992" cy="3851998"/>
                    </a:xfrm>
                    <a:prstGeom prst="rect">
                      <a:avLst/>
                    </a:prstGeom>
                  </pic:spPr>
                </pic:pic>
              </a:graphicData>
            </a:graphic>
          </wp:anchor>
        </w:drawing>
      </w:r>
      <w:r>
        <w:rPr>
          <w:rFonts w:ascii="MyriadPro-Semibold"/>
          <w:b/>
          <w:color w:val="808285"/>
          <w:sz w:val="28"/>
        </w:rPr>
        <w:t>IN RESPONSE TO</w:t>
      </w:r>
    </w:p>
    <w:p w:rsidR="00D1511D" w:rsidRDefault="003F0CB3">
      <w:pPr>
        <w:ind w:left="2753" w:right="3049" w:firstLine="2"/>
        <w:rPr>
          <w:rFonts w:ascii="MyriadPro-Semibold"/>
          <w:b/>
          <w:sz w:val="28"/>
        </w:rPr>
      </w:pPr>
      <w:r>
        <w:rPr>
          <w:rFonts w:ascii="MyriadPro-Semibold"/>
          <w:b/>
          <w:color w:val="808285"/>
          <w:sz w:val="28"/>
        </w:rPr>
        <w:t>THE WORLD HERITAGE COMMITTEE DECISION 41COM 7B.24</w:t>
      </w:r>
    </w:p>
    <w:p w:rsidR="00D1511D" w:rsidRDefault="00D1511D">
      <w:pPr>
        <w:pStyle w:val="BodyText"/>
        <w:spacing w:before="4"/>
        <w:rPr>
          <w:rFonts w:ascii="MyriadPro-Semibold"/>
          <w:b/>
          <w:sz w:val="28"/>
        </w:rPr>
      </w:pPr>
    </w:p>
    <w:p w:rsidR="00D1511D" w:rsidRDefault="003F0CB3">
      <w:pPr>
        <w:ind w:left="2753" w:right="6646" w:firstLine="2"/>
        <w:rPr>
          <w:rFonts w:ascii="Myriad Pro"/>
          <w:sz w:val="28"/>
        </w:rPr>
      </w:pPr>
      <w:r>
        <w:rPr>
          <w:rFonts w:ascii="Myriad Pro"/>
          <w:color w:val="808285"/>
          <w:sz w:val="28"/>
        </w:rPr>
        <w:t>FOR SUBMISSION BY 1 DECEMBER 2019</w:t>
      </w:r>
    </w:p>
    <w:p w:rsidR="00D1511D" w:rsidRDefault="00D1511D">
      <w:pPr>
        <w:rPr>
          <w:rFonts w:ascii="Myriad Pro"/>
          <w:sz w:val="28"/>
        </w:rPr>
        <w:sectPr w:rsidR="00D1511D">
          <w:headerReference w:type="default" r:id="rId10"/>
          <w:type w:val="continuous"/>
          <w:pgSz w:w="11910" w:h="16840"/>
          <w:pgMar w:top="620" w:right="0" w:bottom="280" w:left="0" w:header="260" w:footer="72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5"/>
        <w:rPr>
          <w:rFonts w:ascii="Myriad Pro"/>
          <w:sz w:val="22"/>
        </w:rPr>
      </w:pPr>
    </w:p>
    <w:p w:rsidR="00D1511D" w:rsidRDefault="003F0CB3">
      <w:pPr>
        <w:ind w:left="1700"/>
        <w:rPr>
          <w:b/>
          <w:sz w:val="18"/>
        </w:rPr>
      </w:pPr>
      <w:r>
        <w:rPr>
          <w:b/>
          <w:color w:val="58595B"/>
          <w:sz w:val="18"/>
        </w:rPr>
        <w:t>© Commonwealth of Australia, 2019.</w:t>
      </w:r>
    </w:p>
    <w:p w:rsidR="00D1511D" w:rsidRDefault="003F0CB3">
      <w:pPr>
        <w:pStyle w:val="BodyText"/>
        <w:spacing w:before="9"/>
        <w:rPr>
          <w:b/>
          <w:sz w:val="15"/>
        </w:rPr>
      </w:pPr>
      <w:r>
        <w:pict>
          <v:group id="_x0000_s1320" alt="" style="position:absolute;margin-left:85.05pt;margin-top:11.4pt;width:120pt;height:42pt;z-index:-251652096;mso-wrap-distance-left:0;mso-wrap-distance-right:0;mso-position-horizontal-relative:page" coordorigin="1701,228" coordsize="2400,840">
            <v:shape id="_x0000_s1321" alt="" style="position:absolute;left:1706;top:238;width:2385;height:814" coordorigin="1706,239" coordsize="2385,814" path="m1764,239r-32,5l1715,258r-7,21l1706,303r,749l4088,1052r3,-746l4053,243,1764,239xe" fillcolor="#bcbec0" stroked="f">
              <v:path arrowok="t"/>
            </v:shape>
            <v:shape id="_x0000_s1322" alt="" style="position:absolute;left:1700;top:228;width:2400;height:840" coordorigin="1701,228" coordsize="2400,840" o:spt="100" adj="0,,0" path="m4056,228r-2310,l1728,232r-14,10l1704,256r-3,17l1701,1064r4,4l4096,1068r5,-4l4101,1003r-1988,l2035,994r-72,-25l1899,931r-54,-51l1802,819r-81,l1721,260r11,-11l4092,249r-4,-7l4073,232r-17,-4xm4092,249r-23,l4080,260r,559l2424,819r-43,61l2327,931r-64,38l2191,994r-78,9l4101,1003r,-730l4097,256r-5,-7xe" fillcolor="#231f20"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23" type="#_x0000_t75" alt="" style="position:absolute;left:3114;top:883;width:244;height:133">
              <v:imagedata r:id="rId11" o:title=""/>
            </v:shape>
            <v:shape id="_x0000_s1324" alt="" style="position:absolute;left:1840;top:347;width:546;height:546" coordorigin="1840,348" coordsize="546,546" path="m2113,348r-72,9l1975,385r-55,43l1878,483r-28,65l1841,620r-1,1l1850,693r28,65l1920,814r56,42l2041,884r72,9l2186,884r65,-28l2306,813r43,-55l2376,693r10,-72l2386,620r-10,-72l2349,483r-43,-56l2251,385r-65,-28l2113,348xe" stroked="f">
              <v:path arrowok="t"/>
            </v:shape>
            <v:shape id="_x0000_s1325" alt="" style="position:absolute;left:1800;top:307;width:625;height:626" coordorigin="1801,308" coordsize="625,626" o:spt="100" adj="0,,0" path="m2113,308r-63,5l1993,330r-52,29l1893,398r-40,49l1824,501r-17,58l1801,621r6,61l1824,740r29,53l1893,841r48,40l1994,910r57,18l2113,933r62,-5l2233,910r54,-29l2293,876r-179,l2063,872r-47,-15l1973,834r-40,-34l1900,761r-24,-43l1862,671r-5,-50l1862,570r14,-47l1900,479r34,-40l1973,406r43,-23l2063,369r51,-5l2293,364r-6,-5l2234,330r-58,-17l2113,308xm2293,364r-179,l2165,369r47,14l2255,406r40,33l2328,478r23,44l2365,569r5,52l2365,671r,1l2351,719r-23,43l2296,800r-40,33l2212,857r-48,15l2114,876r179,l2336,840r39,-47l2403,741r17,-57l2426,621r-6,-64l2403,499r-28,-53l2335,398r-42,-34xm2027,523r-19,2l1991,530r-15,8l1962,550r-12,14l1942,580r-5,19l1936,621r1,21l1942,661r8,17l1961,692r14,11l1990,711r18,5l2028,718r26,-3l2076,705r19,-15l2106,676r-73,l2015,672r-13,-10l1994,645r-2,-25l1994,596r8,-18l2015,568r18,-3l2106,565r-11,-16l2076,535r-22,-9l2027,523xm2208,523r-19,2l2171,530r-15,8l2142,550r-11,14l2123,580r-5,19l2116,621r2,21l2123,661r8,17l2142,692r14,11l2171,711r18,5l2209,718r26,-3l2257,705r19,-15l2286,676r-72,l2195,672r-13,-10l2174,645r-3,-25l2174,596r8,-18l2195,568r19,-3l2287,565r-11,-16l2257,535r-23,-9l2208,523xm2072,649r-7,12l2057,669r-11,5l2033,676r73,l2110,669r-38,-20xm2252,649r-6,12l2237,669r-11,5l2214,676r72,l2291,669r-39,-20xm2106,565r-73,l2044,566r10,5l2062,579r6,11l2110,569r-4,-4xm2287,565r-73,l2224,566r10,5l2242,579r6,11l2290,569r-3,-4xe" fillcolor="#231f20" stroked="f">
              <v:stroke joinstyle="round"/>
              <v:formulas/>
              <v:path arrowok="t" o:connecttype="segments"/>
            </v:shape>
            <v:shape id="_x0000_s1326" alt="" style="position:absolute;left:3011;top:317;width:430;height:430" coordorigin="3011,318" coordsize="430,430" path="m3226,318r-68,11l3099,359r-46,47l3022,465r-11,68l3022,601r31,59l3099,706r59,31l3226,747r68,-10l3353,706r46,-46l3430,601r11,-68l3430,465r-31,-59l3353,359r-59,-30l3226,318xe" stroked="f">
              <v:path arrowok="t"/>
            </v:shape>
            <v:shape id="_x0000_s1327" type="#_x0000_t75" alt="" style="position:absolute;left:3163;top:378;width:125;height:300">
              <v:imagedata r:id="rId12" o:title=""/>
            </v:shape>
            <v:shape id="_x0000_s1328" alt="" style="position:absolute;left:2993;top:296;width:464;height:464" coordorigin="2994,296" coordsize="464,464" o:spt="100" adj="0,,0" path="m3226,296r-47,4l3137,313r-39,21l3062,363r-30,37l3011,439r-13,43l2994,528r4,46l3011,616r21,40l3062,691r36,30l3137,743r43,13l3226,760r46,-4l3315,743r40,-22l3359,718r-133,l3189,714r-35,-10l3122,686r-30,-25l3067,632r-17,-32l3039,565r-3,-37l3039,491r11,-35l3068,423r25,-30l3121,369r32,-17l3188,341r38,-3l3360,338r-5,-4l3316,313r-44,-13l3226,296xm3360,338r-134,l3264,341r35,11l3331,369r29,24l3385,423r17,32l3413,490r3,38l3413,566r-11,35l3385,633r-24,28l3331,686r-32,17l3264,714r-38,4l3359,718r33,-27l3421,656r20,-39l3454,575r4,-47l3454,481r-13,-43l3420,399r-30,-36l3360,338xe" fillcolor="#231f20" stroked="f">
              <v:stroke joinstyle="round"/>
              <v:formulas/>
              <v:path arrowok="t" o:connecttype="segments"/>
            </v:shape>
            <w10:wrap type="topAndBottom" anchorx="page"/>
          </v:group>
        </w:pict>
      </w:r>
    </w:p>
    <w:p w:rsidR="00D1511D" w:rsidRDefault="00D1511D">
      <w:pPr>
        <w:pStyle w:val="BodyText"/>
        <w:rPr>
          <w:b/>
          <w:sz w:val="22"/>
        </w:rPr>
      </w:pPr>
    </w:p>
    <w:p w:rsidR="00D1511D" w:rsidRDefault="00D1511D">
      <w:pPr>
        <w:pStyle w:val="BodyText"/>
        <w:spacing w:before="10"/>
        <w:rPr>
          <w:b/>
          <w:sz w:val="16"/>
        </w:rPr>
      </w:pPr>
    </w:p>
    <w:p w:rsidR="00D1511D" w:rsidRDefault="003F0CB3">
      <w:pPr>
        <w:spacing w:before="1" w:line="266" w:lineRule="auto"/>
        <w:ind w:left="1700" w:right="1802"/>
        <w:rPr>
          <w:sz w:val="18"/>
        </w:rPr>
      </w:pPr>
      <w:r>
        <w:rPr>
          <w:i/>
          <w:color w:val="58595B"/>
          <w:sz w:val="18"/>
        </w:rPr>
        <w:t xml:space="preserve">State Party Report on the state of conservation of the Great Barrier Reef World Heritage Area (Australia) </w:t>
      </w:r>
      <w:r>
        <w:rPr>
          <w:color w:val="58595B"/>
          <w:sz w:val="18"/>
        </w:rPr>
        <w:t xml:space="preserve">is licensed by the </w:t>
      </w:r>
      <w:bookmarkStart w:id="0" w:name="_GoBack"/>
      <w:bookmarkEnd w:id="0"/>
      <w:r>
        <w:rPr>
          <w:color w:val="58595B"/>
          <w:sz w:val="18"/>
        </w:rPr>
        <w:t xml:space="preserve">Commonwealth of Australia for use under a Creative Commons by Attribution 3.0 Australia </w:t>
      </w:r>
      <w:proofErr w:type="spellStart"/>
      <w:r>
        <w:rPr>
          <w:color w:val="58595B"/>
          <w:sz w:val="18"/>
        </w:rPr>
        <w:t>licence</w:t>
      </w:r>
      <w:proofErr w:type="spellEnd"/>
      <w:r>
        <w:rPr>
          <w:color w:val="58595B"/>
          <w:sz w:val="18"/>
        </w:rPr>
        <w:t xml:space="preserve"> with the exception of the Coat of A</w:t>
      </w:r>
      <w:r>
        <w:rPr>
          <w:color w:val="58595B"/>
          <w:sz w:val="18"/>
        </w:rPr>
        <w:t>rms of the Commonwealth of Australia, the logo of the agency responsible for publishing the report, content supplied by third parties, and any images depicting people.</w:t>
      </w:r>
    </w:p>
    <w:p w:rsidR="00D1511D" w:rsidRDefault="003F0CB3">
      <w:pPr>
        <w:spacing w:before="171"/>
        <w:ind w:left="1700"/>
        <w:rPr>
          <w:b/>
          <w:sz w:val="18"/>
        </w:rPr>
      </w:pPr>
      <w:r>
        <w:rPr>
          <w:b/>
          <w:color w:val="58595B"/>
          <w:sz w:val="18"/>
        </w:rPr>
        <w:t>F</w:t>
      </w:r>
      <w:hyperlink r:id="rId13">
        <w:r>
          <w:rPr>
            <w:b/>
            <w:color w:val="58595B"/>
            <w:sz w:val="18"/>
          </w:rPr>
          <w:t>or licence conditions</w:t>
        </w:r>
        <w:r>
          <w:rPr>
            <w:b/>
            <w:color w:val="58595B"/>
            <w:sz w:val="18"/>
          </w:rPr>
          <w:t xml:space="preserve"> see: http://creativecommons.org/licenses/by/3.0/au/</w:t>
        </w:r>
      </w:hyperlink>
    </w:p>
    <w:p w:rsidR="00D1511D" w:rsidRDefault="003F0CB3">
      <w:pPr>
        <w:spacing w:before="194" w:line="266" w:lineRule="auto"/>
        <w:ind w:left="1700" w:right="1585"/>
        <w:rPr>
          <w:sz w:val="18"/>
        </w:rPr>
      </w:pPr>
      <w:r>
        <w:rPr>
          <w:color w:val="58595B"/>
          <w:sz w:val="18"/>
        </w:rPr>
        <w:t xml:space="preserve">This report should be attributed as </w:t>
      </w:r>
      <w:r>
        <w:rPr>
          <w:i/>
          <w:color w:val="58595B"/>
          <w:sz w:val="18"/>
        </w:rPr>
        <w:t>State Party Report on the state of conservation of the Great Barrier Reef World Heritage Area (Australia), Commonwealth of Australia, 2019</w:t>
      </w:r>
      <w:r>
        <w:rPr>
          <w:color w:val="58595B"/>
          <w:sz w:val="18"/>
        </w:rPr>
        <w:t>.</w:t>
      </w:r>
    </w:p>
    <w:p w:rsidR="00D1511D" w:rsidRDefault="003F0CB3">
      <w:pPr>
        <w:spacing w:before="170"/>
        <w:ind w:left="1700"/>
        <w:rPr>
          <w:sz w:val="18"/>
        </w:rPr>
      </w:pPr>
      <w:r>
        <w:rPr>
          <w:color w:val="58595B"/>
          <w:sz w:val="18"/>
        </w:rPr>
        <w:t>Images used throughout prov</w:t>
      </w:r>
      <w:r>
        <w:rPr>
          <w:color w:val="58595B"/>
          <w:sz w:val="18"/>
        </w:rPr>
        <w:t>ided courtesy of the Great Barrier Reef Marine Park Authority.</w:t>
      </w:r>
    </w:p>
    <w:p w:rsidR="00D1511D" w:rsidRDefault="00D1511D">
      <w:pPr>
        <w:rPr>
          <w:sz w:val="18"/>
        </w:rPr>
        <w:sectPr w:rsidR="00D1511D">
          <w:headerReference w:type="default" r:id="rId14"/>
          <w:pgSz w:w="11910" w:h="16840"/>
          <w:pgMar w:top="1580" w:right="0" w:bottom="280" w:left="0" w:header="0" w:footer="0" w:gutter="0"/>
          <w:cols w:space="720"/>
        </w:sectPr>
      </w:pPr>
    </w:p>
    <w:p w:rsidR="00D1511D" w:rsidRDefault="00D1511D">
      <w:pPr>
        <w:pStyle w:val="BodyText"/>
      </w:pPr>
    </w:p>
    <w:p w:rsidR="00D1511D" w:rsidRDefault="00D1511D">
      <w:pPr>
        <w:pStyle w:val="BodyText"/>
      </w:pPr>
    </w:p>
    <w:p w:rsidR="00D1511D" w:rsidRDefault="00D1511D">
      <w:pPr>
        <w:pStyle w:val="BodyText"/>
        <w:spacing w:before="7"/>
        <w:rPr>
          <w:sz w:val="15"/>
        </w:rPr>
      </w:pPr>
    </w:p>
    <w:p w:rsidR="00D1511D" w:rsidRDefault="003F0CB3">
      <w:pPr>
        <w:pStyle w:val="Heading1"/>
        <w:ind w:left="1700"/>
      </w:pPr>
      <w:r>
        <w:rPr>
          <w:color w:val="005695"/>
        </w:rPr>
        <w:t>Table of Contents</w:t>
      </w:r>
    </w:p>
    <w:p w:rsidR="00D1511D" w:rsidRDefault="00D1511D">
      <w:pPr>
        <w:pStyle w:val="BodyText"/>
        <w:rPr>
          <w:rFonts w:ascii="Myriad Pro"/>
        </w:rPr>
      </w:pPr>
    </w:p>
    <w:p w:rsidR="00D1511D" w:rsidRDefault="00D1511D">
      <w:pPr>
        <w:pStyle w:val="BodyText"/>
        <w:spacing w:before="4"/>
        <w:rPr>
          <w:rFonts w:ascii="Myriad Pro"/>
          <w:sz w:val="21"/>
        </w:rPr>
      </w:pPr>
    </w:p>
    <w:tbl>
      <w:tblPr>
        <w:tblW w:w="0" w:type="auto"/>
        <w:tblInd w:w="1658" w:type="dxa"/>
        <w:tblLayout w:type="fixed"/>
        <w:tblCellMar>
          <w:left w:w="0" w:type="dxa"/>
          <w:right w:w="0" w:type="dxa"/>
        </w:tblCellMar>
        <w:tblLook w:val="01E0" w:firstRow="1" w:lastRow="1" w:firstColumn="1" w:lastColumn="1" w:noHBand="0" w:noVBand="0"/>
      </w:tblPr>
      <w:tblGrid>
        <w:gridCol w:w="728"/>
        <w:gridCol w:w="7716"/>
        <w:gridCol w:w="376"/>
      </w:tblGrid>
      <w:tr w:rsidR="00D1511D">
        <w:trPr>
          <w:trHeight w:val="331"/>
        </w:trPr>
        <w:tc>
          <w:tcPr>
            <w:tcW w:w="728" w:type="dxa"/>
          </w:tcPr>
          <w:p w:rsidR="00D1511D" w:rsidRDefault="003F0CB3">
            <w:pPr>
              <w:pStyle w:val="TableParagraph"/>
              <w:spacing w:before="8"/>
              <w:ind w:left="50"/>
              <w:rPr>
                <w:rFonts w:ascii="Myriad Pro"/>
                <w:b/>
              </w:rPr>
            </w:pPr>
            <w:r>
              <w:rPr>
                <w:rFonts w:ascii="Myriad Pro"/>
                <w:b/>
                <w:color w:val="58595B"/>
              </w:rPr>
              <w:t>1.</w:t>
            </w:r>
          </w:p>
        </w:tc>
        <w:tc>
          <w:tcPr>
            <w:tcW w:w="7716" w:type="dxa"/>
          </w:tcPr>
          <w:p w:rsidR="00D1511D" w:rsidRDefault="003F0CB3">
            <w:pPr>
              <w:pStyle w:val="TableParagraph"/>
              <w:spacing w:before="8"/>
              <w:ind w:left="121"/>
              <w:rPr>
                <w:rFonts w:ascii="Myriad Pro"/>
                <w:b/>
              </w:rPr>
            </w:pPr>
            <w:r>
              <w:rPr>
                <w:rFonts w:ascii="Myriad Pro"/>
                <w:b/>
                <w:color w:val="58595B"/>
              </w:rPr>
              <w:t>Executive summary (English)</w:t>
            </w:r>
          </w:p>
        </w:tc>
        <w:tc>
          <w:tcPr>
            <w:tcW w:w="376" w:type="dxa"/>
          </w:tcPr>
          <w:p w:rsidR="00D1511D" w:rsidRDefault="003F0CB3">
            <w:pPr>
              <w:pStyle w:val="TableParagraph"/>
              <w:spacing w:before="8"/>
              <w:ind w:left="153"/>
              <w:jc w:val="center"/>
              <w:rPr>
                <w:rFonts w:ascii="Myriad Pro"/>
                <w:b/>
              </w:rPr>
            </w:pPr>
            <w:r>
              <w:rPr>
                <w:rFonts w:ascii="Myriad Pro"/>
                <w:b/>
                <w:color w:val="58595B"/>
              </w:rPr>
              <w:t>3</w:t>
            </w:r>
          </w:p>
        </w:tc>
      </w:tr>
      <w:tr w:rsidR="00D1511D">
        <w:trPr>
          <w:trHeight w:val="390"/>
        </w:trPr>
        <w:tc>
          <w:tcPr>
            <w:tcW w:w="728" w:type="dxa"/>
          </w:tcPr>
          <w:p w:rsidR="00D1511D" w:rsidRDefault="003F0CB3">
            <w:pPr>
              <w:pStyle w:val="TableParagraph"/>
              <w:spacing w:before="67"/>
              <w:ind w:left="50"/>
              <w:rPr>
                <w:rFonts w:ascii="Myriad Pro"/>
                <w:b/>
              </w:rPr>
            </w:pPr>
            <w:r>
              <w:rPr>
                <w:rFonts w:ascii="Myriad Pro"/>
                <w:b/>
                <w:color w:val="58595B"/>
              </w:rPr>
              <w:t>2.</w:t>
            </w:r>
          </w:p>
        </w:tc>
        <w:tc>
          <w:tcPr>
            <w:tcW w:w="7716" w:type="dxa"/>
          </w:tcPr>
          <w:p w:rsidR="00D1511D" w:rsidRDefault="003F0CB3">
            <w:pPr>
              <w:pStyle w:val="TableParagraph"/>
              <w:spacing w:before="67"/>
              <w:ind w:left="121"/>
              <w:rPr>
                <w:rFonts w:ascii="Myriad Pro"/>
                <w:b/>
              </w:rPr>
            </w:pPr>
            <w:r>
              <w:rPr>
                <w:rFonts w:ascii="Myriad Pro"/>
                <w:b/>
                <w:color w:val="58595B"/>
              </w:rPr>
              <w:t>Executive summary (French)</w:t>
            </w:r>
          </w:p>
        </w:tc>
        <w:tc>
          <w:tcPr>
            <w:tcW w:w="376" w:type="dxa"/>
          </w:tcPr>
          <w:p w:rsidR="00D1511D" w:rsidRDefault="003F0CB3">
            <w:pPr>
              <w:pStyle w:val="TableParagraph"/>
              <w:spacing w:before="67"/>
              <w:ind w:left="153"/>
              <w:jc w:val="center"/>
              <w:rPr>
                <w:rFonts w:ascii="Myriad Pro"/>
                <w:b/>
              </w:rPr>
            </w:pPr>
            <w:r>
              <w:rPr>
                <w:rFonts w:ascii="Myriad Pro"/>
                <w:b/>
                <w:color w:val="58595B"/>
              </w:rPr>
              <w:t>5</w:t>
            </w:r>
          </w:p>
        </w:tc>
      </w:tr>
      <w:tr w:rsidR="00D1511D">
        <w:trPr>
          <w:trHeight w:val="394"/>
        </w:trPr>
        <w:tc>
          <w:tcPr>
            <w:tcW w:w="728" w:type="dxa"/>
          </w:tcPr>
          <w:p w:rsidR="00D1511D" w:rsidRDefault="003F0CB3">
            <w:pPr>
              <w:pStyle w:val="TableParagraph"/>
              <w:spacing w:before="67"/>
              <w:ind w:left="50"/>
              <w:rPr>
                <w:rFonts w:ascii="Myriad Pro"/>
                <w:b/>
              </w:rPr>
            </w:pPr>
            <w:r>
              <w:rPr>
                <w:rFonts w:ascii="Myriad Pro"/>
                <w:b/>
                <w:color w:val="58595B"/>
              </w:rPr>
              <w:t>3.</w:t>
            </w:r>
          </w:p>
        </w:tc>
        <w:tc>
          <w:tcPr>
            <w:tcW w:w="7716" w:type="dxa"/>
          </w:tcPr>
          <w:p w:rsidR="00D1511D" w:rsidRDefault="003F0CB3">
            <w:pPr>
              <w:pStyle w:val="TableParagraph"/>
              <w:spacing w:before="67"/>
              <w:ind w:left="121"/>
              <w:rPr>
                <w:rFonts w:ascii="Myriad Pro"/>
                <w:b/>
              </w:rPr>
            </w:pPr>
            <w:r>
              <w:rPr>
                <w:rFonts w:ascii="Myriad Pro"/>
                <w:b/>
                <w:color w:val="58595B"/>
              </w:rPr>
              <w:t>Introduction and context</w:t>
            </w:r>
          </w:p>
        </w:tc>
        <w:tc>
          <w:tcPr>
            <w:tcW w:w="376" w:type="dxa"/>
          </w:tcPr>
          <w:p w:rsidR="00D1511D" w:rsidRDefault="003F0CB3">
            <w:pPr>
              <w:pStyle w:val="TableParagraph"/>
              <w:spacing w:before="67"/>
              <w:ind w:left="153"/>
              <w:jc w:val="center"/>
              <w:rPr>
                <w:rFonts w:ascii="Myriad Pro"/>
                <w:b/>
              </w:rPr>
            </w:pPr>
            <w:r>
              <w:rPr>
                <w:rFonts w:ascii="Myriad Pro"/>
                <w:b/>
                <w:color w:val="58595B"/>
              </w:rPr>
              <w:t>7</w:t>
            </w:r>
          </w:p>
        </w:tc>
      </w:tr>
      <w:tr w:rsidR="00D1511D">
        <w:trPr>
          <w:trHeight w:val="390"/>
        </w:trPr>
        <w:tc>
          <w:tcPr>
            <w:tcW w:w="728" w:type="dxa"/>
          </w:tcPr>
          <w:p w:rsidR="00D1511D" w:rsidRDefault="003F0CB3">
            <w:pPr>
              <w:pStyle w:val="TableParagraph"/>
              <w:spacing w:before="63"/>
              <w:ind w:left="50"/>
              <w:rPr>
                <w:rFonts w:ascii="Myriad Pro"/>
              </w:rPr>
            </w:pPr>
            <w:r>
              <w:rPr>
                <w:rFonts w:ascii="Myriad Pro"/>
                <w:color w:val="58595B"/>
              </w:rPr>
              <w:t>3.1</w:t>
            </w:r>
          </w:p>
        </w:tc>
        <w:tc>
          <w:tcPr>
            <w:tcW w:w="7716" w:type="dxa"/>
          </w:tcPr>
          <w:p w:rsidR="00D1511D" w:rsidRDefault="003F0CB3">
            <w:pPr>
              <w:pStyle w:val="TableParagraph"/>
              <w:spacing w:before="63"/>
              <w:ind w:left="121"/>
              <w:rPr>
                <w:rFonts w:ascii="Myriad Pro"/>
              </w:rPr>
            </w:pPr>
            <w:r>
              <w:rPr>
                <w:rFonts w:ascii="Myriad Pro"/>
                <w:color w:val="58595B"/>
              </w:rPr>
              <w:t>The Great Barrier Reef World Heritage Area</w:t>
            </w:r>
          </w:p>
        </w:tc>
        <w:tc>
          <w:tcPr>
            <w:tcW w:w="376" w:type="dxa"/>
          </w:tcPr>
          <w:p w:rsidR="00D1511D" w:rsidRDefault="003F0CB3">
            <w:pPr>
              <w:pStyle w:val="TableParagraph"/>
              <w:spacing w:before="63"/>
              <w:ind w:left="162"/>
              <w:jc w:val="center"/>
              <w:rPr>
                <w:rFonts w:ascii="Myriad Pro"/>
              </w:rPr>
            </w:pPr>
            <w:r>
              <w:rPr>
                <w:rFonts w:ascii="Myriad Pro"/>
                <w:color w:val="58595B"/>
              </w:rPr>
              <w:t>8</w:t>
            </w:r>
          </w:p>
        </w:tc>
      </w:tr>
      <w:tr w:rsidR="00D1511D">
        <w:trPr>
          <w:trHeight w:val="390"/>
        </w:trPr>
        <w:tc>
          <w:tcPr>
            <w:tcW w:w="728" w:type="dxa"/>
          </w:tcPr>
          <w:p w:rsidR="00D1511D" w:rsidRDefault="003F0CB3">
            <w:pPr>
              <w:pStyle w:val="TableParagraph"/>
              <w:spacing w:before="63"/>
              <w:ind w:left="50"/>
              <w:rPr>
                <w:rFonts w:ascii="Myriad Pro"/>
              </w:rPr>
            </w:pPr>
            <w:r>
              <w:rPr>
                <w:rFonts w:ascii="Myriad Pro"/>
                <w:color w:val="58595B"/>
              </w:rPr>
              <w:t>3.2</w:t>
            </w:r>
          </w:p>
        </w:tc>
        <w:tc>
          <w:tcPr>
            <w:tcW w:w="7716" w:type="dxa"/>
          </w:tcPr>
          <w:p w:rsidR="00D1511D" w:rsidRDefault="003F0CB3">
            <w:pPr>
              <w:pStyle w:val="TableParagraph"/>
              <w:spacing w:before="63"/>
              <w:ind w:left="121"/>
              <w:rPr>
                <w:rFonts w:ascii="Myriad Pro"/>
              </w:rPr>
            </w:pPr>
            <w:r>
              <w:rPr>
                <w:rFonts w:ascii="Myriad Pro"/>
                <w:color w:val="58595B"/>
              </w:rPr>
              <w:t>Management of the Great Barrier Reef World Heritage Area</w:t>
            </w:r>
          </w:p>
        </w:tc>
        <w:tc>
          <w:tcPr>
            <w:tcW w:w="376" w:type="dxa"/>
          </w:tcPr>
          <w:p w:rsidR="00D1511D" w:rsidRDefault="003F0CB3">
            <w:pPr>
              <w:pStyle w:val="TableParagraph"/>
              <w:spacing w:before="63"/>
              <w:ind w:left="162"/>
              <w:jc w:val="center"/>
              <w:rPr>
                <w:rFonts w:ascii="Myriad Pro"/>
              </w:rPr>
            </w:pPr>
            <w:r>
              <w:rPr>
                <w:rFonts w:ascii="Myriad Pro"/>
                <w:color w:val="58595B"/>
              </w:rPr>
              <w:t>8</w:t>
            </w:r>
          </w:p>
        </w:tc>
      </w:tr>
      <w:tr w:rsidR="00D1511D">
        <w:trPr>
          <w:trHeight w:val="390"/>
        </w:trPr>
        <w:tc>
          <w:tcPr>
            <w:tcW w:w="728" w:type="dxa"/>
          </w:tcPr>
          <w:p w:rsidR="00D1511D" w:rsidRDefault="003F0CB3">
            <w:pPr>
              <w:pStyle w:val="TableParagraph"/>
              <w:spacing w:before="63"/>
              <w:ind w:left="50"/>
              <w:rPr>
                <w:rFonts w:ascii="Myriad Pro"/>
              </w:rPr>
            </w:pPr>
            <w:r>
              <w:rPr>
                <w:rFonts w:ascii="Myriad Pro"/>
                <w:color w:val="58595B"/>
              </w:rPr>
              <w:t>3.2.1</w:t>
            </w:r>
          </w:p>
        </w:tc>
        <w:tc>
          <w:tcPr>
            <w:tcW w:w="7716" w:type="dxa"/>
          </w:tcPr>
          <w:p w:rsidR="00D1511D" w:rsidRDefault="003F0CB3">
            <w:pPr>
              <w:pStyle w:val="TableParagraph"/>
              <w:spacing w:before="63"/>
              <w:ind w:left="121"/>
              <w:rPr>
                <w:rFonts w:ascii="Myriad Pro"/>
              </w:rPr>
            </w:pPr>
            <w:r>
              <w:rPr>
                <w:rFonts w:ascii="Myriad Pro"/>
                <w:color w:val="58595B"/>
              </w:rPr>
              <w:t>Governance arrangements</w:t>
            </w:r>
          </w:p>
        </w:tc>
        <w:tc>
          <w:tcPr>
            <w:tcW w:w="376" w:type="dxa"/>
          </w:tcPr>
          <w:p w:rsidR="00D1511D" w:rsidRDefault="003F0CB3">
            <w:pPr>
              <w:pStyle w:val="TableParagraph"/>
              <w:spacing w:before="63"/>
              <w:ind w:left="162"/>
              <w:jc w:val="center"/>
              <w:rPr>
                <w:rFonts w:ascii="Myriad Pro"/>
              </w:rPr>
            </w:pPr>
            <w:r>
              <w:rPr>
                <w:rFonts w:ascii="Myriad Pro"/>
                <w:color w:val="58595B"/>
              </w:rPr>
              <w:t>9</w:t>
            </w:r>
          </w:p>
        </w:tc>
      </w:tr>
      <w:tr w:rsidR="00D1511D">
        <w:trPr>
          <w:trHeight w:val="390"/>
        </w:trPr>
        <w:tc>
          <w:tcPr>
            <w:tcW w:w="728" w:type="dxa"/>
          </w:tcPr>
          <w:p w:rsidR="00D1511D" w:rsidRDefault="003F0CB3">
            <w:pPr>
              <w:pStyle w:val="TableParagraph"/>
              <w:spacing w:before="63"/>
              <w:ind w:left="50"/>
              <w:rPr>
                <w:rFonts w:ascii="Myriad Pro"/>
              </w:rPr>
            </w:pPr>
            <w:r>
              <w:rPr>
                <w:rFonts w:ascii="Myriad Pro"/>
                <w:color w:val="58595B"/>
              </w:rPr>
              <w:t>3.2.2</w:t>
            </w:r>
          </w:p>
        </w:tc>
        <w:tc>
          <w:tcPr>
            <w:tcW w:w="7716" w:type="dxa"/>
          </w:tcPr>
          <w:p w:rsidR="00D1511D" w:rsidRDefault="003F0CB3">
            <w:pPr>
              <w:pStyle w:val="TableParagraph"/>
              <w:spacing w:before="63"/>
              <w:ind w:left="122"/>
              <w:rPr>
                <w:rFonts w:ascii="Myriad Pro"/>
              </w:rPr>
            </w:pPr>
            <w:r>
              <w:rPr>
                <w:rFonts w:ascii="Myriad Pro"/>
                <w:color w:val="58595B"/>
              </w:rPr>
              <w:t>Traditional Owner engagement</w:t>
            </w:r>
          </w:p>
        </w:tc>
        <w:tc>
          <w:tcPr>
            <w:tcW w:w="376" w:type="dxa"/>
          </w:tcPr>
          <w:p w:rsidR="00D1511D" w:rsidRDefault="003F0CB3">
            <w:pPr>
              <w:pStyle w:val="TableParagraph"/>
              <w:spacing w:before="63"/>
              <w:ind w:left="163"/>
              <w:jc w:val="center"/>
              <w:rPr>
                <w:rFonts w:ascii="Myriad Pro"/>
              </w:rPr>
            </w:pPr>
            <w:r>
              <w:rPr>
                <w:rFonts w:ascii="Myriad Pro"/>
                <w:color w:val="58595B"/>
              </w:rPr>
              <w:t>9</w:t>
            </w:r>
          </w:p>
        </w:tc>
      </w:tr>
      <w:tr w:rsidR="00D1511D">
        <w:trPr>
          <w:trHeight w:val="386"/>
        </w:trPr>
        <w:tc>
          <w:tcPr>
            <w:tcW w:w="728" w:type="dxa"/>
          </w:tcPr>
          <w:p w:rsidR="00D1511D" w:rsidRDefault="003F0CB3">
            <w:pPr>
              <w:pStyle w:val="TableParagraph"/>
              <w:spacing w:before="63"/>
              <w:ind w:left="50"/>
              <w:rPr>
                <w:rFonts w:ascii="Myriad Pro"/>
              </w:rPr>
            </w:pPr>
            <w:r>
              <w:rPr>
                <w:rFonts w:ascii="Myriad Pro"/>
                <w:color w:val="58595B"/>
              </w:rPr>
              <w:t>3.3</w:t>
            </w:r>
          </w:p>
        </w:tc>
        <w:tc>
          <w:tcPr>
            <w:tcW w:w="7716" w:type="dxa"/>
          </w:tcPr>
          <w:p w:rsidR="00D1511D" w:rsidRDefault="003F0CB3">
            <w:pPr>
              <w:pStyle w:val="TableParagraph"/>
              <w:spacing w:before="63"/>
              <w:ind w:left="121"/>
              <w:rPr>
                <w:rFonts w:ascii="Myriad Pro"/>
              </w:rPr>
            </w:pPr>
            <w:r>
              <w:rPr>
                <w:rFonts w:ascii="Myriad Pro"/>
                <w:color w:val="58595B"/>
              </w:rPr>
              <w:t>Investing for impact</w:t>
            </w:r>
          </w:p>
        </w:tc>
        <w:tc>
          <w:tcPr>
            <w:tcW w:w="376" w:type="dxa"/>
          </w:tcPr>
          <w:p w:rsidR="00D1511D" w:rsidRDefault="003F0CB3">
            <w:pPr>
              <w:pStyle w:val="TableParagraph"/>
              <w:spacing w:before="63"/>
              <w:ind w:left="162"/>
              <w:jc w:val="center"/>
              <w:rPr>
                <w:rFonts w:ascii="Myriad Pro"/>
              </w:rPr>
            </w:pPr>
            <w:r>
              <w:rPr>
                <w:rFonts w:ascii="Myriad Pro"/>
                <w:color w:val="58595B"/>
              </w:rPr>
              <w:t>9</w:t>
            </w:r>
          </w:p>
        </w:tc>
      </w:tr>
      <w:tr w:rsidR="00D1511D">
        <w:trPr>
          <w:trHeight w:val="424"/>
        </w:trPr>
        <w:tc>
          <w:tcPr>
            <w:tcW w:w="728" w:type="dxa"/>
          </w:tcPr>
          <w:p w:rsidR="00D1511D" w:rsidRDefault="003F0CB3">
            <w:pPr>
              <w:pStyle w:val="TableParagraph"/>
              <w:spacing w:before="67"/>
              <w:ind w:left="50"/>
              <w:rPr>
                <w:rFonts w:ascii="Myriad Pro"/>
                <w:b/>
              </w:rPr>
            </w:pPr>
            <w:r>
              <w:rPr>
                <w:rFonts w:ascii="Myriad Pro"/>
                <w:b/>
                <w:color w:val="58595B"/>
              </w:rPr>
              <w:t>4.</w:t>
            </w:r>
          </w:p>
        </w:tc>
        <w:tc>
          <w:tcPr>
            <w:tcW w:w="7716" w:type="dxa"/>
          </w:tcPr>
          <w:p w:rsidR="00D1511D" w:rsidRDefault="003F0CB3">
            <w:pPr>
              <w:pStyle w:val="TableParagraph"/>
              <w:spacing w:before="67"/>
              <w:ind w:left="122"/>
              <w:rPr>
                <w:rFonts w:ascii="Myriad Pro"/>
                <w:b/>
              </w:rPr>
            </w:pPr>
            <w:r>
              <w:rPr>
                <w:rFonts w:ascii="Myriad Pro"/>
                <w:b/>
                <w:color w:val="58595B"/>
              </w:rPr>
              <w:t>Response to the decision of the World Heritage Committee</w:t>
            </w:r>
          </w:p>
        </w:tc>
        <w:tc>
          <w:tcPr>
            <w:tcW w:w="376" w:type="dxa"/>
          </w:tcPr>
          <w:p w:rsidR="00D1511D" w:rsidRDefault="003F0CB3">
            <w:pPr>
              <w:pStyle w:val="TableParagraph"/>
              <w:spacing w:before="67"/>
              <w:ind w:left="66" w:right="21"/>
              <w:jc w:val="center"/>
              <w:rPr>
                <w:rFonts w:ascii="Myriad Pro"/>
                <w:b/>
              </w:rPr>
            </w:pPr>
            <w:r>
              <w:rPr>
                <w:rFonts w:ascii="Myriad Pro"/>
                <w:b/>
                <w:color w:val="58595B"/>
              </w:rPr>
              <w:t>12</w:t>
            </w:r>
          </w:p>
        </w:tc>
      </w:tr>
      <w:tr w:rsidR="00D1511D">
        <w:trPr>
          <w:trHeight w:val="365"/>
        </w:trPr>
        <w:tc>
          <w:tcPr>
            <w:tcW w:w="728" w:type="dxa"/>
          </w:tcPr>
          <w:p w:rsidR="00D1511D" w:rsidRDefault="003F0CB3">
            <w:pPr>
              <w:pStyle w:val="TableParagraph"/>
              <w:spacing w:before="93" w:line="252" w:lineRule="exact"/>
              <w:ind w:left="50"/>
              <w:rPr>
                <w:rFonts w:ascii="Myriad Pro"/>
              </w:rPr>
            </w:pPr>
            <w:r>
              <w:rPr>
                <w:rFonts w:ascii="Myriad Pro"/>
                <w:color w:val="58595B"/>
              </w:rPr>
              <w:t>4.1</w:t>
            </w:r>
          </w:p>
        </w:tc>
        <w:tc>
          <w:tcPr>
            <w:tcW w:w="7716" w:type="dxa"/>
          </w:tcPr>
          <w:p w:rsidR="00D1511D" w:rsidRDefault="003F0CB3">
            <w:pPr>
              <w:pStyle w:val="TableParagraph"/>
              <w:spacing w:before="93" w:line="252" w:lineRule="exact"/>
              <w:ind w:left="121"/>
              <w:rPr>
                <w:rFonts w:ascii="Myriad Pro" w:hAnsi="Myriad Pro"/>
              </w:rPr>
            </w:pPr>
            <w:r>
              <w:rPr>
                <w:rFonts w:ascii="Myriad Pro" w:hAnsi="Myriad Pro"/>
                <w:color w:val="58595B"/>
              </w:rPr>
              <w:t>Demonstrating the effective and sustained protection of the property’s</w:t>
            </w:r>
          </w:p>
        </w:tc>
        <w:tc>
          <w:tcPr>
            <w:tcW w:w="376" w:type="dxa"/>
          </w:tcPr>
          <w:p w:rsidR="00D1511D" w:rsidRDefault="00D1511D">
            <w:pPr>
              <w:pStyle w:val="TableParagraph"/>
              <w:spacing w:before="0"/>
              <w:rPr>
                <w:rFonts w:ascii="Times New Roman"/>
              </w:rPr>
            </w:pPr>
          </w:p>
        </w:tc>
      </w:tr>
      <w:tr w:rsidR="00D1511D">
        <w:trPr>
          <w:trHeight w:val="335"/>
        </w:trPr>
        <w:tc>
          <w:tcPr>
            <w:tcW w:w="728" w:type="dxa"/>
          </w:tcPr>
          <w:p w:rsidR="00D1511D" w:rsidRDefault="00D1511D">
            <w:pPr>
              <w:pStyle w:val="TableParagraph"/>
              <w:spacing w:before="0"/>
              <w:rPr>
                <w:rFonts w:ascii="Times New Roman"/>
              </w:rPr>
            </w:pPr>
          </w:p>
        </w:tc>
        <w:tc>
          <w:tcPr>
            <w:tcW w:w="7716" w:type="dxa"/>
          </w:tcPr>
          <w:p w:rsidR="00D1511D" w:rsidRDefault="003F0CB3">
            <w:pPr>
              <w:pStyle w:val="TableParagraph"/>
              <w:spacing w:before="8"/>
              <w:ind w:left="121"/>
              <w:rPr>
                <w:rFonts w:ascii="Myriad Pro"/>
              </w:rPr>
            </w:pPr>
            <w:r>
              <w:rPr>
                <w:rFonts w:ascii="Myriad Pro"/>
                <w:color w:val="58595B"/>
              </w:rPr>
              <w:t>Outstanding Universal Value</w:t>
            </w:r>
          </w:p>
        </w:tc>
        <w:tc>
          <w:tcPr>
            <w:tcW w:w="376" w:type="dxa"/>
          </w:tcPr>
          <w:p w:rsidR="00D1511D" w:rsidRDefault="003F0CB3">
            <w:pPr>
              <w:pStyle w:val="TableParagraph"/>
              <w:spacing w:before="8"/>
              <w:ind w:left="68" w:right="1"/>
              <w:jc w:val="center"/>
              <w:rPr>
                <w:rFonts w:ascii="Myriad Pro"/>
              </w:rPr>
            </w:pPr>
            <w:r>
              <w:rPr>
                <w:rFonts w:ascii="Myriad Pro"/>
                <w:color w:val="58595B"/>
              </w:rPr>
              <w:t>12</w:t>
            </w:r>
          </w:p>
        </w:tc>
      </w:tr>
      <w:tr w:rsidR="00D1511D">
        <w:trPr>
          <w:trHeight w:val="390"/>
        </w:trPr>
        <w:tc>
          <w:tcPr>
            <w:tcW w:w="728" w:type="dxa"/>
          </w:tcPr>
          <w:p w:rsidR="00D1511D" w:rsidRDefault="003F0CB3">
            <w:pPr>
              <w:pStyle w:val="TableParagraph"/>
              <w:spacing w:before="63"/>
              <w:ind w:left="50"/>
              <w:rPr>
                <w:rFonts w:ascii="Myriad Pro"/>
              </w:rPr>
            </w:pPr>
            <w:r>
              <w:rPr>
                <w:rFonts w:ascii="Myriad Pro"/>
                <w:color w:val="58595B"/>
              </w:rPr>
              <w:t>4.1.1</w:t>
            </w:r>
          </w:p>
        </w:tc>
        <w:tc>
          <w:tcPr>
            <w:tcW w:w="7716" w:type="dxa"/>
          </w:tcPr>
          <w:p w:rsidR="00D1511D" w:rsidRDefault="003F0CB3">
            <w:pPr>
              <w:pStyle w:val="TableParagraph"/>
              <w:spacing w:before="63"/>
              <w:ind w:left="121"/>
              <w:rPr>
                <w:rFonts w:ascii="Myriad Pro"/>
              </w:rPr>
            </w:pPr>
            <w:r>
              <w:rPr>
                <w:rFonts w:ascii="Myriad Pro"/>
                <w:color w:val="58595B"/>
              </w:rPr>
              <w:t>Pillar 1: The World Heritage criteria</w:t>
            </w:r>
          </w:p>
        </w:tc>
        <w:tc>
          <w:tcPr>
            <w:tcW w:w="376" w:type="dxa"/>
          </w:tcPr>
          <w:p w:rsidR="00D1511D" w:rsidRDefault="003F0CB3">
            <w:pPr>
              <w:pStyle w:val="TableParagraph"/>
              <w:spacing w:before="63"/>
              <w:ind w:left="68" w:right="2"/>
              <w:jc w:val="center"/>
              <w:rPr>
                <w:rFonts w:ascii="Myriad Pro"/>
              </w:rPr>
            </w:pPr>
            <w:r>
              <w:rPr>
                <w:rFonts w:ascii="Myriad Pro"/>
                <w:color w:val="58595B"/>
              </w:rPr>
              <w:t>13</w:t>
            </w:r>
          </w:p>
        </w:tc>
      </w:tr>
      <w:tr w:rsidR="00D1511D">
        <w:trPr>
          <w:trHeight w:val="390"/>
        </w:trPr>
        <w:tc>
          <w:tcPr>
            <w:tcW w:w="728" w:type="dxa"/>
          </w:tcPr>
          <w:p w:rsidR="00D1511D" w:rsidRDefault="003F0CB3">
            <w:pPr>
              <w:pStyle w:val="TableParagraph"/>
              <w:spacing w:before="63"/>
              <w:ind w:left="50"/>
              <w:rPr>
                <w:rFonts w:ascii="Myriad Pro"/>
              </w:rPr>
            </w:pPr>
            <w:r>
              <w:rPr>
                <w:rFonts w:ascii="Myriad Pro"/>
                <w:color w:val="58595B"/>
              </w:rPr>
              <w:t>4.1.2</w:t>
            </w:r>
          </w:p>
        </w:tc>
        <w:tc>
          <w:tcPr>
            <w:tcW w:w="7716" w:type="dxa"/>
          </w:tcPr>
          <w:p w:rsidR="00D1511D" w:rsidRDefault="003F0CB3">
            <w:pPr>
              <w:pStyle w:val="TableParagraph"/>
              <w:spacing w:before="63"/>
              <w:ind w:left="121"/>
              <w:rPr>
                <w:rFonts w:ascii="Myriad Pro"/>
              </w:rPr>
            </w:pPr>
            <w:r>
              <w:rPr>
                <w:rFonts w:ascii="Myriad Pro"/>
                <w:color w:val="58595B"/>
              </w:rPr>
              <w:t>Pillar 2: Meeting the condition of integrity (wholeness and intactness)</w:t>
            </w:r>
          </w:p>
        </w:tc>
        <w:tc>
          <w:tcPr>
            <w:tcW w:w="376" w:type="dxa"/>
          </w:tcPr>
          <w:p w:rsidR="00D1511D" w:rsidRDefault="003F0CB3">
            <w:pPr>
              <w:pStyle w:val="TableParagraph"/>
              <w:spacing w:before="63"/>
              <w:ind w:left="68" w:right="2"/>
              <w:jc w:val="center"/>
              <w:rPr>
                <w:rFonts w:ascii="Myriad Pro"/>
              </w:rPr>
            </w:pPr>
            <w:r>
              <w:rPr>
                <w:rFonts w:ascii="Myriad Pro"/>
                <w:color w:val="58595B"/>
              </w:rPr>
              <w:t>13</w:t>
            </w:r>
          </w:p>
        </w:tc>
      </w:tr>
      <w:tr w:rsidR="00D1511D">
        <w:trPr>
          <w:trHeight w:val="410"/>
        </w:trPr>
        <w:tc>
          <w:tcPr>
            <w:tcW w:w="728" w:type="dxa"/>
          </w:tcPr>
          <w:p w:rsidR="00D1511D" w:rsidRDefault="003F0CB3">
            <w:pPr>
              <w:pStyle w:val="TableParagraph"/>
              <w:spacing w:before="63"/>
              <w:ind w:left="50"/>
              <w:rPr>
                <w:rFonts w:ascii="Myriad Pro"/>
              </w:rPr>
            </w:pPr>
            <w:r>
              <w:rPr>
                <w:rFonts w:ascii="Myriad Pro"/>
                <w:color w:val="58595B"/>
              </w:rPr>
              <w:t>4.1.3</w:t>
            </w:r>
          </w:p>
        </w:tc>
        <w:tc>
          <w:tcPr>
            <w:tcW w:w="7716" w:type="dxa"/>
          </w:tcPr>
          <w:p w:rsidR="00D1511D" w:rsidRDefault="003F0CB3">
            <w:pPr>
              <w:pStyle w:val="TableParagraph"/>
              <w:spacing w:before="63"/>
              <w:ind w:left="121"/>
              <w:rPr>
                <w:rFonts w:ascii="Myriad Pro"/>
              </w:rPr>
            </w:pPr>
            <w:r>
              <w:rPr>
                <w:rFonts w:ascii="Myriad Pro"/>
                <w:color w:val="58595B"/>
              </w:rPr>
              <w:t>Pillar 3: Adequate systems of protection and management</w:t>
            </w:r>
          </w:p>
        </w:tc>
        <w:tc>
          <w:tcPr>
            <w:tcW w:w="376" w:type="dxa"/>
          </w:tcPr>
          <w:p w:rsidR="00D1511D" w:rsidRDefault="003F0CB3">
            <w:pPr>
              <w:pStyle w:val="TableParagraph"/>
              <w:spacing w:before="63"/>
              <w:ind w:left="68" w:right="5"/>
              <w:jc w:val="center"/>
              <w:rPr>
                <w:rFonts w:ascii="Myriad Pro"/>
              </w:rPr>
            </w:pPr>
            <w:r>
              <w:rPr>
                <w:rFonts w:ascii="Myriad Pro"/>
                <w:color w:val="58595B"/>
              </w:rPr>
              <w:t>14</w:t>
            </w:r>
          </w:p>
        </w:tc>
      </w:tr>
      <w:tr w:rsidR="00D1511D">
        <w:trPr>
          <w:trHeight w:val="670"/>
        </w:trPr>
        <w:tc>
          <w:tcPr>
            <w:tcW w:w="728" w:type="dxa"/>
          </w:tcPr>
          <w:p w:rsidR="00D1511D" w:rsidRDefault="003F0CB3">
            <w:pPr>
              <w:pStyle w:val="TableParagraph"/>
              <w:spacing w:before="83"/>
              <w:ind w:left="50"/>
              <w:rPr>
                <w:rFonts w:ascii="Myriad Pro"/>
              </w:rPr>
            </w:pPr>
            <w:r>
              <w:rPr>
                <w:rFonts w:ascii="Myriad Pro"/>
                <w:color w:val="58595B"/>
              </w:rPr>
              <w:t>4.2</w:t>
            </w:r>
          </w:p>
        </w:tc>
        <w:tc>
          <w:tcPr>
            <w:tcW w:w="7716" w:type="dxa"/>
          </w:tcPr>
          <w:p w:rsidR="00D1511D" w:rsidRDefault="003F0CB3">
            <w:pPr>
              <w:pStyle w:val="TableParagraph"/>
              <w:spacing w:before="87" w:line="235" w:lineRule="auto"/>
              <w:ind w:left="121" w:right="1511"/>
              <w:rPr>
                <w:rFonts w:ascii="Myriad Pro"/>
              </w:rPr>
            </w:pPr>
            <w:r>
              <w:rPr>
                <w:rFonts w:ascii="Myriad Pro"/>
                <w:color w:val="58595B"/>
              </w:rPr>
              <w:t>Acceleration of efforts to meet targets of the Reef 2050 Long-Term Sustainability Plan</w:t>
            </w:r>
          </w:p>
        </w:tc>
        <w:tc>
          <w:tcPr>
            <w:tcW w:w="376" w:type="dxa"/>
          </w:tcPr>
          <w:p w:rsidR="00D1511D" w:rsidRDefault="00D1511D">
            <w:pPr>
              <w:pStyle w:val="TableParagraph"/>
              <w:spacing w:before="7"/>
              <w:rPr>
                <w:rFonts w:ascii="Myriad Pro"/>
                <w:sz w:val="28"/>
              </w:rPr>
            </w:pPr>
          </w:p>
          <w:p w:rsidR="00D1511D" w:rsidRDefault="003F0CB3">
            <w:pPr>
              <w:pStyle w:val="TableParagraph"/>
              <w:spacing w:before="0"/>
              <w:ind w:left="68"/>
              <w:jc w:val="center"/>
              <w:rPr>
                <w:rFonts w:ascii="Myriad Pro"/>
              </w:rPr>
            </w:pPr>
            <w:r>
              <w:rPr>
                <w:rFonts w:ascii="Myriad Pro"/>
                <w:color w:val="58595B"/>
              </w:rPr>
              <w:t>17</w:t>
            </w:r>
          </w:p>
        </w:tc>
      </w:tr>
      <w:tr w:rsidR="00D1511D">
        <w:trPr>
          <w:trHeight w:val="390"/>
        </w:trPr>
        <w:tc>
          <w:tcPr>
            <w:tcW w:w="728" w:type="dxa"/>
          </w:tcPr>
          <w:p w:rsidR="00D1511D" w:rsidRDefault="003F0CB3">
            <w:pPr>
              <w:pStyle w:val="TableParagraph"/>
              <w:spacing w:before="63"/>
              <w:ind w:left="50"/>
              <w:rPr>
                <w:rFonts w:ascii="Myriad Pro"/>
              </w:rPr>
            </w:pPr>
            <w:r>
              <w:rPr>
                <w:rFonts w:ascii="Myriad Pro"/>
                <w:color w:val="58595B"/>
              </w:rPr>
              <w:t>4.2.1</w:t>
            </w:r>
          </w:p>
        </w:tc>
        <w:tc>
          <w:tcPr>
            <w:tcW w:w="7716" w:type="dxa"/>
          </w:tcPr>
          <w:p w:rsidR="00D1511D" w:rsidRDefault="003F0CB3">
            <w:pPr>
              <w:pStyle w:val="TableParagraph"/>
              <w:spacing w:before="63"/>
              <w:ind w:left="121"/>
              <w:rPr>
                <w:rFonts w:ascii="Myriad Pro"/>
              </w:rPr>
            </w:pPr>
            <w:r>
              <w:rPr>
                <w:rFonts w:ascii="Myriad Pro"/>
                <w:color w:val="58595B"/>
              </w:rPr>
              <w:t>Action on Climate Change</w:t>
            </w:r>
          </w:p>
        </w:tc>
        <w:tc>
          <w:tcPr>
            <w:tcW w:w="376" w:type="dxa"/>
          </w:tcPr>
          <w:p w:rsidR="00D1511D" w:rsidRDefault="003F0CB3">
            <w:pPr>
              <w:pStyle w:val="TableParagraph"/>
              <w:spacing w:before="63"/>
              <w:ind w:left="68"/>
              <w:jc w:val="center"/>
              <w:rPr>
                <w:rFonts w:ascii="Myriad Pro"/>
              </w:rPr>
            </w:pPr>
            <w:r>
              <w:rPr>
                <w:rFonts w:ascii="Myriad Pro"/>
                <w:color w:val="58595B"/>
              </w:rPr>
              <w:t>17</w:t>
            </w:r>
          </w:p>
        </w:tc>
      </w:tr>
      <w:tr w:rsidR="00D1511D">
        <w:trPr>
          <w:trHeight w:val="390"/>
        </w:trPr>
        <w:tc>
          <w:tcPr>
            <w:tcW w:w="728" w:type="dxa"/>
          </w:tcPr>
          <w:p w:rsidR="00D1511D" w:rsidRDefault="003F0CB3">
            <w:pPr>
              <w:pStyle w:val="TableParagraph"/>
              <w:spacing w:before="63"/>
              <w:ind w:left="50"/>
              <w:rPr>
                <w:rFonts w:ascii="Myriad Pro"/>
              </w:rPr>
            </w:pPr>
            <w:r>
              <w:rPr>
                <w:rFonts w:ascii="Myriad Pro"/>
                <w:color w:val="58595B"/>
              </w:rPr>
              <w:t>4.2.2</w:t>
            </w:r>
          </w:p>
        </w:tc>
        <w:tc>
          <w:tcPr>
            <w:tcW w:w="7716" w:type="dxa"/>
          </w:tcPr>
          <w:p w:rsidR="00D1511D" w:rsidRDefault="003F0CB3">
            <w:pPr>
              <w:pStyle w:val="TableParagraph"/>
              <w:spacing w:before="63"/>
              <w:ind w:left="121"/>
              <w:rPr>
                <w:rFonts w:ascii="Myriad Pro"/>
              </w:rPr>
            </w:pPr>
            <w:r>
              <w:rPr>
                <w:rFonts w:ascii="Myriad Pro"/>
                <w:color w:val="58595B"/>
              </w:rPr>
              <w:t>Reef Blueprint for Resilience</w:t>
            </w:r>
          </w:p>
        </w:tc>
        <w:tc>
          <w:tcPr>
            <w:tcW w:w="376" w:type="dxa"/>
          </w:tcPr>
          <w:p w:rsidR="00D1511D" w:rsidRDefault="003F0CB3">
            <w:pPr>
              <w:pStyle w:val="TableParagraph"/>
              <w:spacing w:before="63"/>
              <w:ind w:left="68" w:right="6"/>
              <w:jc w:val="center"/>
              <w:rPr>
                <w:rFonts w:ascii="Myriad Pro"/>
              </w:rPr>
            </w:pPr>
            <w:r>
              <w:rPr>
                <w:rFonts w:ascii="Myriad Pro"/>
                <w:color w:val="58595B"/>
              </w:rPr>
              <w:t>18</w:t>
            </w:r>
          </w:p>
        </w:tc>
      </w:tr>
      <w:tr w:rsidR="00D1511D">
        <w:trPr>
          <w:trHeight w:val="390"/>
        </w:trPr>
        <w:tc>
          <w:tcPr>
            <w:tcW w:w="728" w:type="dxa"/>
          </w:tcPr>
          <w:p w:rsidR="00D1511D" w:rsidRDefault="003F0CB3">
            <w:pPr>
              <w:pStyle w:val="TableParagraph"/>
              <w:spacing w:before="63"/>
              <w:ind w:left="50"/>
              <w:rPr>
                <w:rFonts w:ascii="Myriad Pro"/>
              </w:rPr>
            </w:pPr>
            <w:r>
              <w:rPr>
                <w:rFonts w:ascii="Myriad Pro"/>
                <w:color w:val="58595B"/>
              </w:rPr>
              <w:t>4.2.3</w:t>
            </w:r>
          </w:p>
        </w:tc>
        <w:tc>
          <w:tcPr>
            <w:tcW w:w="7716" w:type="dxa"/>
          </w:tcPr>
          <w:p w:rsidR="00D1511D" w:rsidRDefault="003F0CB3">
            <w:pPr>
              <w:pStyle w:val="TableParagraph"/>
              <w:spacing w:before="63"/>
              <w:ind w:left="121"/>
              <w:rPr>
                <w:rFonts w:ascii="Myriad Pro"/>
              </w:rPr>
            </w:pPr>
            <w:r>
              <w:rPr>
                <w:rFonts w:ascii="Myriad Pro"/>
                <w:color w:val="58595B"/>
              </w:rPr>
              <w:t>Reef 2050 Plan reviews</w:t>
            </w:r>
          </w:p>
        </w:tc>
        <w:tc>
          <w:tcPr>
            <w:tcW w:w="376" w:type="dxa"/>
          </w:tcPr>
          <w:p w:rsidR="00D1511D" w:rsidRDefault="003F0CB3">
            <w:pPr>
              <w:pStyle w:val="TableParagraph"/>
              <w:spacing w:before="63"/>
              <w:ind w:left="68" w:right="7"/>
              <w:jc w:val="center"/>
              <w:rPr>
                <w:rFonts w:ascii="Myriad Pro"/>
              </w:rPr>
            </w:pPr>
            <w:r>
              <w:rPr>
                <w:rFonts w:ascii="Myriad Pro"/>
                <w:color w:val="58595B"/>
              </w:rPr>
              <w:t>21</w:t>
            </w:r>
          </w:p>
        </w:tc>
      </w:tr>
      <w:tr w:rsidR="00D1511D">
        <w:trPr>
          <w:trHeight w:val="390"/>
        </w:trPr>
        <w:tc>
          <w:tcPr>
            <w:tcW w:w="728" w:type="dxa"/>
          </w:tcPr>
          <w:p w:rsidR="00D1511D" w:rsidRDefault="003F0CB3">
            <w:pPr>
              <w:pStyle w:val="TableParagraph"/>
              <w:spacing w:before="63"/>
              <w:ind w:left="50"/>
              <w:rPr>
                <w:rFonts w:ascii="Myriad Pro"/>
              </w:rPr>
            </w:pPr>
            <w:r>
              <w:rPr>
                <w:rFonts w:ascii="Myriad Pro"/>
                <w:color w:val="58595B"/>
              </w:rPr>
              <w:t>4.2.4</w:t>
            </w:r>
          </w:p>
        </w:tc>
        <w:tc>
          <w:tcPr>
            <w:tcW w:w="7716" w:type="dxa"/>
          </w:tcPr>
          <w:p w:rsidR="00D1511D" w:rsidRDefault="003F0CB3">
            <w:pPr>
              <w:pStyle w:val="TableParagraph"/>
              <w:spacing w:before="63"/>
              <w:ind w:left="121"/>
              <w:rPr>
                <w:rFonts w:ascii="Myriad Pro"/>
              </w:rPr>
            </w:pPr>
            <w:r>
              <w:rPr>
                <w:rFonts w:ascii="Myriad Pro"/>
                <w:color w:val="58595B"/>
              </w:rPr>
              <w:t>Joint Field Management Program</w:t>
            </w:r>
          </w:p>
        </w:tc>
        <w:tc>
          <w:tcPr>
            <w:tcW w:w="376" w:type="dxa"/>
          </w:tcPr>
          <w:p w:rsidR="00D1511D" w:rsidRDefault="003F0CB3">
            <w:pPr>
              <w:pStyle w:val="TableParagraph"/>
              <w:spacing w:before="63"/>
              <w:ind w:left="68" w:right="17"/>
              <w:jc w:val="center"/>
              <w:rPr>
                <w:rFonts w:ascii="Myriad Pro"/>
              </w:rPr>
            </w:pPr>
            <w:r>
              <w:rPr>
                <w:rFonts w:ascii="Myriad Pro"/>
                <w:color w:val="58595B"/>
              </w:rPr>
              <w:t>23</w:t>
            </w:r>
          </w:p>
        </w:tc>
      </w:tr>
      <w:tr w:rsidR="00D1511D">
        <w:trPr>
          <w:trHeight w:val="390"/>
        </w:trPr>
        <w:tc>
          <w:tcPr>
            <w:tcW w:w="728" w:type="dxa"/>
          </w:tcPr>
          <w:p w:rsidR="00D1511D" w:rsidRDefault="003F0CB3">
            <w:pPr>
              <w:pStyle w:val="TableParagraph"/>
              <w:spacing w:before="63"/>
              <w:ind w:left="50"/>
              <w:rPr>
                <w:rFonts w:ascii="Myriad Pro"/>
              </w:rPr>
            </w:pPr>
            <w:r>
              <w:rPr>
                <w:rFonts w:ascii="Myriad Pro"/>
                <w:color w:val="58595B"/>
              </w:rPr>
              <w:t>4.2.5</w:t>
            </w:r>
          </w:p>
        </w:tc>
        <w:tc>
          <w:tcPr>
            <w:tcW w:w="7716" w:type="dxa"/>
          </w:tcPr>
          <w:p w:rsidR="00D1511D" w:rsidRDefault="003F0CB3">
            <w:pPr>
              <w:pStyle w:val="TableParagraph"/>
              <w:spacing w:before="63"/>
              <w:ind w:left="121"/>
              <w:rPr>
                <w:rFonts w:ascii="Myriad Pro"/>
              </w:rPr>
            </w:pPr>
            <w:r>
              <w:rPr>
                <w:rFonts w:ascii="Myriad Pro"/>
                <w:color w:val="58595B"/>
              </w:rPr>
              <w:t>Water quality</w:t>
            </w:r>
          </w:p>
        </w:tc>
        <w:tc>
          <w:tcPr>
            <w:tcW w:w="376" w:type="dxa"/>
          </w:tcPr>
          <w:p w:rsidR="00D1511D" w:rsidRDefault="003F0CB3">
            <w:pPr>
              <w:pStyle w:val="TableParagraph"/>
              <w:spacing w:before="63"/>
              <w:ind w:left="68" w:right="11"/>
              <w:jc w:val="center"/>
              <w:rPr>
                <w:rFonts w:ascii="Myriad Pro"/>
              </w:rPr>
            </w:pPr>
            <w:r>
              <w:rPr>
                <w:rFonts w:ascii="Myriad Pro"/>
                <w:color w:val="58595B"/>
              </w:rPr>
              <w:t>24</w:t>
            </w:r>
          </w:p>
        </w:tc>
      </w:tr>
      <w:tr w:rsidR="00D1511D">
        <w:trPr>
          <w:trHeight w:val="390"/>
        </w:trPr>
        <w:tc>
          <w:tcPr>
            <w:tcW w:w="728" w:type="dxa"/>
          </w:tcPr>
          <w:p w:rsidR="00D1511D" w:rsidRDefault="003F0CB3">
            <w:pPr>
              <w:pStyle w:val="TableParagraph"/>
              <w:spacing w:before="63"/>
              <w:ind w:left="50"/>
              <w:rPr>
                <w:rFonts w:ascii="Myriad Pro"/>
              </w:rPr>
            </w:pPr>
            <w:r>
              <w:rPr>
                <w:rFonts w:ascii="Myriad Pro"/>
                <w:color w:val="58595B"/>
              </w:rPr>
              <w:t>4.2.6</w:t>
            </w:r>
          </w:p>
        </w:tc>
        <w:tc>
          <w:tcPr>
            <w:tcW w:w="7716" w:type="dxa"/>
          </w:tcPr>
          <w:p w:rsidR="00D1511D" w:rsidRDefault="003F0CB3">
            <w:pPr>
              <w:pStyle w:val="TableParagraph"/>
              <w:spacing w:before="63"/>
              <w:ind w:left="121"/>
              <w:rPr>
                <w:rFonts w:ascii="Myriad Pro"/>
              </w:rPr>
            </w:pPr>
            <w:r>
              <w:rPr>
                <w:rFonts w:ascii="Myriad Pro"/>
                <w:color w:val="58595B"/>
              </w:rPr>
              <w:t>Crown-of-thorns starfish control program</w:t>
            </w:r>
          </w:p>
        </w:tc>
        <w:tc>
          <w:tcPr>
            <w:tcW w:w="376" w:type="dxa"/>
          </w:tcPr>
          <w:p w:rsidR="00D1511D" w:rsidRDefault="003F0CB3">
            <w:pPr>
              <w:pStyle w:val="TableParagraph"/>
              <w:spacing w:before="63"/>
              <w:ind w:left="68" w:right="15"/>
              <w:jc w:val="center"/>
              <w:rPr>
                <w:rFonts w:ascii="Myriad Pro"/>
              </w:rPr>
            </w:pPr>
            <w:r>
              <w:rPr>
                <w:rFonts w:ascii="Myriad Pro"/>
                <w:color w:val="58595B"/>
              </w:rPr>
              <w:t>28</w:t>
            </w:r>
          </w:p>
        </w:tc>
      </w:tr>
      <w:tr w:rsidR="00D1511D">
        <w:trPr>
          <w:trHeight w:val="390"/>
        </w:trPr>
        <w:tc>
          <w:tcPr>
            <w:tcW w:w="728" w:type="dxa"/>
          </w:tcPr>
          <w:p w:rsidR="00D1511D" w:rsidRDefault="003F0CB3">
            <w:pPr>
              <w:pStyle w:val="TableParagraph"/>
              <w:spacing w:before="63"/>
              <w:ind w:left="50"/>
              <w:rPr>
                <w:rFonts w:ascii="Myriad Pro"/>
              </w:rPr>
            </w:pPr>
            <w:r>
              <w:rPr>
                <w:rFonts w:ascii="Myriad Pro"/>
                <w:color w:val="58595B"/>
              </w:rPr>
              <w:t>4.2.7</w:t>
            </w:r>
          </w:p>
        </w:tc>
        <w:tc>
          <w:tcPr>
            <w:tcW w:w="7716" w:type="dxa"/>
          </w:tcPr>
          <w:p w:rsidR="00D1511D" w:rsidRDefault="003F0CB3">
            <w:pPr>
              <w:pStyle w:val="TableParagraph"/>
              <w:spacing w:before="63"/>
              <w:ind w:left="121"/>
              <w:rPr>
                <w:rFonts w:ascii="Myriad Pro"/>
              </w:rPr>
            </w:pPr>
            <w:r>
              <w:rPr>
                <w:rFonts w:ascii="Myriad Pro"/>
                <w:color w:val="58595B"/>
              </w:rPr>
              <w:t>Collaboration and key partnerships</w:t>
            </w:r>
          </w:p>
        </w:tc>
        <w:tc>
          <w:tcPr>
            <w:tcW w:w="376" w:type="dxa"/>
          </w:tcPr>
          <w:p w:rsidR="00D1511D" w:rsidRDefault="003F0CB3">
            <w:pPr>
              <w:pStyle w:val="TableParagraph"/>
              <w:spacing w:before="63"/>
              <w:ind w:left="68" w:right="15"/>
              <w:jc w:val="center"/>
              <w:rPr>
                <w:rFonts w:ascii="Myriad Pro"/>
              </w:rPr>
            </w:pPr>
            <w:r>
              <w:rPr>
                <w:rFonts w:ascii="Myriad Pro"/>
                <w:color w:val="58595B"/>
              </w:rPr>
              <w:t>28</w:t>
            </w:r>
          </w:p>
        </w:tc>
      </w:tr>
      <w:tr w:rsidR="00D1511D">
        <w:trPr>
          <w:trHeight w:val="390"/>
        </w:trPr>
        <w:tc>
          <w:tcPr>
            <w:tcW w:w="728" w:type="dxa"/>
          </w:tcPr>
          <w:p w:rsidR="00D1511D" w:rsidRDefault="003F0CB3">
            <w:pPr>
              <w:pStyle w:val="TableParagraph"/>
              <w:spacing w:before="63"/>
              <w:ind w:left="50"/>
              <w:rPr>
                <w:rFonts w:ascii="Myriad Pro"/>
              </w:rPr>
            </w:pPr>
            <w:r>
              <w:rPr>
                <w:rFonts w:ascii="Myriad Pro"/>
                <w:color w:val="58595B"/>
              </w:rPr>
              <w:t>4.3</w:t>
            </w:r>
          </w:p>
        </w:tc>
        <w:tc>
          <w:tcPr>
            <w:tcW w:w="7716" w:type="dxa"/>
          </w:tcPr>
          <w:p w:rsidR="00D1511D" w:rsidRDefault="003F0CB3">
            <w:pPr>
              <w:pStyle w:val="TableParagraph"/>
              <w:spacing w:before="63"/>
              <w:ind w:left="121"/>
              <w:rPr>
                <w:rFonts w:ascii="Myriad Pro"/>
              </w:rPr>
            </w:pPr>
            <w:r>
              <w:rPr>
                <w:rFonts w:ascii="Myriad Pro"/>
                <w:color w:val="58595B"/>
              </w:rPr>
              <w:t>Effective performance in meeting the targets established under the Reef 2050 Plan</w:t>
            </w:r>
          </w:p>
        </w:tc>
        <w:tc>
          <w:tcPr>
            <w:tcW w:w="376" w:type="dxa"/>
          </w:tcPr>
          <w:p w:rsidR="00D1511D" w:rsidRDefault="003F0CB3">
            <w:pPr>
              <w:pStyle w:val="TableParagraph"/>
              <w:spacing w:before="63"/>
              <w:ind w:left="68" w:right="5"/>
              <w:jc w:val="center"/>
              <w:rPr>
                <w:rFonts w:ascii="Myriad Pro"/>
              </w:rPr>
            </w:pPr>
            <w:r>
              <w:rPr>
                <w:rFonts w:ascii="Myriad Pro"/>
                <w:color w:val="58595B"/>
              </w:rPr>
              <w:t>31</w:t>
            </w:r>
          </w:p>
        </w:tc>
      </w:tr>
      <w:tr w:rsidR="00D1511D">
        <w:trPr>
          <w:trHeight w:val="390"/>
        </w:trPr>
        <w:tc>
          <w:tcPr>
            <w:tcW w:w="728" w:type="dxa"/>
          </w:tcPr>
          <w:p w:rsidR="00D1511D" w:rsidRDefault="003F0CB3">
            <w:pPr>
              <w:pStyle w:val="TableParagraph"/>
              <w:spacing w:before="63"/>
              <w:ind w:left="50"/>
              <w:rPr>
                <w:rFonts w:ascii="Myriad Pro"/>
              </w:rPr>
            </w:pPr>
            <w:r>
              <w:rPr>
                <w:rFonts w:ascii="Myriad Pro"/>
                <w:color w:val="58595B"/>
              </w:rPr>
              <w:t>4.3.1</w:t>
            </w:r>
          </w:p>
        </w:tc>
        <w:tc>
          <w:tcPr>
            <w:tcW w:w="7716" w:type="dxa"/>
          </w:tcPr>
          <w:p w:rsidR="00D1511D" w:rsidRDefault="003F0CB3">
            <w:pPr>
              <w:pStyle w:val="TableParagraph"/>
              <w:spacing w:before="63"/>
              <w:ind w:left="121"/>
              <w:rPr>
                <w:rFonts w:ascii="Myriad Pro"/>
              </w:rPr>
            </w:pPr>
            <w:r>
              <w:rPr>
                <w:rFonts w:ascii="Myriad Pro"/>
                <w:color w:val="58595B"/>
              </w:rPr>
              <w:t>Progress implementing the Reef 2050 Plan</w:t>
            </w:r>
          </w:p>
        </w:tc>
        <w:tc>
          <w:tcPr>
            <w:tcW w:w="376" w:type="dxa"/>
          </w:tcPr>
          <w:p w:rsidR="00D1511D" w:rsidRDefault="003F0CB3">
            <w:pPr>
              <w:pStyle w:val="TableParagraph"/>
              <w:spacing w:before="63"/>
              <w:ind w:left="68" w:right="5"/>
              <w:jc w:val="center"/>
              <w:rPr>
                <w:rFonts w:ascii="Myriad Pro"/>
              </w:rPr>
            </w:pPr>
            <w:r>
              <w:rPr>
                <w:rFonts w:ascii="Myriad Pro"/>
                <w:color w:val="58595B"/>
              </w:rPr>
              <w:t>31</w:t>
            </w:r>
          </w:p>
        </w:tc>
      </w:tr>
      <w:tr w:rsidR="00D1511D">
        <w:trPr>
          <w:trHeight w:val="415"/>
        </w:trPr>
        <w:tc>
          <w:tcPr>
            <w:tcW w:w="728" w:type="dxa"/>
          </w:tcPr>
          <w:p w:rsidR="00D1511D" w:rsidRDefault="003F0CB3">
            <w:pPr>
              <w:pStyle w:val="TableParagraph"/>
              <w:spacing w:before="63"/>
              <w:ind w:left="50"/>
              <w:rPr>
                <w:rFonts w:ascii="Myriad Pro"/>
              </w:rPr>
            </w:pPr>
            <w:r>
              <w:rPr>
                <w:rFonts w:ascii="Myriad Pro"/>
                <w:color w:val="58595B"/>
              </w:rPr>
              <w:t>4.3.2</w:t>
            </w:r>
          </w:p>
        </w:tc>
        <w:tc>
          <w:tcPr>
            <w:tcW w:w="7716" w:type="dxa"/>
          </w:tcPr>
          <w:p w:rsidR="00D1511D" w:rsidRDefault="003F0CB3">
            <w:pPr>
              <w:pStyle w:val="TableParagraph"/>
              <w:spacing w:before="63"/>
              <w:ind w:left="121"/>
              <w:rPr>
                <w:rFonts w:ascii="Myriad Pro"/>
              </w:rPr>
            </w:pPr>
            <w:r>
              <w:rPr>
                <w:rFonts w:ascii="Myriad Pro"/>
                <w:color w:val="58595B"/>
              </w:rPr>
              <w:t>Assessment of progress against current targets</w:t>
            </w:r>
          </w:p>
        </w:tc>
        <w:tc>
          <w:tcPr>
            <w:tcW w:w="376" w:type="dxa"/>
          </w:tcPr>
          <w:p w:rsidR="00D1511D" w:rsidRDefault="003F0CB3">
            <w:pPr>
              <w:pStyle w:val="TableParagraph"/>
              <w:spacing w:before="63"/>
              <w:ind w:left="68" w:right="12"/>
              <w:jc w:val="center"/>
              <w:rPr>
                <w:rFonts w:ascii="Myriad Pro"/>
              </w:rPr>
            </w:pPr>
            <w:r>
              <w:rPr>
                <w:rFonts w:ascii="Myriad Pro"/>
                <w:color w:val="58595B"/>
              </w:rPr>
              <w:t>39</w:t>
            </w:r>
          </w:p>
        </w:tc>
      </w:tr>
      <w:tr w:rsidR="00D1511D">
        <w:trPr>
          <w:trHeight w:val="415"/>
        </w:trPr>
        <w:tc>
          <w:tcPr>
            <w:tcW w:w="728" w:type="dxa"/>
          </w:tcPr>
          <w:p w:rsidR="00D1511D" w:rsidRDefault="003F0CB3">
            <w:pPr>
              <w:pStyle w:val="TableParagraph"/>
              <w:spacing w:before="88"/>
              <w:ind w:left="50"/>
              <w:rPr>
                <w:rFonts w:ascii="Myriad Pro"/>
              </w:rPr>
            </w:pPr>
            <w:r>
              <w:rPr>
                <w:rFonts w:ascii="Myriad Pro"/>
                <w:color w:val="58595B"/>
              </w:rPr>
              <w:t>4.3.2a</w:t>
            </w:r>
          </w:p>
        </w:tc>
        <w:tc>
          <w:tcPr>
            <w:tcW w:w="7716" w:type="dxa"/>
          </w:tcPr>
          <w:p w:rsidR="00D1511D" w:rsidRDefault="003F0CB3">
            <w:pPr>
              <w:pStyle w:val="TableParagraph"/>
              <w:spacing w:before="88"/>
              <w:ind w:left="122"/>
              <w:rPr>
                <w:rFonts w:ascii="Myriad Pro"/>
              </w:rPr>
            </w:pPr>
            <w:r>
              <w:rPr>
                <w:rFonts w:ascii="Myriad Pro"/>
                <w:color w:val="58595B"/>
              </w:rPr>
              <w:t>Ecosystem health</w:t>
            </w:r>
          </w:p>
        </w:tc>
        <w:tc>
          <w:tcPr>
            <w:tcW w:w="376" w:type="dxa"/>
          </w:tcPr>
          <w:p w:rsidR="00D1511D" w:rsidRDefault="003F0CB3">
            <w:pPr>
              <w:pStyle w:val="TableParagraph"/>
              <w:spacing w:before="88"/>
              <w:ind w:left="68" w:right="12"/>
              <w:jc w:val="center"/>
              <w:rPr>
                <w:rFonts w:ascii="Myriad Pro"/>
              </w:rPr>
            </w:pPr>
            <w:r>
              <w:rPr>
                <w:rFonts w:ascii="Myriad Pro"/>
                <w:color w:val="58595B"/>
              </w:rPr>
              <w:t>39</w:t>
            </w:r>
          </w:p>
        </w:tc>
      </w:tr>
      <w:tr w:rsidR="00D1511D">
        <w:trPr>
          <w:trHeight w:val="390"/>
        </w:trPr>
        <w:tc>
          <w:tcPr>
            <w:tcW w:w="728" w:type="dxa"/>
          </w:tcPr>
          <w:p w:rsidR="00D1511D" w:rsidRDefault="003F0CB3">
            <w:pPr>
              <w:pStyle w:val="TableParagraph"/>
              <w:spacing w:before="63"/>
              <w:ind w:left="50"/>
              <w:rPr>
                <w:rFonts w:ascii="Myriad Pro"/>
              </w:rPr>
            </w:pPr>
            <w:r>
              <w:rPr>
                <w:rFonts w:ascii="Myriad Pro"/>
                <w:color w:val="58595B"/>
              </w:rPr>
              <w:t>4.3.2b</w:t>
            </w:r>
          </w:p>
        </w:tc>
        <w:tc>
          <w:tcPr>
            <w:tcW w:w="7716" w:type="dxa"/>
          </w:tcPr>
          <w:p w:rsidR="00D1511D" w:rsidRDefault="003F0CB3">
            <w:pPr>
              <w:pStyle w:val="TableParagraph"/>
              <w:spacing w:before="63"/>
              <w:ind w:left="122"/>
              <w:rPr>
                <w:rFonts w:ascii="Myriad Pro"/>
              </w:rPr>
            </w:pPr>
            <w:r>
              <w:rPr>
                <w:rFonts w:ascii="Myriad Pro"/>
                <w:color w:val="58595B"/>
              </w:rPr>
              <w:t>Biodiversity</w:t>
            </w:r>
          </w:p>
        </w:tc>
        <w:tc>
          <w:tcPr>
            <w:tcW w:w="376" w:type="dxa"/>
          </w:tcPr>
          <w:p w:rsidR="00D1511D" w:rsidRDefault="003F0CB3">
            <w:pPr>
              <w:pStyle w:val="TableParagraph"/>
              <w:spacing w:before="63"/>
              <w:ind w:left="68" w:right="9"/>
              <w:jc w:val="center"/>
              <w:rPr>
                <w:rFonts w:ascii="Myriad Pro"/>
              </w:rPr>
            </w:pPr>
            <w:r>
              <w:rPr>
                <w:rFonts w:ascii="Myriad Pro"/>
                <w:color w:val="58595B"/>
              </w:rPr>
              <w:t>37</w:t>
            </w:r>
          </w:p>
        </w:tc>
      </w:tr>
      <w:tr w:rsidR="00D1511D">
        <w:trPr>
          <w:trHeight w:val="390"/>
        </w:trPr>
        <w:tc>
          <w:tcPr>
            <w:tcW w:w="728" w:type="dxa"/>
          </w:tcPr>
          <w:p w:rsidR="00D1511D" w:rsidRDefault="003F0CB3">
            <w:pPr>
              <w:pStyle w:val="TableParagraph"/>
              <w:spacing w:before="63"/>
              <w:ind w:left="50"/>
              <w:rPr>
                <w:rFonts w:ascii="Myriad Pro"/>
              </w:rPr>
            </w:pPr>
            <w:r>
              <w:rPr>
                <w:rFonts w:ascii="Myriad Pro"/>
                <w:color w:val="58595B"/>
              </w:rPr>
              <w:t>4.3.2c</w:t>
            </w:r>
          </w:p>
        </w:tc>
        <w:tc>
          <w:tcPr>
            <w:tcW w:w="7716" w:type="dxa"/>
          </w:tcPr>
          <w:p w:rsidR="00D1511D" w:rsidRDefault="003F0CB3">
            <w:pPr>
              <w:pStyle w:val="TableParagraph"/>
              <w:spacing w:before="63"/>
              <w:ind w:left="121"/>
              <w:rPr>
                <w:rFonts w:ascii="Myriad Pro"/>
              </w:rPr>
            </w:pPr>
            <w:r>
              <w:rPr>
                <w:rFonts w:ascii="Myriad Pro"/>
                <w:color w:val="58595B"/>
              </w:rPr>
              <w:t>Cultural heritage</w:t>
            </w:r>
          </w:p>
        </w:tc>
        <w:tc>
          <w:tcPr>
            <w:tcW w:w="376" w:type="dxa"/>
          </w:tcPr>
          <w:p w:rsidR="00D1511D" w:rsidRDefault="003F0CB3">
            <w:pPr>
              <w:pStyle w:val="TableParagraph"/>
              <w:spacing w:before="63"/>
              <w:ind w:left="68" w:right="12"/>
              <w:jc w:val="center"/>
              <w:rPr>
                <w:rFonts w:ascii="Myriad Pro"/>
              </w:rPr>
            </w:pPr>
            <w:r>
              <w:rPr>
                <w:rFonts w:ascii="Myriad Pro"/>
                <w:color w:val="58595B"/>
              </w:rPr>
              <w:t>39</w:t>
            </w:r>
          </w:p>
        </w:tc>
      </w:tr>
      <w:tr w:rsidR="00D1511D">
        <w:trPr>
          <w:trHeight w:val="390"/>
        </w:trPr>
        <w:tc>
          <w:tcPr>
            <w:tcW w:w="728" w:type="dxa"/>
          </w:tcPr>
          <w:p w:rsidR="00D1511D" w:rsidRDefault="003F0CB3">
            <w:pPr>
              <w:pStyle w:val="TableParagraph"/>
              <w:spacing w:before="63"/>
              <w:ind w:left="50"/>
              <w:rPr>
                <w:rFonts w:ascii="Myriad Pro"/>
              </w:rPr>
            </w:pPr>
            <w:r>
              <w:rPr>
                <w:rFonts w:ascii="Myriad Pro"/>
                <w:color w:val="58595B"/>
              </w:rPr>
              <w:t>4.3.2d</w:t>
            </w:r>
          </w:p>
        </w:tc>
        <w:tc>
          <w:tcPr>
            <w:tcW w:w="7716" w:type="dxa"/>
          </w:tcPr>
          <w:p w:rsidR="00D1511D" w:rsidRDefault="003F0CB3">
            <w:pPr>
              <w:pStyle w:val="TableParagraph"/>
              <w:spacing w:before="63"/>
              <w:ind w:left="121"/>
              <w:rPr>
                <w:rFonts w:ascii="Myriad Pro"/>
              </w:rPr>
            </w:pPr>
            <w:r>
              <w:rPr>
                <w:rFonts w:ascii="Myriad Pro"/>
                <w:color w:val="58595B"/>
              </w:rPr>
              <w:t>Water quality</w:t>
            </w:r>
          </w:p>
        </w:tc>
        <w:tc>
          <w:tcPr>
            <w:tcW w:w="376" w:type="dxa"/>
          </w:tcPr>
          <w:p w:rsidR="00D1511D" w:rsidRDefault="003F0CB3">
            <w:pPr>
              <w:pStyle w:val="TableParagraph"/>
              <w:spacing w:before="63"/>
              <w:ind w:left="68" w:right="20"/>
              <w:jc w:val="center"/>
              <w:rPr>
                <w:rFonts w:ascii="Myriad Pro"/>
              </w:rPr>
            </w:pPr>
            <w:r>
              <w:rPr>
                <w:rFonts w:ascii="Myriad Pro"/>
                <w:color w:val="58595B"/>
              </w:rPr>
              <w:t>40</w:t>
            </w:r>
          </w:p>
        </w:tc>
      </w:tr>
      <w:tr w:rsidR="00D1511D">
        <w:trPr>
          <w:trHeight w:val="390"/>
        </w:trPr>
        <w:tc>
          <w:tcPr>
            <w:tcW w:w="728" w:type="dxa"/>
          </w:tcPr>
          <w:p w:rsidR="00D1511D" w:rsidRDefault="003F0CB3">
            <w:pPr>
              <w:pStyle w:val="TableParagraph"/>
              <w:spacing w:before="63"/>
              <w:ind w:left="50"/>
              <w:rPr>
                <w:rFonts w:ascii="Myriad Pro"/>
              </w:rPr>
            </w:pPr>
            <w:r>
              <w:rPr>
                <w:rFonts w:ascii="Myriad Pro"/>
                <w:color w:val="58595B"/>
              </w:rPr>
              <w:t>4.3.2e</w:t>
            </w:r>
          </w:p>
        </w:tc>
        <w:tc>
          <w:tcPr>
            <w:tcW w:w="7716" w:type="dxa"/>
          </w:tcPr>
          <w:p w:rsidR="00D1511D" w:rsidRDefault="003F0CB3">
            <w:pPr>
              <w:pStyle w:val="TableParagraph"/>
              <w:spacing w:before="63"/>
              <w:ind w:left="121"/>
              <w:rPr>
                <w:rFonts w:ascii="Myriad Pro"/>
              </w:rPr>
            </w:pPr>
            <w:r>
              <w:rPr>
                <w:rFonts w:ascii="Myriad Pro"/>
                <w:color w:val="58595B"/>
              </w:rPr>
              <w:t>Community benefit</w:t>
            </w:r>
          </w:p>
        </w:tc>
        <w:tc>
          <w:tcPr>
            <w:tcW w:w="376" w:type="dxa"/>
          </w:tcPr>
          <w:p w:rsidR="00D1511D" w:rsidRDefault="003F0CB3">
            <w:pPr>
              <w:pStyle w:val="TableParagraph"/>
              <w:spacing w:before="63"/>
              <w:ind w:left="68" w:right="10"/>
              <w:jc w:val="center"/>
              <w:rPr>
                <w:rFonts w:ascii="Myriad Pro"/>
              </w:rPr>
            </w:pPr>
            <w:r>
              <w:rPr>
                <w:rFonts w:ascii="Myriad Pro"/>
                <w:color w:val="58595B"/>
              </w:rPr>
              <w:t>42</w:t>
            </w:r>
          </w:p>
        </w:tc>
      </w:tr>
      <w:tr w:rsidR="00D1511D">
        <w:trPr>
          <w:trHeight w:val="390"/>
        </w:trPr>
        <w:tc>
          <w:tcPr>
            <w:tcW w:w="728" w:type="dxa"/>
          </w:tcPr>
          <w:p w:rsidR="00D1511D" w:rsidRDefault="003F0CB3">
            <w:pPr>
              <w:pStyle w:val="TableParagraph"/>
              <w:spacing w:before="63"/>
              <w:ind w:left="50"/>
              <w:rPr>
                <w:rFonts w:ascii="Myriad Pro"/>
              </w:rPr>
            </w:pPr>
            <w:r>
              <w:rPr>
                <w:rFonts w:ascii="Myriad Pro"/>
                <w:color w:val="58595B"/>
              </w:rPr>
              <w:t>4.3.2f</w:t>
            </w:r>
          </w:p>
        </w:tc>
        <w:tc>
          <w:tcPr>
            <w:tcW w:w="7716" w:type="dxa"/>
          </w:tcPr>
          <w:p w:rsidR="00D1511D" w:rsidRDefault="003F0CB3">
            <w:pPr>
              <w:pStyle w:val="TableParagraph"/>
              <w:spacing w:before="63"/>
              <w:ind w:left="122"/>
              <w:rPr>
                <w:rFonts w:ascii="Myriad Pro"/>
              </w:rPr>
            </w:pPr>
            <w:r>
              <w:rPr>
                <w:rFonts w:ascii="Myriad Pro"/>
                <w:color w:val="58595B"/>
              </w:rPr>
              <w:t>Economic benefit</w:t>
            </w:r>
          </w:p>
        </w:tc>
        <w:tc>
          <w:tcPr>
            <w:tcW w:w="376" w:type="dxa"/>
          </w:tcPr>
          <w:p w:rsidR="00D1511D" w:rsidRDefault="003F0CB3">
            <w:pPr>
              <w:pStyle w:val="TableParagraph"/>
              <w:spacing w:before="63"/>
              <w:ind w:left="68" w:right="20"/>
              <w:jc w:val="center"/>
              <w:rPr>
                <w:rFonts w:ascii="Myriad Pro"/>
              </w:rPr>
            </w:pPr>
            <w:r>
              <w:rPr>
                <w:rFonts w:ascii="Myriad Pro"/>
                <w:color w:val="58595B"/>
              </w:rPr>
              <w:t>48</w:t>
            </w:r>
          </w:p>
        </w:tc>
      </w:tr>
      <w:tr w:rsidR="00D1511D">
        <w:trPr>
          <w:trHeight w:val="327"/>
        </w:trPr>
        <w:tc>
          <w:tcPr>
            <w:tcW w:w="728" w:type="dxa"/>
          </w:tcPr>
          <w:p w:rsidR="00D1511D" w:rsidRDefault="003F0CB3">
            <w:pPr>
              <w:pStyle w:val="TableParagraph"/>
              <w:spacing w:before="63" w:line="244" w:lineRule="exact"/>
              <w:ind w:left="50"/>
              <w:rPr>
                <w:rFonts w:ascii="Myriad Pro"/>
              </w:rPr>
            </w:pPr>
            <w:r>
              <w:rPr>
                <w:rFonts w:ascii="Myriad Pro"/>
                <w:color w:val="58595B"/>
              </w:rPr>
              <w:t>4.3.2g</w:t>
            </w:r>
          </w:p>
        </w:tc>
        <w:tc>
          <w:tcPr>
            <w:tcW w:w="7716" w:type="dxa"/>
          </w:tcPr>
          <w:p w:rsidR="00D1511D" w:rsidRDefault="003F0CB3">
            <w:pPr>
              <w:pStyle w:val="TableParagraph"/>
              <w:spacing w:before="63" w:line="244" w:lineRule="exact"/>
              <w:ind w:left="121"/>
              <w:rPr>
                <w:rFonts w:ascii="Myriad Pro"/>
              </w:rPr>
            </w:pPr>
            <w:proofErr w:type="spellStart"/>
            <w:r>
              <w:rPr>
                <w:rFonts w:ascii="Myriad Pro"/>
                <w:color w:val="58595B"/>
              </w:rPr>
              <w:t>Governanace</w:t>
            </w:r>
            <w:proofErr w:type="spellEnd"/>
            <w:r>
              <w:rPr>
                <w:rFonts w:ascii="Myriad Pro"/>
                <w:color w:val="58595B"/>
              </w:rPr>
              <w:t xml:space="preserve"> and performance</w:t>
            </w:r>
          </w:p>
        </w:tc>
        <w:tc>
          <w:tcPr>
            <w:tcW w:w="376" w:type="dxa"/>
          </w:tcPr>
          <w:p w:rsidR="00D1511D" w:rsidRDefault="003F0CB3">
            <w:pPr>
              <w:pStyle w:val="TableParagraph"/>
              <w:spacing w:before="63" w:line="244" w:lineRule="exact"/>
              <w:ind w:left="68" w:right="21"/>
              <w:jc w:val="center"/>
              <w:rPr>
                <w:rFonts w:ascii="Myriad Pro"/>
              </w:rPr>
            </w:pPr>
            <w:r>
              <w:rPr>
                <w:rFonts w:ascii="Myriad Pro"/>
                <w:color w:val="58595B"/>
              </w:rPr>
              <w:t>48</w:t>
            </w:r>
          </w:p>
        </w:tc>
      </w:tr>
    </w:tbl>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2"/>
        <w:rPr>
          <w:rFonts w:ascii="Myriad Pro"/>
          <w:sz w:val="24"/>
        </w:rPr>
      </w:pPr>
    </w:p>
    <w:p w:rsidR="00D1511D" w:rsidRDefault="003F0CB3">
      <w:pPr>
        <w:spacing w:before="101"/>
        <w:ind w:right="1415"/>
        <w:jc w:val="right"/>
        <w:rPr>
          <w:rFonts w:ascii="Myriad Pro"/>
          <w:sz w:val="16"/>
        </w:rPr>
      </w:pPr>
      <w:r>
        <w:rPr>
          <w:rFonts w:ascii="Myriad Pro"/>
          <w:color w:val="231F20"/>
          <w:sz w:val="16"/>
        </w:rPr>
        <w:t>1</w:t>
      </w:r>
    </w:p>
    <w:p w:rsidR="00D1511D" w:rsidRDefault="00D1511D">
      <w:pPr>
        <w:jc w:val="right"/>
        <w:rPr>
          <w:rFonts w:ascii="Myriad Pro"/>
          <w:sz w:val="16"/>
        </w:rPr>
        <w:sectPr w:rsidR="00D1511D">
          <w:headerReference w:type="default" r:id="rId15"/>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2"/>
        <w:rPr>
          <w:rFonts w:ascii="Myriad Pro"/>
        </w:rPr>
      </w:pPr>
    </w:p>
    <w:sdt>
      <w:sdtPr>
        <w:id w:val="1782684015"/>
        <w:docPartObj>
          <w:docPartGallery w:val="Table of Contents"/>
          <w:docPartUnique/>
        </w:docPartObj>
      </w:sdtPr>
      <w:sdtEndPr/>
      <w:sdtContent>
        <w:p w:rsidR="00D1511D" w:rsidRDefault="003F0CB3">
          <w:pPr>
            <w:pStyle w:val="TOC3"/>
            <w:tabs>
              <w:tab w:val="left" w:pos="2500"/>
              <w:tab w:val="left" w:pos="10199"/>
            </w:tabs>
            <w:spacing w:before="100"/>
          </w:pPr>
          <w:hyperlink w:anchor="_TOC_250007" w:history="1">
            <w:r>
              <w:rPr>
                <w:color w:val="58595B"/>
              </w:rPr>
              <w:t>4.3.3</w:t>
            </w:r>
            <w:r>
              <w:rPr>
                <w:color w:val="58595B"/>
              </w:rPr>
              <w:tab/>
            </w:r>
            <w:r>
              <w:rPr>
                <w:color w:val="58595B"/>
              </w:rPr>
              <w:t>Development of targets for the revised Reef</w:t>
            </w:r>
            <w:r>
              <w:rPr>
                <w:color w:val="58595B"/>
                <w:spacing w:val="-26"/>
              </w:rPr>
              <w:t xml:space="preserve"> </w:t>
            </w:r>
            <w:r>
              <w:rPr>
                <w:color w:val="58595B"/>
                <w:spacing w:val="-3"/>
              </w:rPr>
              <w:t xml:space="preserve">2050 </w:t>
            </w:r>
            <w:r>
              <w:rPr>
                <w:color w:val="58595B"/>
              </w:rPr>
              <w:t>Plan</w:t>
            </w:r>
            <w:r>
              <w:rPr>
                <w:color w:val="58595B"/>
              </w:rPr>
              <w:tab/>
            </w:r>
            <w:r>
              <w:rPr>
                <w:color w:val="58595B"/>
                <w:spacing w:val="-3"/>
              </w:rPr>
              <w:t>49</w:t>
            </w:r>
          </w:hyperlink>
        </w:p>
        <w:p w:rsidR="00D1511D" w:rsidRDefault="003F0CB3">
          <w:pPr>
            <w:pStyle w:val="TOC2"/>
            <w:numPr>
              <w:ilvl w:val="0"/>
              <w:numId w:val="42"/>
            </w:numPr>
            <w:tabs>
              <w:tab w:val="left" w:pos="2500"/>
              <w:tab w:val="left" w:pos="2501"/>
            </w:tabs>
            <w:spacing w:line="242" w:lineRule="exact"/>
            <w:ind w:hanging="801"/>
          </w:pPr>
          <w:r>
            <w:rPr>
              <w:color w:val="58595B"/>
            </w:rPr>
            <w:t>Other conservation issues identified by the State Party which may</w:t>
          </w:r>
        </w:p>
        <w:p w:rsidR="00D1511D" w:rsidRDefault="003F0CB3">
          <w:pPr>
            <w:pStyle w:val="TOC4"/>
            <w:tabs>
              <w:tab w:val="left" w:pos="10176"/>
            </w:tabs>
            <w:spacing w:line="242" w:lineRule="exact"/>
          </w:pPr>
          <w:r>
            <w:rPr>
              <w:color w:val="58595B"/>
            </w:rPr>
            <w:t>have an impact on the property’s outstanding universal value</w:t>
          </w:r>
          <w:r>
            <w:rPr>
              <w:color w:val="58595B"/>
            </w:rPr>
            <w:tab/>
            <w:t>50</w:t>
          </w:r>
        </w:p>
        <w:p w:rsidR="00D1511D" w:rsidRDefault="003F0CB3">
          <w:pPr>
            <w:pStyle w:val="TOC3"/>
            <w:numPr>
              <w:ilvl w:val="1"/>
              <w:numId w:val="42"/>
            </w:numPr>
            <w:tabs>
              <w:tab w:val="left" w:pos="2500"/>
              <w:tab w:val="left" w:pos="2501"/>
              <w:tab w:val="left" w:pos="10197"/>
            </w:tabs>
            <w:spacing w:before="126"/>
            <w:ind w:hanging="801"/>
          </w:pPr>
          <w:hyperlink w:anchor="_TOC_250006" w:history="1">
            <w:r>
              <w:rPr>
                <w:color w:val="58595B"/>
              </w:rPr>
              <w:t xml:space="preserve">Great Barrier Reef Outlook Report </w:t>
            </w:r>
            <w:r>
              <w:rPr>
                <w:color w:val="58595B"/>
                <w:spacing w:val="-8"/>
              </w:rPr>
              <w:t>2019</w:t>
            </w:r>
            <w:r>
              <w:rPr>
                <w:color w:val="58595B"/>
                <w:spacing w:val="-8"/>
              </w:rPr>
              <w:t xml:space="preserve"> </w:t>
            </w:r>
            <w:r>
              <w:rPr>
                <w:color w:val="58595B"/>
              </w:rPr>
              <w:t>–</w:t>
            </w:r>
            <w:r>
              <w:rPr>
                <w:color w:val="58595B"/>
                <w:spacing w:val="-13"/>
              </w:rPr>
              <w:t xml:space="preserve"> </w:t>
            </w:r>
            <w:r>
              <w:rPr>
                <w:color w:val="58595B"/>
              </w:rPr>
              <w:t>risk</w:t>
            </w:r>
            <w:r>
              <w:rPr>
                <w:color w:val="58595B"/>
                <w:spacing w:val="-2"/>
              </w:rPr>
              <w:t xml:space="preserve"> </w:t>
            </w:r>
            <w:r>
              <w:rPr>
                <w:color w:val="58595B"/>
              </w:rPr>
              <w:t>assessment</w:t>
            </w:r>
            <w:r>
              <w:rPr>
                <w:color w:val="58595B"/>
              </w:rPr>
              <w:tab/>
              <w:t>50</w:t>
            </w:r>
          </w:hyperlink>
        </w:p>
        <w:p w:rsidR="00D1511D" w:rsidRDefault="003F0CB3">
          <w:pPr>
            <w:pStyle w:val="TOC3"/>
            <w:numPr>
              <w:ilvl w:val="1"/>
              <w:numId w:val="42"/>
            </w:numPr>
            <w:tabs>
              <w:tab w:val="left" w:pos="2500"/>
              <w:tab w:val="left" w:pos="2501"/>
              <w:tab w:val="left" w:pos="10197"/>
            </w:tabs>
            <w:spacing w:before="126"/>
            <w:ind w:hanging="801"/>
          </w:pPr>
          <w:hyperlink w:anchor="_TOC_250005" w:history="1">
            <w:r>
              <w:rPr>
                <w:color w:val="58595B"/>
              </w:rPr>
              <w:t xml:space="preserve">Great Barrier Reef Outlook Report </w:t>
            </w:r>
            <w:r>
              <w:rPr>
                <w:color w:val="58595B"/>
                <w:spacing w:val="-8"/>
              </w:rPr>
              <w:t xml:space="preserve">2019 </w:t>
            </w:r>
            <w:r>
              <w:rPr>
                <w:color w:val="58595B"/>
              </w:rPr>
              <w:t>–</w:t>
            </w:r>
            <w:r>
              <w:rPr>
                <w:color w:val="58595B"/>
                <w:spacing w:val="-8"/>
              </w:rPr>
              <w:t xml:space="preserve"> </w:t>
            </w:r>
            <w:r>
              <w:rPr>
                <w:color w:val="58595B"/>
              </w:rPr>
              <w:t>long-term</w:t>
            </w:r>
            <w:r>
              <w:rPr>
                <w:color w:val="58595B"/>
                <w:spacing w:val="-2"/>
              </w:rPr>
              <w:t xml:space="preserve"> </w:t>
            </w:r>
            <w:r>
              <w:rPr>
                <w:color w:val="58595B"/>
              </w:rPr>
              <w:t>outlook</w:t>
            </w:r>
            <w:r>
              <w:rPr>
                <w:color w:val="58595B"/>
              </w:rPr>
              <w:tab/>
              <w:t>50</w:t>
            </w:r>
          </w:hyperlink>
        </w:p>
        <w:p w:rsidR="00D1511D" w:rsidRDefault="003F0CB3">
          <w:pPr>
            <w:pStyle w:val="TOC2"/>
            <w:numPr>
              <w:ilvl w:val="0"/>
              <w:numId w:val="42"/>
            </w:numPr>
            <w:tabs>
              <w:tab w:val="left" w:pos="2500"/>
              <w:tab w:val="left" w:pos="2501"/>
            </w:tabs>
            <w:spacing w:before="162" w:line="199" w:lineRule="auto"/>
            <w:ind w:right="1980"/>
            <w:jc w:val="both"/>
          </w:pPr>
          <w:r>
            <w:rPr>
              <w:color w:val="58595B"/>
            </w:rPr>
            <w:t>Potential major restorations, alterations and/or new constructions intended within the property, the buffer zones and/or corridors or other areas, where such developments may affect the outstanding universal value of</w:t>
          </w:r>
          <w:r>
            <w:rPr>
              <w:color w:val="58595B"/>
              <w:spacing w:val="-4"/>
            </w:rPr>
            <w:t xml:space="preserve"> </w:t>
          </w:r>
          <w:r>
            <w:rPr>
              <w:color w:val="58595B"/>
            </w:rPr>
            <w:t>the</w:t>
          </w:r>
        </w:p>
        <w:p w:rsidR="00D1511D" w:rsidRDefault="003F0CB3">
          <w:pPr>
            <w:pStyle w:val="TOC4"/>
            <w:tabs>
              <w:tab w:val="left" w:pos="10186"/>
            </w:tabs>
            <w:jc w:val="both"/>
          </w:pPr>
          <w:r>
            <w:rPr>
              <w:color w:val="58595B"/>
            </w:rPr>
            <w:t>property, including authenticity</w:t>
          </w:r>
          <w:r>
            <w:rPr>
              <w:color w:val="58595B"/>
              <w:spacing w:val="3"/>
            </w:rPr>
            <w:t xml:space="preserve"> </w:t>
          </w:r>
          <w:r>
            <w:rPr>
              <w:color w:val="58595B"/>
            </w:rPr>
            <w:t>an</w:t>
          </w:r>
          <w:r>
            <w:rPr>
              <w:color w:val="58595B"/>
            </w:rPr>
            <w:t>d</w:t>
          </w:r>
          <w:r>
            <w:rPr>
              <w:color w:val="58595B"/>
              <w:spacing w:val="2"/>
            </w:rPr>
            <w:t xml:space="preserve"> </w:t>
          </w:r>
          <w:r>
            <w:rPr>
              <w:color w:val="58595B"/>
            </w:rPr>
            <w:t>integrity</w:t>
          </w:r>
          <w:r>
            <w:rPr>
              <w:color w:val="58595B"/>
            </w:rPr>
            <w:tab/>
          </w:r>
          <w:r>
            <w:rPr>
              <w:color w:val="58595B"/>
              <w:spacing w:val="-5"/>
            </w:rPr>
            <w:t>51</w:t>
          </w:r>
        </w:p>
        <w:p w:rsidR="00D1511D" w:rsidRDefault="003F0CB3">
          <w:pPr>
            <w:pStyle w:val="TOC3"/>
            <w:numPr>
              <w:ilvl w:val="1"/>
              <w:numId w:val="42"/>
            </w:numPr>
            <w:tabs>
              <w:tab w:val="left" w:pos="2500"/>
              <w:tab w:val="left" w:pos="2501"/>
              <w:tab w:val="left" w:pos="10206"/>
            </w:tabs>
            <w:ind w:hanging="801"/>
          </w:pPr>
          <w:hyperlink w:anchor="_TOC_250004" w:history="1">
            <w:r>
              <w:rPr>
                <w:color w:val="58595B"/>
              </w:rPr>
              <w:t>Quarterly</w:t>
            </w:r>
            <w:r>
              <w:rPr>
                <w:color w:val="58595B"/>
                <w:spacing w:val="-4"/>
              </w:rPr>
              <w:t xml:space="preserve"> </w:t>
            </w:r>
            <w:r>
              <w:rPr>
                <w:color w:val="58595B"/>
              </w:rPr>
              <w:t>reporting</w:t>
            </w:r>
            <w:r>
              <w:rPr>
                <w:color w:val="58595B"/>
              </w:rPr>
              <w:tab/>
            </w:r>
            <w:r>
              <w:rPr>
                <w:color w:val="58595B"/>
                <w:spacing w:val="-6"/>
              </w:rPr>
              <w:t>51</w:t>
            </w:r>
          </w:hyperlink>
        </w:p>
        <w:p w:rsidR="00D1511D" w:rsidRDefault="003F0CB3">
          <w:pPr>
            <w:pStyle w:val="TOC2"/>
            <w:numPr>
              <w:ilvl w:val="0"/>
              <w:numId w:val="42"/>
            </w:numPr>
            <w:tabs>
              <w:tab w:val="left" w:pos="2520"/>
              <w:tab w:val="left" w:pos="2521"/>
              <w:tab w:val="left" w:pos="10181"/>
            </w:tabs>
            <w:spacing w:before="226"/>
            <w:ind w:left="2520" w:hanging="804"/>
          </w:pPr>
          <w:r>
            <w:rPr>
              <w:color w:val="58595B"/>
            </w:rPr>
            <w:t>Appendices</w:t>
          </w:r>
          <w:r>
            <w:rPr>
              <w:color w:val="58595B"/>
            </w:rPr>
            <w:tab/>
          </w:r>
          <w:r>
            <w:rPr>
              <w:color w:val="58595B"/>
              <w:spacing w:val="-3"/>
            </w:rPr>
            <w:t>52</w:t>
          </w:r>
        </w:p>
        <w:p w:rsidR="00D1511D" w:rsidRDefault="003F0CB3">
          <w:pPr>
            <w:pStyle w:val="TOC3"/>
            <w:tabs>
              <w:tab w:val="left" w:pos="4138"/>
              <w:tab w:val="left" w:pos="10202"/>
            </w:tabs>
          </w:pPr>
          <w:hyperlink w:anchor="_TOC_250003" w:history="1">
            <w:r>
              <w:rPr>
                <w:color w:val="58595B"/>
              </w:rPr>
              <w:t>Appendix</w:t>
            </w:r>
            <w:r>
              <w:rPr>
                <w:color w:val="58595B"/>
                <w:spacing w:val="-2"/>
              </w:rPr>
              <w:t xml:space="preserve"> </w:t>
            </w:r>
            <w:r>
              <w:rPr>
                <w:color w:val="58595B"/>
              </w:rPr>
              <w:t>A:</w:t>
            </w:r>
            <w:r>
              <w:rPr>
                <w:color w:val="58595B"/>
              </w:rPr>
              <w:tab/>
              <w:t>Map of the Great Barrier Reef World</w:t>
            </w:r>
            <w:r>
              <w:rPr>
                <w:color w:val="58595B"/>
                <w:spacing w:val="-26"/>
              </w:rPr>
              <w:t xml:space="preserve"> </w:t>
            </w:r>
            <w:r>
              <w:rPr>
                <w:color w:val="58595B"/>
              </w:rPr>
              <w:t>Heritage</w:t>
            </w:r>
            <w:r>
              <w:rPr>
                <w:color w:val="58595B"/>
                <w:spacing w:val="-3"/>
              </w:rPr>
              <w:t xml:space="preserve"> </w:t>
            </w:r>
            <w:r>
              <w:rPr>
                <w:color w:val="58595B"/>
              </w:rPr>
              <w:t>Area</w:t>
            </w:r>
            <w:r>
              <w:rPr>
                <w:color w:val="58595B"/>
              </w:rPr>
              <w:tab/>
            </w:r>
            <w:r>
              <w:rPr>
                <w:color w:val="58595B"/>
                <w:spacing w:val="-4"/>
              </w:rPr>
              <w:t>53</w:t>
            </w:r>
          </w:hyperlink>
        </w:p>
        <w:p w:rsidR="00D1511D" w:rsidRDefault="003F0CB3">
          <w:pPr>
            <w:pStyle w:val="TOC3"/>
            <w:tabs>
              <w:tab w:val="left" w:pos="4138"/>
              <w:tab w:val="left" w:pos="10195"/>
            </w:tabs>
          </w:pPr>
          <w:hyperlink w:anchor="_TOC_250002" w:history="1">
            <w:r>
              <w:rPr>
                <w:color w:val="58595B"/>
              </w:rPr>
              <w:t>Appendix</w:t>
            </w:r>
            <w:r>
              <w:rPr>
                <w:color w:val="58595B"/>
                <w:spacing w:val="-3"/>
              </w:rPr>
              <w:t xml:space="preserve"> </w:t>
            </w:r>
            <w:r>
              <w:rPr>
                <w:color w:val="58595B"/>
              </w:rPr>
              <w:t>B:</w:t>
            </w:r>
            <w:r>
              <w:rPr>
                <w:color w:val="58595B"/>
              </w:rPr>
              <w:tab/>
              <w:t xml:space="preserve">Reef funding </w:t>
            </w:r>
            <w:r>
              <w:rPr>
                <w:color w:val="58595B"/>
                <w:spacing w:val="-8"/>
              </w:rPr>
              <w:t>2014-15</w:t>
            </w:r>
            <w:r>
              <w:rPr>
                <w:color w:val="58595B"/>
                <w:spacing w:val="-2"/>
              </w:rPr>
              <w:t xml:space="preserve"> </w:t>
            </w:r>
            <w:r>
              <w:rPr>
                <w:color w:val="58595B"/>
              </w:rPr>
              <w:t>to</w:t>
            </w:r>
            <w:r>
              <w:rPr>
                <w:color w:val="58595B"/>
                <w:spacing w:val="-1"/>
              </w:rPr>
              <w:t xml:space="preserve"> </w:t>
            </w:r>
            <w:r>
              <w:rPr>
                <w:color w:val="58595B"/>
                <w:spacing w:val="-5"/>
              </w:rPr>
              <w:t>2023-24</w:t>
            </w:r>
            <w:r>
              <w:rPr>
                <w:color w:val="58595B"/>
                <w:spacing w:val="-5"/>
              </w:rPr>
              <w:tab/>
            </w:r>
            <w:r>
              <w:rPr>
                <w:color w:val="58595B"/>
              </w:rPr>
              <w:t>54</w:t>
            </w:r>
          </w:hyperlink>
        </w:p>
        <w:p w:rsidR="00D1511D" w:rsidRDefault="003F0CB3">
          <w:pPr>
            <w:pStyle w:val="TOC3"/>
            <w:tabs>
              <w:tab w:val="left" w:pos="4138"/>
              <w:tab w:val="left" w:pos="10194"/>
            </w:tabs>
          </w:pPr>
          <w:hyperlink w:anchor="_TOC_250001" w:history="1">
            <w:r>
              <w:rPr>
                <w:color w:val="58595B"/>
              </w:rPr>
              <w:t>Appendix</w:t>
            </w:r>
            <w:r>
              <w:rPr>
                <w:color w:val="58595B"/>
                <w:spacing w:val="-2"/>
              </w:rPr>
              <w:t xml:space="preserve"> </w:t>
            </w:r>
            <w:r>
              <w:rPr>
                <w:color w:val="58595B"/>
              </w:rPr>
              <w:t>C:</w:t>
            </w:r>
            <w:r>
              <w:rPr>
                <w:color w:val="58595B"/>
              </w:rPr>
              <w:tab/>
              <w:t>World Heritage</w:t>
            </w:r>
            <w:r>
              <w:rPr>
                <w:color w:val="58595B"/>
                <w:spacing w:val="-12"/>
              </w:rPr>
              <w:t xml:space="preserve"> </w:t>
            </w:r>
            <w:r>
              <w:rPr>
                <w:color w:val="58595B"/>
              </w:rPr>
              <w:t>Committee</w:t>
            </w:r>
            <w:r>
              <w:rPr>
                <w:color w:val="58595B"/>
                <w:spacing w:val="-6"/>
              </w:rPr>
              <w:t xml:space="preserve"> </w:t>
            </w:r>
            <w:r>
              <w:rPr>
                <w:color w:val="58595B"/>
              </w:rPr>
              <w:t>Decisions</w:t>
            </w:r>
            <w:r>
              <w:rPr>
                <w:color w:val="58595B"/>
              </w:rPr>
              <w:tab/>
              <w:t>60</w:t>
            </w:r>
          </w:hyperlink>
        </w:p>
        <w:p w:rsidR="00D1511D" w:rsidRDefault="003F0CB3">
          <w:pPr>
            <w:pStyle w:val="TOC1"/>
            <w:tabs>
              <w:tab w:val="left" w:pos="2437"/>
            </w:tabs>
            <w:spacing w:before="227"/>
          </w:pPr>
          <w:r>
            <w:rPr>
              <w:color w:val="58595B"/>
            </w:rPr>
            <w:t>Appendix</w:t>
          </w:r>
          <w:r>
            <w:rPr>
              <w:color w:val="58595B"/>
              <w:spacing w:val="-2"/>
            </w:rPr>
            <w:t xml:space="preserve"> </w:t>
          </w:r>
          <w:r>
            <w:rPr>
              <w:color w:val="58595B"/>
            </w:rPr>
            <w:t>D:</w:t>
          </w:r>
          <w:r>
            <w:rPr>
              <w:color w:val="58595B"/>
            </w:rPr>
            <w:tab/>
            <w:t xml:space="preserve">Summary of heritage attributes from the </w:t>
          </w:r>
          <w:r>
            <w:rPr>
              <w:color w:val="58595B"/>
              <w:spacing w:val="-8"/>
            </w:rPr>
            <w:t xml:space="preserve">2019 </w:t>
          </w:r>
          <w:r>
            <w:rPr>
              <w:color w:val="58595B"/>
            </w:rPr>
            <w:t>Outlook</w:t>
          </w:r>
          <w:r>
            <w:rPr>
              <w:color w:val="58595B"/>
              <w:spacing w:val="-21"/>
            </w:rPr>
            <w:t xml:space="preserve"> </w:t>
          </w:r>
          <w:r>
            <w:rPr>
              <w:color w:val="58595B"/>
            </w:rPr>
            <w:t>Report</w:t>
          </w:r>
        </w:p>
        <w:p w:rsidR="00D1511D" w:rsidRDefault="003F0CB3">
          <w:pPr>
            <w:pStyle w:val="TOC1"/>
            <w:ind w:right="2163"/>
          </w:pPr>
          <w:r>
            <w:rPr>
              <w:color w:val="58595B"/>
            </w:rPr>
            <w:t>and</w:t>
          </w:r>
          <w:r>
            <w:rPr>
              <w:color w:val="58595B"/>
              <w:spacing w:val="-7"/>
            </w:rPr>
            <w:t xml:space="preserve"> </w:t>
          </w:r>
          <w:r>
            <w:rPr>
              <w:color w:val="58595B"/>
            </w:rPr>
            <w:t>Complementary</w:t>
          </w:r>
          <w:r>
            <w:rPr>
              <w:color w:val="58595B"/>
              <w:spacing w:val="-6"/>
            </w:rPr>
            <w:t xml:space="preserve"> </w:t>
          </w:r>
          <w:r>
            <w:rPr>
              <w:color w:val="58595B"/>
            </w:rPr>
            <w:t>assessments-</w:t>
          </w:r>
          <w:r>
            <w:rPr>
              <w:color w:val="58595B"/>
              <w:spacing w:val="-7"/>
            </w:rPr>
            <w:t xml:space="preserve"> </w:t>
          </w:r>
          <w:r>
            <w:rPr>
              <w:color w:val="58595B"/>
            </w:rPr>
            <w:t>linking</w:t>
          </w:r>
          <w:r>
            <w:rPr>
              <w:color w:val="58595B"/>
              <w:spacing w:val="-6"/>
            </w:rPr>
            <w:t xml:space="preserve"> </w:t>
          </w:r>
          <w:r>
            <w:rPr>
              <w:color w:val="58595B"/>
            </w:rPr>
            <w:t>the</w:t>
          </w:r>
          <w:r>
            <w:rPr>
              <w:color w:val="58595B"/>
              <w:spacing w:val="-7"/>
            </w:rPr>
            <w:t xml:space="preserve"> </w:t>
          </w:r>
          <w:r>
            <w:rPr>
              <w:color w:val="58595B"/>
            </w:rPr>
            <w:t>Outlook</w:t>
          </w:r>
          <w:r>
            <w:rPr>
              <w:color w:val="58595B"/>
              <w:spacing w:val="-6"/>
            </w:rPr>
            <w:t xml:space="preserve"> </w:t>
          </w:r>
          <w:r>
            <w:rPr>
              <w:color w:val="58595B"/>
            </w:rPr>
            <w:t>Report</w:t>
          </w:r>
        </w:p>
        <w:p w:rsidR="00D1511D" w:rsidRDefault="003F0CB3">
          <w:pPr>
            <w:pStyle w:val="TOC5"/>
            <w:tabs>
              <w:tab w:val="left" w:pos="10191"/>
            </w:tabs>
          </w:pPr>
          <w:r>
            <w:rPr>
              <w:color w:val="58595B"/>
            </w:rPr>
            <w:t>and the Great Barrier Reef’s outstanding</w:t>
          </w:r>
          <w:r>
            <w:rPr>
              <w:color w:val="58595B"/>
              <w:spacing w:val="-29"/>
            </w:rPr>
            <w:t xml:space="preserve"> </w:t>
          </w:r>
          <w:r>
            <w:rPr>
              <w:color w:val="58595B"/>
            </w:rPr>
            <w:t>universal</w:t>
          </w:r>
          <w:r>
            <w:rPr>
              <w:color w:val="58595B"/>
              <w:spacing w:val="-4"/>
            </w:rPr>
            <w:t xml:space="preserve"> </w:t>
          </w:r>
          <w:r>
            <w:rPr>
              <w:color w:val="58595B"/>
            </w:rPr>
            <w:t>value</w:t>
          </w:r>
          <w:r>
            <w:rPr>
              <w:color w:val="58595B"/>
            </w:rPr>
            <w:tab/>
            <w:t>64</w:t>
          </w:r>
        </w:p>
        <w:p w:rsidR="00D1511D" w:rsidRDefault="003F0CB3">
          <w:pPr>
            <w:pStyle w:val="TOC3"/>
            <w:tabs>
              <w:tab w:val="left" w:pos="4138"/>
              <w:tab w:val="left" w:pos="10193"/>
            </w:tabs>
            <w:spacing w:line="290" w:lineRule="auto"/>
            <w:ind w:left="4138" w:right="1482" w:hanging="2438"/>
          </w:pPr>
          <w:hyperlink w:anchor="_TOC_250000" w:history="1">
            <w:r>
              <w:rPr>
                <w:color w:val="58595B"/>
              </w:rPr>
              <w:t>Appendix</w:t>
            </w:r>
            <w:r>
              <w:rPr>
                <w:color w:val="58595B"/>
                <w:spacing w:val="-2"/>
              </w:rPr>
              <w:t xml:space="preserve"> </w:t>
            </w:r>
            <w:r>
              <w:rPr>
                <w:color w:val="58595B"/>
              </w:rPr>
              <w:t>E:</w:t>
            </w:r>
            <w:r>
              <w:rPr>
                <w:color w:val="58595B"/>
              </w:rPr>
              <w:tab/>
              <w:t xml:space="preserve">Integrity test – Great Barrier Reef World Heritage Area (from the </w:t>
            </w:r>
            <w:r>
              <w:rPr>
                <w:color w:val="58595B"/>
                <w:spacing w:val="-8"/>
              </w:rPr>
              <w:t xml:space="preserve">2019 </w:t>
            </w:r>
            <w:r>
              <w:rPr>
                <w:color w:val="58595B"/>
              </w:rPr>
              <w:t>Outlook</w:t>
            </w:r>
            <w:r>
              <w:rPr>
                <w:color w:val="58595B"/>
                <w:spacing w:val="-2"/>
              </w:rPr>
              <w:t xml:space="preserve"> </w:t>
            </w:r>
            <w:r>
              <w:rPr>
                <w:color w:val="58595B"/>
              </w:rPr>
              <w:t>Report)</w:t>
            </w:r>
            <w:r>
              <w:rPr>
                <w:color w:val="58595B"/>
              </w:rPr>
              <w:tab/>
            </w:r>
            <w:r>
              <w:rPr>
                <w:color w:val="58595B"/>
                <w:spacing w:val="-8"/>
              </w:rPr>
              <w:t>68</w:t>
            </w:r>
          </w:hyperlink>
        </w:p>
      </w:sdtContent>
    </w:sdt>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sz w:val="21"/>
        </w:rPr>
      </w:pPr>
    </w:p>
    <w:p w:rsidR="00D1511D" w:rsidRDefault="003F0CB3">
      <w:pPr>
        <w:ind w:left="1417"/>
        <w:rPr>
          <w:rFonts w:ascii="Myriad Pro"/>
          <w:sz w:val="16"/>
        </w:rPr>
      </w:pPr>
      <w:r>
        <w:rPr>
          <w:rFonts w:ascii="Myriad Pro"/>
          <w:color w:val="231F20"/>
          <w:sz w:val="16"/>
        </w:rPr>
        <w:t xml:space="preserve">2 / </w:t>
      </w:r>
      <w:r>
        <w:rPr>
          <w:rFonts w:ascii="Myriad Pro"/>
          <w:color w:val="005695"/>
          <w:sz w:val="16"/>
        </w:rPr>
        <w:t xml:space="preserve">State Party Report on the state of conservation of the </w:t>
      </w:r>
      <w:r>
        <w:rPr>
          <w:rFonts w:ascii="Myriad Pro"/>
          <w:b/>
          <w:color w:val="005695"/>
          <w:sz w:val="16"/>
        </w:rPr>
        <w:t xml:space="preserve">Great Barrier Reef World Heritage Area (Australia) </w:t>
      </w:r>
      <w:r>
        <w:rPr>
          <w:rFonts w:ascii="Myriad Pro"/>
          <w:color w:val="005695"/>
          <w:sz w:val="16"/>
        </w:rPr>
        <w:t>2019</w:t>
      </w:r>
    </w:p>
    <w:p w:rsidR="00D1511D" w:rsidRDefault="00D1511D">
      <w:pPr>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1"/>
        <w:rPr>
          <w:rFonts w:ascii="Myriad Pro"/>
          <w:sz w:val="15"/>
        </w:rPr>
      </w:pPr>
    </w:p>
    <w:p w:rsidR="00D1511D" w:rsidRDefault="003F0CB3">
      <w:pPr>
        <w:pStyle w:val="Heading1"/>
        <w:numPr>
          <w:ilvl w:val="0"/>
          <w:numId w:val="15"/>
        </w:numPr>
        <w:tabs>
          <w:tab w:val="left" w:pos="2154"/>
        </w:tabs>
        <w:ind w:hanging="454"/>
      </w:pPr>
      <w:r>
        <w:rPr>
          <w:color w:val="005695"/>
          <w:spacing w:val="-7"/>
        </w:rPr>
        <w:t>Executive</w:t>
      </w:r>
      <w:r>
        <w:rPr>
          <w:color w:val="005695"/>
        </w:rPr>
        <w:t xml:space="preserve"> </w:t>
      </w:r>
      <w:r>
        <w:rPr>
          <w:color w:val="005695"/>
          <w:spacing w:val="-5"/>
        </w:rPr>
        <w:t>summary</w:t>
      </w:r>
    </w:p>
    <w:p w:rsidR="00D1511D" w:rsidRDefault="00D1511D">
      <w:pPr>
        <w:pStyle w:val="BodyText"/>
        <w:spacing w:before="6"/>
        <w:rPr>
          <w:rFonts w:ascii="Myriad Pro"/>
          <w:sz w:val="58"/>
        </w:rPr>
      </w:pPr>
    </w:p>
    <w:p w:rsidR="00D1511D" w:rsidRDefault="003F0CB3">
      <w:pPr>
        <w:pStyle w:val="BodyText"/>
        <w:spacing w:line="280" w:lineRule="auto"/>
        <w:ind w:left="1700" w:right="1467"/>
      </w:pPr>
      <w:r>
        <w:rPr>
          <w:color w:val="231F20"/>
        </w:rPr>
        <w:t>The Great Barrier Reef World Heritage Area is beautiful, vast and diverse. It is the world’s largest coral reef ecosystem and a living natural wonder of the world. The Great Barrier Reef was inscribed on the World Heritage List in 1981. Australia is strong</w:t>
      </w:r>
      <w:r>
        <w:rPr>
          <w:color w:val="231F20"/>
        </w:rPr>
        <w:t>ly committed to the responsible stewardship of the Great Barrier Reef World Heritage Area and continues to act and invest to protect its Outstanding Universal Value (OUV) and strengthen its resilience. Total investment to benefit the Reef over the decade e</w:t>
      </w:r>
      <w:r>
        <w:rPr>
          <w:color w:val="231F20"/>
        </w:rPr>
        <w:t>nding in 2023-24 will exceed $2.7 billion.</w:t>
      </w:r>
    </w:p>
    <w:p w:rsidR="00D1511D" w:rsidRDefault="003F0CB3">
      <w:pPr>
        <w:pStyle w:val="BodyText"/>
        <w:spacing w:before="166" w:line="280" w:lineRule="auto"/>
        <w:ind w:left="1700" w:right="1422"/>
      </w:pPr>
      <w:r>
        <w:rPr>
          <w:color w:val="231F20"/>
        </w:rPr>
        <w:t xml:space="preserve">Mass coral bleaching events in 2016 and 2017, six tropical cyclones, flooding, and a coral-eating crown-of-thorns starfish outbreak have impacted the OUV of the property since the last State Party Report in 2015. </w:t>
      </w:r>
      <w:r>
        <w:rPr>
          <w:color w:val="231F20"/>
        </w:rPr>
        <w:t xml:space="preserve">The Great Barrier Reef Marine </w:t>
      </w:r>
      <w:r>
        <w:rPr>
          <w:color w:val="231F20"/>
          <w:spacing w:val="-3"/>
        </w:rPr>
        <w:t xml:space="preserve">Park Authority’s </w:t>
      </w:r>
      <w:r>
        <w:rPr>
          <w:i/>
          <w:color w:val="231F20"/>
        </w:rPr>
        <w:t xml:space="preserve">Great Barrier Reef Outlook Report 2019 </w:t>
      </w:r>
      <w:r>
        <w:rPr>
          <w:color w:val="231F20"/>
        </w:rPr>
        <w:t xml:space="preserve">(2019 Outlook Report) found that the long-term outlook for the Reef’s ecosystem has deteriorated from </w:t>
      </w:r>
      <w:r>
        <w:rPr>
          <w:i/>
          <w:color w:val="231F20"/>
        </w:rPr>
        <w:t xml:space="preserve">poor </w:t>
      </w:r>
      <w:r>
        <w:rPr>
          <w:color w:val="231F20"/>
        </w:rPr>
        <w:t xml:space="preserve">to </w:t>
      </w:r>
      <w:r>
        <w:rPr>
          <w:i/>
          <w:color w:val="231F20"/>
        </w:rPr>
        <w:t>very poor</w:t>
      </w:r>
      <w:r>
        <w:rPr>
          <w:color w:val="231F20"/>
        </w:rPr>
        <w:t xml:space="preserve">. </w:t>
      </w:r>
      <w:r>
        <w:rPr>
          <w:color w:val="231F20"/>
          <w:spacing w:val="-3"/>
        </w:rPr>
        <w:t xml:space="preserve">It </w:t>
      </w:r>
      <w:r>
        <w:rPr>
          <w:color w:val="231F20"/>
        </w:rPr>
        <w:t>states that climate change (especially sea tem</w:t>
      </w:r>
      <w:r>
        <w:rPr>
          <w:color w:val="231F20"/>
        </w:rPr>
        <w:t xml:space="preserve">perature rise) remains the most serious and pervasive threat to the Great Barrier Reef – </w:t>
      </w:r>
      <w:r>
        <w:rPr>
          <w:color w:val="231F20"/>
          <w:spacing w:val="-12"/>
        </w:rPr>
        <w:t xml:space="preserve">a </w:t>
      </w:r>
      <w:r>
        <w:rPr>
          <w:color w:val="231F20"/>
        </w:rPr>
        <w:t>threat in common with all coral reefs globally. The other key threats identified in the 2019 Outlook Report are land-based run off, coastal development and some aspe</w:t>
      </w:r>
      <w:r>
        <w:rPr>
          <w:color w:val="231F20"/>
        </w:rPr>
        <w:t>cts of direct human use such as illegal fishing.</w:t>
      </w:r>
    </w:p>
    <w:p w:rsidR="00D1511D" w:rsidRDefault="003F0CB3">
      <w:pPr>
        <w:pStyle w:val="BodyText"/>
        <w:spacing w:before="165" w:line="280" w:lineRule="auto"/>
        <w:ind w:left="1700" w:right="1442"/>
      </w:pPr>
      <w:r>
        <w:rPr>
          <w:color w:val="231F20"/>
        </w:rPr>
        <w:t>Concerted global action to limit global warming is needed to turn around the deteriorating outlook for the Great Barrier Reef – and all other coral reefs. This is the context in which Australia manages the G</w:t>
      </w:r>
      <w:r>
        <w:rPr>
          <w:color w:val="231F20"/>
        </w:rPr>
        <w:t>reat Barrier Reef. We are actively managing the pressures over which we have direct control through investment and regulation based on the best available science. In the face of these pressures we are scaling up investment in reef restoration and adaptatio</w:t>
      </w:r>
      <w:r>
        <w:rPr>
          <w:color w:val="231F20"/>
        </w:rPr>
        <w:t>n science.</w:t>
      </w:r>
    </w:p>
    <w:p w:rsidR="00D1511D" w:rsidRDefault="003F0CB3">
      <w:pPr>
        <w:pStyle w:val="BodyText"/>
        <w:spacing w:before="166" w:line="280" w:lineRule="auto"/>
        <w:ind w:left="1700" w:right="1418"/>
      </w:pPr>
      <w:r>
        <w:rPr>
          <w:color w:val="231F20"/>
        </w:rPr>
        <w:t>Australia is taking strong action as part of global efforts to address the global threat of climate change under the United Nations Framework Convention on Climate Change and the Paris Agreement. The Paris Agreement aims to keep global temperatu</w:t>
      </w:r>
      <w:r>
        <w:rPr>
          <w:color w:val="231F20"/>
        </w:rPr>
        <w:t>re rise well below 2°C – and to pursue efforts to limit the temperature increase to 1.5°C. Australia’s commitment under the Paris Agreement is to reduce emissions by 26 to 28 per cent below 2005 levels by 2030.</w:t>
      </w:r>
    </w:p>
    <w:p w:rsidR="00D1511D" w:rsidRDefault="003F0CB3">
      <w:pPr>
        <w:pStyle w:val="BodyText"/>
        <w:spacing w:before="166" w:line="280" w:lineRule="auto"/>
        <w:ind w:left="1700" w:right="1359"/>
      </w:pPr>
      <w:r>
        <w:rPr>
          <w:color w:val="231F20"/>
        </w:rPr>
        <w:t>In 2015, the Australian and Queensland govern</w:t>
      </w:r>
      <w:r>
        <w:rPr>
          <w:color w:val="231F20"/>
        </w:rPr>
        <w:t xml:space="preserve">ments put in place the </w:t>
      </w:r>
      <w:r>
        <w:rPr>
          <w:i/>
          <w:color w:val="231F20"/>
        </w:rPr>
        <w:t xml:space="preserve">Reef 2050 Long-Term Sustainability Plan </w:t>
      </w:r>
      <w:r>
        <w:rPr>
          <w:color w:val="231F20"/>
        </w:rPr>
        <w:t xml:space="preserve">(Reef 2050 Plan). This Plan was welcomed by the World Heritage Committee at its meeting in Bonn (decision 39 COM 7B.7), as was our early progress in implementing the Plan (41 COM 7B.24). Since </w:t>
      </w:r>
      <w:r>
        <w:rPr>
          <w:color w:val="231F20"/>
        </w:rPr>
        <w:t>then we have matured, diversified and accelerated our response to Reef health challenges. A mid-term review of the Reef 2050 Plan was brought forward to 2017 in light of the mass coral bleaching that occurred in 2016 and 2017 and additional funding provide</w:t>
      </w:r>
      <w:r>
        <w:rPr>
          <w:color w:val="231F20"/>
        </w:rPr>
        <w:t xml:space="preserve">d, demonstrating our ongoing commitment to responsive and adaptive management of the Reef. The </w:t>
      </w:r>
      <w:r>
        <w:rPr>
          <w:i/>
          <w:color w:val="231F20"/>
        </w:rPr>
        <w:t xml:space="preserve">Reef 2050 Plan Insights Report </w:t>
      </w:r>
      <w:r>
        <w:rPr>
          <w:color w:val="231F20"/>
        </w:rPr>
        <w:t>(an independent report commissioned to inform the 2019 Outlook Report) found the Reef 2050 Plan provides a “very sound framework f</w:t>
      </w:r>
      <w:r>
        <w:rPr>
          <w:color w:val="231F20"/>
        </w:rPr>
        <w:t>or improving the management of the Reef’s values through improved governance, planning and resourcing”.</w:t>
      </w:r>
    </w:p>
    <w:p w:rsidR="00D1511D" w:rsidRDefault="003F0CB3">
      <w:pPr>
        <w:pStyle w:val="BodyText"/>
        <w:spacing w:before="163" w:line="280" w:lineRule="auto"/>
        <w:ind w:left="1700" w:right="1802"/>
      </w:pPr>
      <w:r>
        <w:rPr>
          <w:color w:val="231F20"/>
          <w:spacing w:val="-12"/>
        </w:rPr>
        <w:t xml:space="preserve">To </w:t>
      </w:r>
      <w:r>
        <w:rPr>
          <w:color w:val="231F20"/>
        </w:rPr>
        <w:t xml:space="preserve">accelerate efforts to address water </w:t>
      </w:r>
      <w:r>
        <w:rPr>
          <w:color w:val="231F20"/>
          <w:spacing w:val="-3"/>
        </w:rPr>
        <w:t xml:space="preserve">quality, </w:t>
      </w:r>
      <w:r>
        <w:rPr>
          <w:color w:val="231F20"/>
        </w:rPr>
        <w:t>the Australian and Queensland governments are implementing a</w:t>
      </w:r>
      <w:r>
        <w:rPr>
          <w:color w:val="231F20"/>
          <w:spacing w:val="-4"/>
        </w:rPr>
        <w:t xml:space="preserve"> </w:t>
      </w:r>
      <w:r>
        <w:rPr>
          <w:color w:val="231F20"/>
        </w:rPr>
        <w:t>$600</w:t>
      </w:r>
      <w:r>
        <w:rPr>
          <w:color w:val="231F20"/>
          <w:spacing w:val="-3"/>
        </w:rPr>
        <w:t xml:space="preserve"> </w:t>
      </w:r>
      <w:r>
        <w:rPr>
          <w:color w:val="231F20"/>
        </w:rPr>
        <w:t>million</w:t>
      </w:r>
      <w:r>
        <w:rPr>
          <w:color w:val="231F20"/>
          <w:spacing w:val="-4"/>
        </w:rPr>
        <w:t xml:space="preserve"> </w:t>
      </w:r>
      <w:r>
        <w:rPr>
          <w:i/>
          <w:color w:val="231F20"/>
        </w:rPr>
        <w:t>Reef</w:t>
      </w:r>
      <w:r>
        <w:rPr>
          <w:i/>
          <w:color w:val="231F20"/>
          <w:spacing w:val="-3"/>
        </w:rPr>
        <w:t xml:space="preserve"> </w:t>
      </w:r>
      <w:r>
        <w:rPr>
          <w:i/>
          <w:color w:val="231F20"/>
        </w:rPr>
        <w:t>2050</w:t>
      </w:r>
      <w:r>
        <w:rPr>
          <w:i/>
          <w:color w:val="231F20"/>
          <w:spacing w:val="-15"/>
        </w:rPr>
        <w:t xml:space="preserve"> </w:t>
      </w:r>
      <w:r>
        <w:rPr>
          <w:i/>
          <w:color w:val="231F20"/>
          <w:spacing w:val="-4"/>
        </w:rPr>
        <w:t>Water</w:t>
      </w:r>
      <w:r>
        <w:rPr>
          <w:i/>
          <w:color w:val="231F20"/>
          <w:spacing w:val="-3"/>
        </w:rPr>
        <w:t xml:space="preserve"> </w:t>
      </w:r>
      <w:r>
        <w:rPr>
          <w:i/>
          <w:color w:val="231F20"/>
        </w:rPr>
        <w:t>Quality</w:t>
      </w:r>
      <w:r>
        <w:rPr>
          <w:i/>
          <w:color w:val="231F20"/>
          <w:spacing w:val="-3"/>
        </w:rPr>
        <w:t xml:space="preserve"> </w:t>
      </w:r>
      <w:r>
        <w:rPr>
          <w:i/>
          <w:color w:val="231F20"/>
        </w:rPr>
        <w:t>Improvement</w:t>
      </w:r>
      <w:r>
        <w:rPr>
          <w:i/>
          <w:color w:val="231F20"/>
          <w:spacing w:val="-3"/>
        </w:rPr>
        <w:t xml:space="preserve"> </w:t>
      </w:r>
      <w:r>
        <w:rPr>
          <w:i/>
          <w:color w:val="231F20"/>
        </w:rPr>
        <w:t>Plan</w:t>
      </w:r>
      <w:r>
        <w:rPr>
          <w:i/>
          <w:color w:val="231F20"/>
          <w:spacing w:val="-3"/>
        </w:rPr>
        <w:t xml:space="preserve"> </w:t>
      </w:r>
      <w:r>
        <w:rPr>
          <w:i/>
          <w:color w:val="231F20"/>
        </w:rPr>
        <w:t>for</w:t>
      </w:r>
      <w:r>
        <w:rPr>
          <w:i/>
          <w:color w:val="231F20"/>
          <w:spacing w:val="-4"/>
        </w:rPr>
        <w:t xml:space="preserve"> </w:t>
      </w:r>
      <w:r>
        <w:rPr>
          <w:i/>
          <w:color w:val="231F20"/>
        </w:rPr>
        <w:t>2017-2022</w:t>
      </w:r>
      <w:r>
        <w:rPr>
          <w:i/>
          <w:color w:val="231F20"/>
          <w:spacing w:val="-4"/>
        </w:rPr>
        <w:t xml:space="preserve"> </w:t>
      </w:r>
      <w:r>
        <w:rPr>
          <w:color w:val="231F20"/>
        </w:rPr>
        <w:t>(Reef</w:t>
      </w:r>
      <w:r>
        <w:rPr>
          <w:color w:val="231F20"/>
          <w:spacing w:val="-3"/>
        </w:rPr>
        <w:t xml:space="preserve"> </w:t>
      </w:r>
      <w:r>
        <w:rPr>
          <w:color w:val="231F20"/>
        </w:rPr>
        <w:t>2050</w:t>
      </w:r>
      <w:r>
        <w:rPr>
          <w:color w:val="231F20"/>
          <w:spacing w:val="-6"/>
        </w:rPr>
        <w:t xml:space="preserve"> </w:t>
      </w:r>
      <w:r>
        <w:rPr>
          <w:color w:val="231F20"/>
        </w:rPr>
        <w:t>WQIP).</w:t>
      </w:r>
      <w:r>
        <w:rPr>
          <w:color w:val="231F20"/>
          <w:spacing w:val="-3"/>
        </w:rPr>
        <w:t xml:space="preserve"> </w:t>
      </w:r>
      <w:r>
        <w:rPr>
          <w:color w:val="231F20"/>
        </w:rPr>
        <w:t>The</w:t>
      </w:r>
      <w:r>
        <w:rPr>
          <w:color w:val="231F20"/>
          <w:spacing w:val="-3"/>
        </w:rPr>
        <w:t xml:space="preserve"> </w:t>
      </w:r>
      <w:r>
        <w:rPr>
          <w:color w:val="231F20"/>
        </w:rPr>
        <w:t>Reef</w:t>
      </w:r>
      <w:r>
        <w:rPr>
          <w:color w:val="231F20"/>
          <w:spacing w:val="-3"/>
        </w:rPr>
        <w:t xml:space="preserve"> </w:t>
      </w:r>
      <w:r>
        <w:rPr>
          <w:color w:val="231F20"/>
        </w:rPr>
        <w:t>2050 WQIP uses an adaptive management approach, informed by the best available science. The approach to improving water quality includes working with landholders to reduce pollution run off into wat</w:t>
      </w:r>
      <w:r>
        <w:rPr>
          <w:color w:val="231F20"/>
        </w:rPr>
        <w:t>erways,</w:t>
      </w:r>
      <w:r>
        <w:rPr>
          <w:color w:val="231F20"/>
          <w:spacing w:val="-11"/>
        </w:rPr>
        <w:t xml:space="preserve"> </w:t>
      </w:r>
      <w:r>
        <w:rPr>
          <w:color w:val="231F20"/>
        </w:rPr>
        <w:t>land</w:t>
      </w:r>
    </w:p>
    <w:p w:rsidR="00D1511D" w:rsidRDefault="003F0CB3">
      <w:pPr>
        <w:pStyle w:val="BodyText"/>
        <w:spacing w:line="280" w:lineRule="auto"/>
        <w:ind w:left="1700" w:right="1440"/>
      </w:pPr>
      <w:r>
        <w:rPr>
          <w:color w:val="231F20"/>
        </w:rPr>
        <w:t xml:space="preserve">restoration to prevent erosion, and strengthening regulation of vegetation management, water quality and dredge disposal. Water quality management for the Reef is expected to improve following the approval of new legislation by the Queensland </w:t>
      </w:r>
      <w:r>
        <w:rPr>
          <w:color w:val="231F20"/>
        </w:rPr>
        <w:t>Government on 19 September 2019 which strengthens Queensland’s regulatory framework for reducing nutrient and sediment releases from agricultural activities and new industrial development. Amongst</w:t>
      </w: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3F0CB3">
      <w:pPr>
        <w:spacing w:before="168"/>
        <w:ind w:right="1415"/>
        <w:jc w:val="right"/>
        <w:rPr>
          <w:rFonts w:ascii="Myriad Pro"/>
          <w:sz w:val="16"/>
        </w:rPr>
      </w:pPr>
      <w:r>
        <w:rPr>
          <w:rFonts w:ascii="Myriad Pro"/>
          <w:color w:val="231F20"/>
          <w:sz w:val="16"/>
        </w:rPr>
        <w:t>3</w:t>
      </w:r>
    </w:p>
    <w:p w:rsidR="00D1511D" w:rsidRDefault="00D1511D">
      <w:pPr>
        <w:jc w:val="right"/>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8"/>
        <w:rPr>
          <w:rFonts w:ascii="Myriad Pro"/>
        </w:rPr>
      </w:pPr>
    </w:p>
    <w:p w:rsidR="00D1511D" w:rsidRDefault="003F0CB3">
      <w:pPr>
        <w:pStyle w:val="BodyText"/>
        <w:spacing w:before="98" w:line="280" w:lineRule="auto"/>
        <w:ind w:left="1700" w:right="1802"/>
      </w:pPr>
      <w:r>
        <w:rPr>
          <w:color w:val="231F20"/>
        </w:rPr>
        <w:t xml:space="preserve">other measures, these Reef Protection Regulations regulate agricultural activities to avoid excessive </w:t>
      </w:r>
      <w:proofErr w:type="spellStart"/>
      <w:r>
        <w:rPr>
          <w:color w:val="231F20"/>
        </w:rPr>
        <w:t>fertiliser</w:t>
      </w:r>
      <w:proofErr w:type="spellEnd"/>
      <w:r>
        <w:rPr>
          <w:color w:val="231F20"/>
        </w:rPr>
        <w:t xml:space="preserve"> application, and to actively manage erosion risks in all Reef catchments.</w:t>
      </w:r>
    </w:p>
    <w:p w:rsidR="00D1511D" w:rsidRDefault="003F0CB3">
      <w:pPr>
        <w:pStyle w:val="BodyText"/>
        <w:spacing w:before="169" w:line="280" w:lineRule="auto"/>
        <w:ind w:left="1700" w:right="1467"/>
      </w:pPr>
      <w:r>
        <w:rPr>
          <w:color w:val="231F20"/>
        </w:rPr>
        <w:t>Australia is also committed to transparent monitoring and reporting t</w:t>
      </w:r>
      <w:r>
        <w:rPr>
          <w:color w:val="231F20"/>
        </w:rPr>
        <w:t xml:space="preserve">hrough publication of the Great Barrier Reef Outlook Report (required every five years under the </w:t>
      </w:r>
      <w:r>
        <w:rPr>
          <w:i/>
          <w:color w:val="231F20"/>
        </w:rPr>
        <w:t>Great Barrier Reef Marine Park Act 1975</w:t>
      </w:r>
      <w:r>
        <w:rPr>
          <w:color w:val="231F20"/>
        </w:rPr>
        <w:t>), Scientific Consensus Statement for water quality (updated every five years), annual Reef Water Quality Report Cards a</w:t>
      </w:r>
      <w:r>
        <w:rPr>
          <w:color w:val="231F20"/>
        </w:rPr>
        <w:t>nd the establishment of the Reef 2050 Integrated Monitoring and Reporting Program.</w:t>
      </w:r>
    </w:p>
    <w:p w:rsidR="00D1511D" w:rsidRDefault="003F0CB3">
      <w:pPr>
        <w:pStyle w:val="BodyText"/>
        <w:spacing w:before="167" w:line="280" w:lineRule="auto"/>
        <w:ind w:left="1700" w:right="1442"/>
      </w:pPr>
      <w:r>
        <w:rPr>
          <w:color w:val="231F20"/>
        </w:rPr>
        <w:t>While there has been significant progress in addressing the threats and pressures facing the Reef, Australia does not underestimate the scale of the challenges that lie ahea</w:t>
      </w:r>
      <w:r>
        <w:rPr>
          <w:color w:val="231F20"/>
        </w:rPr>
        <w:t>d. The Australian and Queensland governments will continue to comprehensively address these threats and pressures in order to sustain the OUV of the Great Barrier Reef World Heritage Area.</w:t>
      </w: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spacing w:before="7"/>
        <w:rPr>
          <w:sz w:val="22"/>
        </w:rPr>
      </w:pPr>
    </w:p>
    <w:p w:rsidR="00D1511D" w:rsidRDefault="003F0CB3">
      <w:pPr>
        <w:ind w:left="1417"/>
        <w:rPr>
          <w:rFonts w:ascii="Myriad Pro"/>
          <w:sz w:val="16"/>
        </w:rPr>
      </w:pPr>
      <w:r>
        <w:rPr>
          <w:rFonts w:ascii="Myriad Pro"/>
          <w:color w:val="231F20"/>
          <w:sz w:val="16"/>
        </w:rPr>
        <w:t xml:space="preserve">4 / </w:t>
      </w:r>
      <w:r>
        <w:rPr>
          <w:rFonts w:ascii="Myriad Pro"/>
          <w:color w:val="005695"/>
          <w:sz w:val="16"/>
        </w:rPr>
        <w:t xml:space="preserve">State Party Report on the state of conservation of the </w:t>
      </w:r>
      <w:r>
        <w:rPr>
          <w:rFonts w:ascii="Myriad Pro"/>
          <w:b/>
          <w:color w:val="005695"/>
          <w:sz w:val="16"/>
        </w:rPr>
        <w:t xml:space="preserve">Great Barrier Reef World Heritage Area (Australia) </w:t>
      </w:r>
      <w:r>
        <w:rPr>
          <w:rFonts w:ascii="Myriad Pro"/>
          <w:color w:val="005695"/>
          <w:sz w:val="16"/>
        </w:rPr>
        <w:t>2019</w:t>
      </w:r>
    </w:p>
    <w:p w:rsidR="00D1511D" w:rsidRDefault="00D1511D">
      <w:pPr>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1"/>
        <w:rPr>
          <w:rFonts w:ascii="Myriad Pro"/>
          <w:sz w:val="15"/>
        </w:rPr>
      </w:pPr>
    </w:p>
    <w:p w:rsidR="00D1511D" w:rsidRDefault="003F0CB3">
      <w:pPr>
        <w:pStyle w:val="Heading1"/>
        <w:numPr>
          <w:ilvl w:val="0"/>
          <w:numId w:val="15"/>
        </w:numPr>
        <w:tabs>
          <w:tab w:val="left" w:pos="2182"/>
        </w:tabs>
        <w:ind w:left="2181" w:hanging="482"/>
      </w:pPr>
      <w:r>
        <w:rPr>
          <w:color w:val="005695"/>
          <w:spacing w:val="-6"/>
        </w:rPr>
        <w:t xml:space="preserve">Résumé </w:t>
      </w:r>
      <w:proofErr w:type="spellStart"/>
      <w:r>
        <w:rPr>
          <w:color w:val="005695"/>
          <w:spacing w:val="-5"/>
        </w:rPr>
        <w:t>analytique</w:t>
      </w:r>
      <w:proofErr w:type="spellEnd"/>
      <w:r>
        <w:rPr>
          <w:color w:val="005695"/>
          <w:spacing w:val="6"/>
        </w:rPr>
        <w:t xml:space="preserve"> </w:t>
      </w:r>
      <w:r>
        <w:rPr>
          <w:color w:val="005695"/>
          <w:spacing w:val="-9"/>
        </w:rPr>
        <w:t>(</w:t>
      </w:r>
      <w:proofErr w:type="spellStart"/>
      <w:r>
        <w:rPr>
          <w:color w:val="005695"/>
          <w:spacing w:val="-9"/>
        </w:rPr>
        <w:t>français</w:t>
      </w:r>
      <w:proofErr w:type="spellEnd"/>
      <w:r>
        <w:rPr>
          <w:color w:val="005695"/>
          <w:spacing w:val="-9"/>
        </w:rPr>
        <w:t>)</w:t>
      </w:r>
    </w:p>
    <w:p w:rsidR="00D1511D" w:rsidRDefault="00D1511D">
      <w:pPr>
        <w:pStyle w:val="BodyText"/>
        <w:spacing w:before="6"/>
        <w:rPr>
          <w:rFonts w:ascii="Myriad Pro"/>
          <w:sz w:val="58"/>
        </w:rPr>
      </w:pPr>
    </w:p>
    <w:p w:rsidR="00D1511D" w:rsidRDefault="003F0CB3">
      <w:pPr>
        <w:pStyle w:val="BodyText"/>
        <w:spacing w:line="280" w:lineRule="auto"/>
        <w:ind w:left="1700" w:right="1613"/>
      </w:pPr>
      <w:r>
        <w:rPr>
          <w:color w:val="231F20"/>
        </w:rPr>
        <w:t xml:space="preserve">La Grande </w:t>
      </w:r>
      <w:proofErr w:type="spellStart"/>
      <w:r>
        <w:rPr>
          <w:color w:val="231F20"/>
        </w:rPr>
        <w:t>Barrière</w:t>
      </w:r>
      <w:proofErr w:type="spellEnd"/>
      <w:r>
        <w:rPr>
          <w:color w:val="231F20"/>
        </w:rPr>
        <w:t xml:space="preserve"> </w:t>
      </w:r>
      <w:proofErr w:type="spellStart"/>
      <w:r>
        <w:rPr>
          <w:color w:val="231F20"/>
        </w:rPr>
        <w:t>est</w:t>
      </w:r>
      <w:proofErr w:type="spellEnd"/>
      <w:r>
        <w:rPr>
          <w:color w:val="231F20"/>
        </w:rPr>
        <w:t xml:space="preserve"> </w:t>
      </w:r>
      <w:proofErr w:type="spellStart"/>
      <w:r>
        <w:rPr>
          <w:color w:val="231F20"/>
        </w:rPr>
        <w:t>une</w:t>
      </w:r>
      <w:proofErr w:type="spellEnd"/>
      <w:r>
        <w:rPr>
          <w:color w:val="231F20"/>
        </w:rPr>
        <w:t xml:space="preserve"> zone de </w:t>
      </w:r>
      <w:proofErr w:type="spellStart"/>
      <w:r>
        <w:rPr>
          <w:color w:val="231F20"/>
        </w:rPr>
        <w:t>patrimoine</w:t>
      </w:r>
      <w:proofErr w:type="spellEnd"/>
      <w:r>
        <w:rPr>
          <w:color w:val="231F20"/>
        </w:rPr>
        <w:t xml:space="preserve"> </w:t>
      </w:r>
      <w:proofErr w:type="spellStart"/>
      <w:r>
        <w:rPr>
          <w:color w:val="231F20"/>
        </w:rPr>
        <w:t>mondial</w:t>
      </w:r>
      <w:proofErr w:type="spellEnd"/>
      <w:r>
        <w:rPr>
          <w:color w:val="231F20"/>
        </w:rPr>
        <w:t xml:space="preserve"> </w:t>
      </w:r>
      <w:proofErr w:type="spellStart"/>
      <w:r>
        <w:rPr>
          <w:color w:val="231F20"/>
        </w:rPr>
        <w:t>vaste</w:t>
      </w:r>
      <w:proofErr w:type="spellEnd"/>
      <w:r>
        <w:rPr>
          <w:color w:val="231F20"/>
        </w:rPr>
        <w:t xml:space="preserve">, diverse et </w:t>
      </w:r>
      <w:proofErr w:type="spellStart"/>
      <w:r>
        <w:rPr>
          <w:color w:val="231F20"/>
        </w:rPr>
        <w:t>d’une</w:t>
      </w:r>
      <w:proofErr w:type="spellEnd"/>
      <w:r>
        <w:rPr>
          <w:color w:val="231F20"/>
        </w:rPr>
        <w:t xml:space="preserve"> </w:t>
      </w:r>
      <w:proofErr w:type="spellStart"/>
      <w:r>
        <w:rPr>
          <w:color w:val="231F20"/>
        </w:rPr>
        <w:t>grande</w:t>
      </w:r>
      <w:proofErr w:type="spellEnd"/>
      <w:r>
        <w:rPr>
          <w:color w:val="231F20"/>
        </w:rPr>
        <w:t xml:space="preserve"> </w:t>
      </w:r>
      <w:proofErr w:type="spellStart"/>
      <w:r>
        <w:rPr>
          <w:color w:val="231F20"/>
        </w:rPr>
        <w:t>beauté</w:t>
      </w:r>
      <w:proofErr w:type="spellEnd"/>
      <w:r>
        <w:rPr>
          <w:color w:val="231F20"/>
        </w:rPr>
        <w:t xml:space="preserve">. Il </w:t>
      </w:r>
      <w:proofErr w:type="spellStart"/>
      <w:r>
        <w:rPr>
          <w:color w:val="231F20"/>
        </w:rPr>
        <w:t>s’agit</w:t>
      </w:r>
      <w:proofErr w:type="spellEnd"/>
      <w:r>
        <w:rPr>
          <w:color w:val="231F20"/>
        </w:rPr>
        <w:t xml:space="preserve"> du plus grand </w:t>
      </w:r>
      <w:proofErr w:type="spellStart"/>
      <w:r>
        <w:rPr>
          <w:color w:val="231F20"/>
        </w:rPr>
        <w:t>écosystème</w:t>
      </w:r>
      <w:proofErr w:type="spellEnd"/>
      <w:r>
        <w:rPr>
          <w:color w:val="231F20"/>
        </w:rPr>
        <w:t xml:space="preserve"> de </w:t>
      </w:r>
      <w:proofErr w:type="spellStart"/>
      <w:r>
        <w:rPr>
          <w:color w:val="231F20"/>
        </w:rPr>
        <w:t>récifs</w:t>
      </w:r>
      <w:proofErr w:type="spellEnd"/>
      <w:r>
        <w:rPr>
          <w:color w:val="231F20"/>
        </w:rPr>
        <w:t xml:space="preserve"> </w:t>
      </w:r>
      <w:proofErr w:type="spellStart"/>
      <w:r>
        <w:rPr>
          <w:color w:val="231F20"/>
        </w:rPr>
        <w:t>coralliens</w:t>
      </w:r>
      <w:proofErr w:type="spellEnd"/>
      <w:r>
        <w:rPr>
          <w:color w:val="231F20"/>
        </w:rPr>
        <w:t xml:space="preserve"> du monde et de </w:t>
      </w:r>
      <w:proofErr w:type="spellStart"/>
      <w:r>
        <w:rPr>
          <w:color w:val="231F20"/>
        </w:rPr>
        <w:t>l’une</w:t>
      </w:r>
      <w:proofErr w:type="spellEnd"/>
      <w:r>
        <w:rPr>
          <w:color w:val="231F20"/>
        </w:rPr>
        <w:t xml:space="preserve"> des </w:t>
      </w:r>
      <w:proofErr w:type="spellStart"/>
      <w:r>
        <w:rPr>
          <w:color w:val="231F20"/>
        </w:rPr>
        <w:t>merveilles</w:t>
      </w:r>
      <w:proofErr w:type="spellEnd"/>
      <w:r>
        <w:rPr>
          <w:color w:val="231F20"/>
        </w:rPr>
        <w:t xml:space="preserve"> </w:t>
      </w:r>
      <w:proofErr w:type="spellStart"/>
      <w:r>
        <w:rPr>
          <w:color w:val="231F20"/>
        </w:rPr>
        <w:t>naturelles</w:t>
      </w:r>
      <w:proofErr w:type="spellEnd"/>
      <w:r>
        <w:rPr>
          <w:color w:val="231F20"/>
        </w:rPr>
        <w:t xml:space="preserve"> </w:t>
      </w:r>
      <w:proofErr w:type="spellStart"/>
      <w:r>
        <w:rPr>
          <w:color w:val="231F20"/>
        </w:rPr>
        <w:t>vivantes</w:t>
      </w:r>
      <w:proofErr w:type="spellEnd"/>
      <w:r>
        <w:rPr>
          <w:color w:val="231F20"/>
        </w:rPr>
        <w:t xml:space="preserve"> de </w:t>
      </w:r>
      <w:proofErr w:type="spellStart"/>
      <w:r>
        <w:rPr>
          <w:color w:val="231F20"/>
        </w:rPr>
        <w:t>notre</w:t>
      </w:r>
      <w:proofErr w:type="spellEnd"/>
      <w:r>
        <w:rPr>
          <w:color w:val="231F20"/>
        </w:rPr>
        <w:t xml:space="preserve"> </w:t>
      </w:r>
      <w:proofErr w:type="spellStart"/>
      <w:r>
        <w:rPr>
          <w:color w:val="231F20"/>
        </w:rPr>
        <w:t>planète</w:t>
      </w:r>
      <w:proofErr w:type="spellEnd"/>
      <w:r>
        <w:rPr>
          <w:color w:val="231F20"/>
        </w:rPr>
        <w:t xml:space="preserve">. La Grande </w:t>
      </w:r>
      <w:proofErr w:type="spellStart"/>
      <w:r>
        <w:rPr>
          <w:color w:val="231F20"/>
        </w:rPr>
        <w:t>Barrière</w:t>
      </w:r>
      <w:proofErr w:type="spellEnd"/>
      <w:r>
        <w:rPr>
          <w:color w:val="231F20"/>
        </w:rPr>
        <w:t xml:space="preserve"> a </w:t>
      </w:r>
      <w:proofErr w:type="spellStart"/>
      <w:r>
        <w:rPr>
          <w:color w:val="231F20"/>
        </w:rPr>
        <w:t>été</w:t>
      </w:r>
      <w:proofErr w:type="spellEnd"/>
      <w:r>
        <w:rPr>
          <w:color w:val="231F20"/>
        </w:rPr>
        <w:t xml:space="preserve"> </w:t>
      </w:r>
      <w:proofErr w:type="spellStart"/>
      <w:r>
        <w:rPr>
          <w:color w:val="231F20"/>
        </w:rPr>
        <w:t>inscrite</w:t>
      </w:r>
      <w:proofErr w:type="spellEnd"/>
      <w:r>
        <w:rPr>
          <w:color w:val="231F20"/>
        </w:rPr>
        <w:t xml:space="preserve"> sur la </w:t>
      </w:r>
      <w:proofErr w:type="spellStart"/>
      <w:r>
        <w:rPr>
          <w:color w:val="231F20"/>
        </w:rPr>
        <w:t>Liste</w:t>
      </w:r>
      <w:proofErr w:type="spellEnd"/>
      <w:r>
        <w:rPr>
          <w:color w:val="231F20"/>
        </w:rPr>
        <w:t xml:space="preserve"> du </w:t>
      </w:r>
      <w:proofErr w:type="spellStart"/>
      <w:r>
        <w:rPr>
          <w:color w:val="231F20"/>
        </w:rPr>
        <w:t>patrimoine</w:t>
      </w:r>
      <w:proofErr w:type="spellEnd"/>
      <w:r>
        <w:rPr>
          <w:color w:val="231F20"/>
        </w:rPr>
        <w:t xml:space="preserve"> </w:t>
      </w:r>
      <w:proofErr w:type="spellStart"/>
      <w:r>
        <w:rPr>
          <w:color w:val="231F20"/>
        </w:rPr>
        <w:t>mondial</w:t>
      </w:r>
      <w:proofErr w:type="spellEnd"/>
      <w:r>
        <w:rPr>
          <w:color w:val="231F20"/>
        </w:rPr>
        <w:t xml:space="preserve"> </w:t>
      </w:r>
      <w:proofErr w:type="spellStart"/>
      <w:r>
        <w:rPr>
          <w:color w:val="231F20"/>
        </w:rPr>
        <w:t>en</w:t>
      </w:r>
      <w:proofErr w:type="spellEnd"/>
      <w:r>
        <w:rPr>
          <w:color w:val="231F20"/>
        </w:rPr>
        <w:t xml:space="preserve"> 1981. </w:t>
      </w:r>
      <w:proofErr w:type="spellStart"/>
      <w:r>
        <w:rPr>
          <w:color w:val="231F20"/>
        </w:rPr>
        <w:t>L’Australie</w:t>
      </w:r>
      <w:proofErr w:type="spellEnd"/>
      <w:r>
        <w:rPr>
          <w:color w:val="231F20"/>
        </w:rPr>
        <w:t xml:space="preserve"> </w:t>
      </w:r>
      <w:proofErr w:type="spellStart"/>
      <w:r>
        <w:rPr>
          <w:color w:val="231F20"/>
        </w:rPr>
        <w:t>s’engage</w:t>
      </w:r>
      <w:proofErr w:type="spellEnd"/>
      <w:r>
        <w:rPr>
          <w:color w:val="231F20"/>
        </w:rPr>
        <w:t xml:space="preserve"> </w:t>
      </w:r>
      <w:proofErr w:type="spellStart"/>
      <w:r>
        <w:rPr>
          <w:color w:val="231F20"/>
        </w:rPr>
        <w:t>fortement</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faveur</w:t>
      </w:r>
      <w:proofErr w:type="spellEnd"/>
      <w:r>
        <w:rPr>
          <w:color w:val="231F20"/>
        </w:rPr>
        <w:t xml:space="preserve"> </w:t>
      </w:r>
      <w:proofErr w:type="spellStart"/>
      <w:r>
        <w:rPr>
          <w:color w:val="231F20"/>
        </w:rPr>
        <w:t>d’une</w:t>
      </w:r>
      <w:proofErr w:type="spellEnd"/>
      <w:r>
        <w:rPr>
          <w:color w:val="231F20"/>
        </w:rPr>
        <w:t xml:space="preserve"> gestion </w:t>
      </w:r>
      <w:proofErr w:type="spellStart"/>
      <w:r>
        <w:rPr>
          <w:color w:val="231F20"/>
        </w:rPr>
        <w:t>responsable</w:t>
      </w:r>
      <w:proofErr w:type="spellEnd"/>
      <w:r>
        <w:rPr>
          <w:color w:val="231F20"/>
        </w:rPr>
        <w:t xml:space="preserve"> de la zone de </w:t>
      </w:r>
      <w:proofErr w:type="spellStart"/>
      <w:r>
        <w:rPr>
          <w:color w:val="231F20"/>
        </w:rPr>
        <w:t>patrimoine</w:t>
      </w:r>
      <w:proofErr w:type="spellEnd"/>
      <w:r>
        <w:rPr>
          <w:color w:val="231F20"/>
        </w:rPr>
        <w:t xml:space="preserve"> </w:t>
      </w:r>
      <w:proofErr w:type="spellStart"/>
      <w:r>
        <w:rPr>
          <w:color w:val="231F20"/>
        </w:rPr>
        <w:t>mondial</w:t>
      </w:r>
      <w:proofErr w:type="spellEnd"/>
      <w:r>
        <w:rPr>
          <w:color w:val="231F20"/>
        </w:rPr>
        <w:t xml:space="preserve"> de la Grande </w:t>
      </w:r>
      <w:proofErr w:type="spellStart"/>
      <w:r>
        <w:rPr>
          <w:color w:val="231F20"/>
        </w:rPr>
        <w:t>Barrière</w:t>
      </w:r>
      <w:proofErr w:type="spellEnd"/>
      <w:r>
        <w:rPr>
          <w:color w:val="231F20"/>
        </w:rPr>
        <w:t xml:space="preserve"> et continue </w:t>
      </w:r>
      <w:proofErr w:type="spellStart"/>
      <w:r>
        <w:rPr>
          <w:color w:val="231F20"/>
        </w:rPr>
        <w:t>d’agir</w:t>
      </w:r>
      <w:proofErr w:type="spellEnd"/>
      <w:r>
        <w:rPr>
          <w:color w:val="231F20"/>
        </w:rPr>
        <w:t xml:space="preserve"> et</w:t>
      </w:r>
    </w:p>
    <w:p w:rsidR="00D1511D" w:rsidRDefault="003F0CB3">
      <w:pPr>
        <w:pStyle w:val="BodyText"/>
        <w:spacing w:line="280" w:lineRule="auto"/>
        <w:ind w:left="1700" w:right="1442"/>
      </w:pPr>
      <w:proofErr w:type="spellStart"/>
      <w:r>
        <w:rPr>
          <w:color w:val="231F20"/>
        </w:rPr>
        <w:t>d’investir</w:t>
      </w:r>
      <w:proofErr w:type="spellEnd"/>
      <w:r>
        <w:rPr>
          <w:color w:val="231F20"/>
        </w:rPr>
        <w:t xml:space="preserve"> pour </w:t>
      </w:r>
      <w:proofErr w:type="spellStart"/>
      <w:r>
        <w:rPr>
          <w:color w:val="231F20"/>
        </w:rPr>
        <w:t>protéger</w:t>
      </w:r>
      <w:proofErr w:type="spellEnd"/>
      <w:r>
        <w:rPr>
          <w:color w:val="231F20"/>
        </w:rPr>
        <w:t xml:space="preserve"> </w:t>
      </w:r>
      <w:proofErr w:type="spellStart"/>
      <w:r>
        <w:rPr>
          <w:color w:val="231F20"/>
        </w:rPr>
        <w:t>sa</w:t>
      </w:r>
      <w:proofErr w:type="spellEnd"/>
      <w:r>
        <w:rPr>
          <w:color w:val="231F20"/>
        </w:rPr>
        <w:t xml:space="preserve"> </w:t>
      </w:r>
      <w:proofErr w:type="spellStart"/>
      <w:r>
        <w:rPr>
          <w:color w:val="231F20"/>
        </w:rPr>
        <w:t>valeur</w:t>
      </w:r>
      <w:proofErr w:type="spellEnd"/>
      <w:r>
        <w:rPr>
          <w:color w:val="231F20"/>
        </w:rPr>
        <w:t xml:space="preserve"> </w:t>
      </w:r>
      <w:proofErr w:type="spellStart"/>
      <w:r>
        <w:rPr>
          <w:color w:val="231F20"/>
        </w:rPr>
        <w:t>universelle</w:t>
      </w:r>
      <w:proofErr w:type="spellEnd"/>
      <w:r>
        <w:rPr>
          <w:color w:val="231F20"/>
        </w:rPr>
        <w:t xml:space="preserve"> </w:t>
      </w:r>
      <w:proofErr w:type="spellStart"/>
      <w:r>
        <w:rPr>
          <w:color w:val="231F20"/>
        </w:rPr>
        <w:t>exceptionnelle</w:t>
      </w:r>
      <w:proofErr w:type="spellEnd"/>
      <w:r>
        <w:rPr>
          <w:color w:val="231F20"/>
        </w:rPr>
        <w:t xml:space="preserve"> (VUE)</w:t>
      </w:r>
      <w:r>
        <w:rPr>
          <w:color w:val="231F20"/>
        </w:rPr>
        <w:t xml:space="preserve"> et </w:t>
      </w:r>
      <w:proofErr w:type="spellStart"/>
      <w:r>
        <w:rPr>
          <w:color w:val="231F20"/>
        </w:rPr>
        <w:t>renforcer</w:t>
      </w:r>
      <w:proofErr w:type="spellEnd"/>
      <w:r>
        <w:rPr>
          <w:color w:val="231F20"/>
        </w:rPr>
        <w:t xml:space="preserve"> </w:t>
      </w:r>
      <w:proofErr w:type="spellStart"/>
      <w:r>
        <w:rPr>
          <w:color w:val="231F20"/>
        </w:rPr>
        <w:t>sa</w:t>
      </w:r>
      <w:proofErr w:type="spellEnd"/>
      <w:r>
        <w:rPr>
          <w:color w:val="231F20"/>
        </w:rPr>
        <w:t xml:space="preserve"> </w:t>
      </w:r>
      <w:proofErr w:type="spellStart"/>
      <w:r>
        <w:rPr>
          <w:color w:val="231F20"/>
        </w:rPr>
        <w:t>résilience</w:t>
      </w:r>
      <w:proofErr w:type="spellEnd"/>
      <w:r>
        <w:rPr>
          <w:color w:val="231F20"/>
        </w:rPr>
        <w:t xml:space="preserve">. Le </w:t>
      </w:r>
      <w:proofErr w:type="spellStart"/>
      <w:r>
        <w:rPr>
          <w:color w:val="231F20"/>
        </w:rPr>
        <w:t>montant</w:t>
      </w:r>
      <w:proofErr w:type="spellEnd"/>
      <w:r>
        <w:rPr>
          <w:color w:val="231F20"/>
        </w:rPr>
        <w:t xml:space="preserve"> total des </w:t>
      </w:r>
      <w:proofErr w:type="spellStart"/>
      <w:r>
        <w:rPr>
          <w:color w:val="231F20"/>
        </w:rPr>
        <w:t>investissements</w:t>
      </w:r>
      <w:proofErr w:type="spellEnd"/>
      <w:r>
        <w:rPr>
          <w:color w:val="231F20"/>
        </w:rPr>
        <w:t xml:space="preserve"> au profit de la Grande </w:t>
      </w:r>
      <w:proofErr w:type="spellStart"/>
      <w:r>
        <w:rPr>
          <w:color w:val="231F20"/>
        </w:rPr>
        <w:t>Barrière</w:t>
      </w:r>
      <w:proofErr w:type="spellEnd"/>
      <w:r>
        <w:rPr>
          <w:color w:val="231F20"/>
        </w:rPr>
        <w:t xml:space="preserve"> </w:t>
      </w:r>
      <w:proofErr w:type="spellStart"/>
      <w:r>
        <w:rPr>
          <w:color w:val="231F20"/>
        </w:rPr>
        <w:t>dépasseront</w:t>
      </w:r>
      <w:proofErr w:type="spellEnd"/>
      <w:r>
        <w:rPr>
          <w:color w:val="231F20"/>
        </w:rPr>
        <w:t xml:space="preserve"> les 2,7 milliards de dollars sur la </w:t>
      </w:r>
      <w:proofErr w:type="spellStart"/>
      <w:r>
        <w:rPr>
          <w:color w:val="231F20"/>
        </w:rPr>
        <w:t>décennie</w:t>
      </w:r>
      <w:proofErr w:type="spellEnd"/>
      <w:r>
        <w:rPr>
          <w:color w:val="231F20"/>
        </w:rPr>
        <w:t xml:space="preserve"> </w:t>
      </w:r>
      <w:proofErr w:type="spellStart"/>
      <w:r>
        <w:rPr>
          <w:color w:val="231F20"/>
        </w:rPr>
        <w:t>terminant</w:t>
      </w:r>
      <w:proofErr w:type="spellEnd"/>
      <w:r>
        <w:rPr>
          <w:color w:val="231F20"/>
        </w:rPr>
        <w:t xml:space="preserve"> </w:t>
      </w:r>
      <w:proofErr w:type="spellStart"/>
      <w:r>
        <w:rPr>
          <w:color w:val="231F20"/>
        </w:rPr>
        <w:t>en</w:t>
      </w:r>
      <w:proofErr w:type="spellEnd"/>
      <w:r>
        <w:rPr>
          <w:color w:val="231F20"/>
        </w:rPr>
        <w:t xml:space="preserve"> 2023-</w:t>
      </w:r>
      <w:proofErr w:type="gramStart"/>
      <w:r>
        <w:rPr>
          <w:color w:val="231F20"/>
        </w:rPr>
        <w:t>24.Depuis</w:t>
      </w:r>
      <w:proofErr w:type="gramEnd"/>
      <w:r>
        <w:rPr>
          <w:color w:val="231F20"/>
        </w:rPr>
        <w:t xml:space="preserve"> le dernier Rapport de </w:t>
      </w:r>
      <w:proofErr w:type="spellStart"/>
      <w:r>
        <w:rPr>
          <w:color w:val="231F20"/>
        </w:rPr>
        <w:t>l’Etat</w:t>
      </w:r>
      <w:proofErr w:type="spellEnd"/>
      <w:r>
        <w:rPr>
          <w:color w:val="231F20"/>
        </w:rPr>
        <w:t xml:space="preserve"> </w:t>
      </w:r>
      <w:proofErr w:type="spellStart"/>
      <w:r>
        <w:rPr>
          <w:color w:val="231F20"/>
        </w:rPr>
        <w:t>partie</w:t>
      </w:r>
      <w:proofErr w:type="spellEnd"/>
      <w:r>
        <w:rPr>
          <w:color w:val="231F20"/>
        </w:rPr>
        <w:t xml:space="preserve"> sur </w:t>
      </w:r>
      <w:proofErr w:type="spellStart"/>
      <w:r>
        <w:rPr>
          <w:color w:val="231F20"/>
        </w:rPr>
        <w:t>l’état</w:t>
      </w:r>
      <w:proofErr w:type="spellEnd"/>
      <w:r>
        <w:rPr>
          <w:color w:val="231F20"/>
        </w:rPr>
        <w:t xml:space="preserve"> de conservation </w:t>
      </w:r>
      <w:proofErr w:type="spellStart"/>
      <w:r>
        <w:rPr>
          <w:color w:val="231F20"/>
        </w:rPr>
        <w:t>en</w:t>
      </w:r>
      <w:proofErr w:type="spellEnd"/>
      <w:r>
        <w:rPr>
          <w:color w:val="231F20"/>
        </w:rPr>
        <w:t xml:space="preserve"> 2015, l</w:t>
      </w:r>
      <w:r>
        <w:rPr>
          <w:color w:val="231F20"/>
        </w:rPr>
        <w:t xml:space="preserve">a VUE de </w:t>
      </w:r>
      <w:proofErr w:type="spellStart"/>
      <w:r>
        <w:rPr>
          <w:color w:val="231F20"/>
        </w:rPr>
        <w:t>ce</w:t>
      </w:r>
      <w:proofErr w:type="spellEnd"/>
      <w:r>
        <w:rPr>
          <w:color w:val="231F20"/>
        </w:rPr>
        <w:t xml:space="preserve"> site a</w:t>
      </w:r>
    </w:p>
    <w:p w:rsidR="00D1511D" w:rsidRDefault="003F0CB3">
      <w:pPr>
        <w:pStyle w:val="BodyText"/>
        <w:spacing w:line="280" w:lineRule="auto"/>
        <w:ind w:left="1700" w:right="1529"/>
      </w:pPr>
      <w:proofErr w:type="spellStart"/>
      <w:r>
        <w:rPr>
          <w:color w:val="231F20"/>
        </w:rPr>
        <w:t>été</w:t>
      </w:r>
      <w:proofErr w:type="spellEnd"/>
      <w:r>
        <w:rPr>
          <w:color w:val="231F20"/>
        </w:rPr>
        <w:t xml:space="preserve"> mise à </w:t>
      </w:r>
      <w:proofErr w:type="spellStart"/>
      <w:r>
        <w:rPr>
          <w:color w:val="231F20"/>
        </w:rPr>
        <w:t>l’épreuve</w:t>
      </w:r>
      <w:proofErr w:type="spellEnd"/>
      <w:r>
        <w:rPr>
          <w:color w:val="231F20"/>
        </w:rPr>
        <w:t xml:space="preserve"> par </w:t>
      </w:r>
      <w:proofErr w:type="spellStart"/>
      <w:r>
        <w:rPr>
          <w:color w:val="231F20"/>
        </w:rPr>
        <w:t>plusieurs</w:t>
      </w:r>
      <w:proofErr w:type="spellEnd"/>
      <w:r>
        <w:rPr>
          <w:color w:val="231F20"/>
        </w:rPr>
        <w:t xml:space="preserve"> </w:t>
      </w:r>
      <w:proofErr w:type="spellStart"/>
      <w:r>
        <w:rPr>
          <w:color w:val="231F20"/>
        </w:rPr>
        <w:t>événements</w:t>
      </w:r>
      <w:proofErr w:type="spellEnd"/>
      <w:r>
        <w:rPr>
          <w:color w:val="231F20"/>
        </w:rPr>
        <w:t xml:space="preserve"> de </w:t>
      </w:r>
      <w:proofErr w:type="spellStart"/>
      <w:r>
        <w:rPr>
          <w:color w:val="231F20"/>
        </w:rPr>
        <w:t>grande</w:t>
      </w:r>
      <w:proofErr w:type="spellEnd"/>
      <w:r>
        <w:rPr>
          <w:color w:val="231F20"/>
        </w:rPr>
        <w:t xml:space="preserve"> </w:t>
      </w:r>
      <w:proofErr w:type="spellStart"/>
      <w:r>
        <w:rPr>
          <w:color w:val="231F20"/>
        </w:rPr>
        <w:t>ampleur</w:t>
      </w:r>
      <w:proofErr w:type="spellEnd"/>
      <w:r>
        <w:rPr>
          <w:color w:val="231F20"/>
        </w:rPr>
        <w:t xml:space="preserve"> de </w:t>
      </w:r>
      <w:proofErr w:type="spellStart"/>
      <w:r>
        <w:rPr>
          <w:color w:val="231F20"/>
        </w:rPr>
        <w:t>blanchiment</w:t>
      </w:r>
      <w:proofErr w:type="spellEnd"/>
      <w:r>
        <w:rPr>
          <w:color w:val="231F20"/>
        </w:rPr>
        <w:t xml:space="preserve"> des </w:t>
      </w:r>
      <w:proofErr w:type="spellStart"/>
      <w:r>
        <w:rPr>
          <w:color w:val="231F20"/>
        </w:rPr>
        <w:t>coraux</w:t>
      </w:r>
      <w:proofErr w:type="spellEnd"/>
      <w:r>
        <w:rPr>
          <w:color w:val="231F20"/>
        </w:rPr>
        <w:t xml:space="preserve"> </w:t>
      </w:r>
      <w:proofErr w:type="spellStart"/>
      <w:r>
        <w:rPr>
          <w:color w:val="231F20"/>
        </w:rPr>
        <w:t>en</w:t>
      </w:r>
      <w:proofErr w:type="spellEnd"/>
      <w:r>
        <w:rPr>
          <w:color w:val="231F20"/>
        </w:rPr>
        <w:t xml:space="preserve"> 2016 et 2017, par les </w:t>
      </w:r>
      <w:proofErr w:type="spellStart"/>
      <w:r>
        <w:rPr>
          <w:color w:val="231F20"/>
        </w:rPr>
        <w:t>inondations</w:t>
      </w:r>
      <w:proofErr w:type="spellEnd"/>
      <w:r>
        <w:rPr>
          <w:color w:val="231F20"/>
        </w:rPr>
        <w:t xml:space="preserve"> </w:t>
      </w:r>
      <w:proofErr w:type="spellStart"/>
      <w:r>
        <w:rPr>
          <w:color w:val="231F20"/>
        </w:rPr>
        <w:t>causées</w:t>
      </w:r>
      <w:proofErr w:type="spellEnd"/>
      <w:r>
        <w:rPr>
          <w:color w:val="231F20"/>
        </w:rPr>
        <w:t xml:space="preserve"> par six cyclones </w:t>
      </w:r>
      <w:proofErr w:type="spellStart"/>
      <w:r>
        <w:rPr>
          <w:color w:val="231F20"/>
        </w:rPr>
        <w:t>tropicaux</w:t>
      </w:r>
      <w:proofErr w:type="spellEnd"/>
      <w:r>
        <w:rPr>
          <w:color w:val="231F20"/>
        </w:rPr>
        <w:t xml:space="preserve">, </w:t>
      </w:r>
      <w:proofErr w:type="spellStart"/>
      <w:r>
        <w:rPr>
          <w:color w:val="231F20"/>
        </w:rPr>
        <w:t>ainsi</w:t>
      </w:r>
      <w:proofErr w:type="spellEnd"/>
      <w:r>
        <w:rPr>
          <w:color w:val="231F20"/>
        </w:rPr>
        <w:t xml:space="preserve"> que par </w:t>
      </w:r>
      <w:proofErr w:type="spellStart"/>
      <w:r>
        <w:rPr>
          <w:color w:val="231F20"/>
        </w:rPr>
        <w:t>une</w:t>
      </w:r>
      <w:proofErr w:type="spellEnd"/>
      <w:r>
        <w:rPr>
          <w:color w:val="231F20"/>
        </w:rPr>
        <w:t xml:space="preserve"> invasion </w:t>
      </w:r>
      <w:proofErr w:type="spellStart"/>
      <w:r>
        <w:rPr>
          <w:color w:val="231F20"/>
        </w:rPr>
        <w:t>d’étoiles</w:t>
      </w:r>
      <w:proofErr w:type="spellEnd"/>
      <w:r>
        <w:rPr>
          <w:color w:val="231F20"/>
        </w:rPr>
        <w:t xml:space="preserve"> de </w:t>
      </w:r>
      <w:proofErr w:type="spellStart"/>
      <w:r>
        <w:rPr>
          <w:color w:val="231F20"/>
        </w:rPr>
        <w:t>mer</w:t>
      </w:r>
      <w:proofErr w:type="spellEnd"/>
      <w:r>
        <w:rPr>
          <w:color w:val="231F20"/>
        </w:rPr>
        <w:t xml:space="preserve"> « couronne </w:t>
      </w:r>
      <w:proofErr w:type="spellStart"/>
      <w:r>
        <w:rPr>
          <w:color w:val="231F20"/>
        </w:rPr>
        <w:t>d’épines</w:t>
      </w:r>
      <w:proofErr w:type="spellEnd"/>
      <w:r>
        <w:rPr>
          <w:color w:val="231F20"/>
        </w:rPr>
        <w:t xml:space="preserve"> » se </w:t>
      </w:r>
      <w:proofErr w:type="spellStart"/>
      <w:r>
        <w:rPr>
          <w:color w:val="231F20"/>
        </w:rPr>
        <w:t>nourr</w:t>
      </w:r>
      <w:r>
        <w:rPr>
          <w:color w:val="231F20"/>
        </w:rPr>
        <w:t>issant</w:t>
      </w:r>
      <w:proofErr w:type="spellEnd"/>
      <w:r>
        <w:rPr>
          <w:color w:val="231F20"/>
        </w:rPr>
        <w:t xml:space="preserve"> de </w:t>
      </w:r>
      <w:proofErr w:type="spellStart"/>
      <w:r>
        <w:rPr>
          <w:color w:val="231F20"/>
        </w:rPr>
        <w:t>corail</w:t>
      </w:r>
      <w:proofErr w:type="spellEnd"/>
      <w:r>
        <w:rPr>
          <w:color w:val="231F20"/>
        </w:rPr>
        <w:t xml:space="preserve">. Le Rapport de 2019 sur les perspectives de la Grande </w:t>
      </w:r>
      <w:proofErr w:type="spellStart"/>
      <w:r>
        <w:rPr>
          <w:color w:val="231F20"/>
        </w:rPr>
        <w:t>Barrière</w:t>
      </w:r>
      <w:proofErr w:type="spellEnd"/>
      <w:r>
        <w:rPr>
          <w:color w:val="231F20"/>
        </w:rPr>
        <w:t xml:space="preserve"> (Great Barrier Reef Outlook Report 2019, </w:t>
      </w:r>
      <w:proofErr w:type="spellStart"/>
      <w:r>
        <w:rPr>
          <w:color w:val="231F20"/>
        </w:rPr>
        <w:t>ou</w:t>
      </w:r>
      <w:proofErr w:type="spellEnd"/>
      <w:r>
        <w:rPr>
          <w:color w:val="231F20"/>
        </w:rPr>
        <w:t xml:space="preserve"> Rapport de perspectives 2019) de </w:t>
      </w:r>
      <w:proofErr w:type="spellStart"/>
      <w:r>
        <w:rPr>
          <w:color w:val="231F20"/>
        </w:rPr>
        <w:t>l’Autorité</w:t>
      </w:r>
      <w:proofErr w:type="spellEnd"/>
      <w:r>
        <w:rPr>
          <w:color w:val="231F20"/>
        </w:rPr>
        <w:t xml:space="preserve"> du parc </w:t>
      </w:r>
      <w:proofErr w:type="spellStart"/>
      <w:r>
        <w:rPr>
          <w:color w:val="231F20"/>
        </w:rPr>
        <w:t>marin</w:t>
      </w:r>
      <w:proofErr w:type="spellEnd"/>
      <w:r>
        <w:rPr>
          <w:color w:val="231F20"/>
        </w:rPr>
        <w:t xml:space="preserve"> de la Grande </w:t>
      </w:r>
      <w:proofErr w:type="spellStart"/>
      <w:r>
        <w:rPr>
          <w:color w:val="231F20"/>
        </w:rPr>
        <w:t>Barrière</w:t>
      </w:r>
      <w:proofErr w:type="spellEnd"/>
      <w:r>
        <w:rPr>
          <w:color w:val="231F20"/>
        </w:rPr>
        <w:t xml:space="preserve"> a </w:t>
      </w:r>
      <w:proofErr w:type="spellStart"/>
      <w:r>
        <w:rPr>
          <w:color w:val="231F20"/>
        </w:rPr>
        <w:t>révélé</w:t>
      </w:r>
      <w:proofErr w:type="spellEnd"/>
      <w:r>
        <w:rPr>
          <w:color w:val="231F20"/>
        </w:rPr>
        <w:t xml:space="preserve"> </w:t>
      </w:r>
      <w:proofErr w:type="spellStart"/>
      <w:r>
        <w:rPr>
          <w:color w:val="231F20"/>
        </w:rPr>
        <w:t>une</w:t>
      </w:r>
      <w:proofErr w:type="spellEnd"/>
      <w:r>
        <w:rPr>
          <w:color w:val="231F20"/>
        </w:rPr>
        <w:t xml:space="preserve"> </w:t>
      </w:r>
      <w:proofErr w:type="spellStart"/>
      <w:r>
        <w:rPr>
          <w:color w:val="231F20"/>
        </w:rPr>
        <w:t>détérioration</w:t>
      </w:r>
      <w:proofErr w:type="spellEnd"/>
      <w:r>
        <w:rPr>
          <w:color w:val="231F20"/>
        </w:rPr>
        <w:t xml:space="preserve"> des perspectives à long </w:t>
      </w:r>
      <w:proofErr w:type="spellStart"/>
      <w:r>
        <w:rPr>
          <w:color w:val="231F20"/>
        </w:rPr>
        <w:t>t</w:t>
      </w:r>
      <w:r>
        <w:rPr>
          <w:color w:val="231F20"/>
        </w:rPr>
        <w:t>erme</w:t>
      </w:r>
      <w:proofErr w:type="spellEnd"/>
      <w:r>
        <w:rPr>
          <w:color w:val="231F20"/>
        </w:rPr>
        <w:t xml:space="preserve"> de </w:t>
      </w:r>
      <w:proofErr w:type="spellStart"/>
      <w:r>
        <w:rPr>
          <w:color w:val="231F20"/>
        </w:rPr>
        <w:t>l’écosystème</w:t>
      </w:r>
      <w:proofErr w:type="spellEnd"/>
      <w:r>
        <w:rPr>
          <w:color w:val="231F20"/>
        </w:rPr>
        <w:t xml:space="preserve"> du </w:t>
      </w:r>
      <w:proofErr w:type="spellStart"/>
      <w:r>
        <w:rPr>
          <w:color w:val="231F20"/>
        </w:rPr>
        <w:t>récif</w:t>
      </w:r>
      <w:proofErr w:type="spellEnd"/>
      <w:r>
        <w:rPr>
          <w:color w:val="231F20"/>
        </w:rPr>
        <w:t xml:space="preserve">, passant de « </w:t>
      </w:r>
      <w:proofErr w:type="spellStart"/>
      <w:r>
        <w:rPr>
          <w:color w:val="231F20"/>
        </w:rPr>
        <w:t>mauvaises</w:t>
      </w:r>
      <w:proofErr w:type="spellEnd"/>
      <w:r>
        <w:rPr>
          <w:color w:val="231F20"/>
        </w:rPr>
        <w:t xml:space="preserve"> » à « </w:t>
      </w:r>
      <w:proofErr w:type="spellStart"/>
      <w:r>
        <w:rPr>
          <w:color w:val="231F20"/>
        </w:rPr>
        <w:t>très</w:t>
      </w:r>
      <w:proofErr w:type="spellEnd"/>
      <w:r>
        <w:rPr>
          <w:color w:val="231F20"/>
        </w:rPr>
        <w:t xml:space="preserve"> </w:t>
      </w:r>
      <w:proofErr w:type="spellStart"/>
      <w:r>
        <w:rPr>
          <w:color w:val="231F20"/>
        </w:rPr>
        <w:t>mauvaises</w:t>
      </w:r>
      <w:proofErr w:type="spellEnd"/>
      <w:r>
        <w:rPr>
          <w:color w:val="231F20"/>
        </w:rPr>
        <w:t xml:space="preserve"> ». Ce rapport </w:t>
      </w:r>
      <w:proofErr w:type="spellStart"/>
      <w:r>
        <w:rPr>
          <w:color w:val="231F20"/>
        </w:rPr>
        <w:t>identifie</w:t>
      </w:r>
      <w:proofErr w:type="spellEnd"/>
      <w:r>
        <w:rPr>
          <w:color w:val="231F20"/>
        </w:rPr>
        <w:t xml:space="preserve"> le </w:t>
      </w:r>
      <w:proofErr w:type="spellStart"/>
      <w:r>
        <w:rPr>
          <w:color w:val="231F20"/>
        </w:rPr>
        <w:t>changement</w:t>
      </w:r>
      <w:proofErr w:type="spellEnd"/>
      <w:r>
        <w:rPr>
          <w:color w:val="231F20"/>
        </w:rPr>
        <w:t xml:space="preserve"> </w:t>
      </w:r>
      <w:proofErr w:type="spellStart"/>
      <w:r>
        <w:rPr>
          <w:color w:val="231F20"/>
        </w:rPr>
        <w:t>climatique</w:t>
      </w:r>
      <w:proofErr w:type="spellEnd"/>
      <w:r>
        <w:rPr>
          <w:color w:val="231F20"/>
        </w:rPr>
        <w:t xml:space="preserve"> (</w:t>
      </w:r>
      <w:proofErr w:type="spellStart"/>
      <w:r>
        <w:rPr>
          <w:color w:val="231F20"/>
        </w:rPr>
        <w:t>notamment</w:t>
      </w:r>
      <w:proofErr w:type="spellEnd"/>
      <w:r>
        <w:rPr>
          <w:color w:val="231F20"/>
        </w:rPr>
        <w:t xml:space="preserve"> </w:t>
      </w:r>
      <w:proofErr w:type="spellStart"/>
      <w:r>
        <w:rPr>
          <w:color w:val="231F20"/>
        </w:rPr>
        <w:t>l’augmentation</w:t>
      </w:r>
      <w:proofErr w:type="spellEnd"/>
      <w:r>
        <w:rPr>
          <w:color w:val="231F20"/>
        </w:rPr>
        <w:t xml:space="preserve"> de la </w:t>
      </w:r>
      <w:proofErr w:type="spellStart"/>
      <w:r>
        <w:rPr>
          <w:color w:val="231F20"/>
        </w:rPr>
        <w:t>température</w:t>
      </w:r>
      <w:proofErr w:type="spellEnd"/>
      <w:r>
        <w:rPr>
          <w:color w:val="231F20"/>
        </w:rPr>
        <w:t xml:space="preserve"> des </w:t>
      </w:r>
      <w:proofErr w:type="spellStart"/>
      <w:r>
        <w:rPr>
          <w:color w:val="231F20"/>
        </w:rPr>
        <w:t>mers</w:t>
      </w:r>
      <w:proofErr w:type="spellEnd"/>
      <w:r>
        <w:rPr>
          <w:color w:val="231F20"/>
        </w:rPr>
        <w:t xml:space="preserve">) </w:t>
      </w:r>
      <w:proofErr w:type="spellStart"/>
      <w:r>
        <w:rPr>
          <w:color w:val="231F20"/>
        </w:rPr>
        <w:t>comme</w:t>
      </w:r>
      <w:proofErr w:type="spellEnd"/>
      <w:r>
        <w:rPr>
          <w:color w:val="231F20"/>
        </w:rPr>
        <w:t xml:space="preserve"> la menace la plus </w:t>
      </w:r>
      <w:proofErr w:type="spellStart"/>
      <w:r>
        <w:rPr>
          <w:color w:val="231F20"/>
        </w:rPr>
        <w:t>sérieuse</w:t>
      </w:r>
      <w:proofErr w:type="spellEnd"/>
      <w:r>
        <w:rPr>
          <w:color w:val="231F20"/>
        </w:rPr>
        <w:t xml:space="preserve"> et la plus </w:t>
      </w:r>
      <w:proofErr w:type="spellStart"/>
      <w:r>
        <w:rPr>
          <w:color w:val="231F20"/>
        </w:rPr>
        <w:t>généralisée</w:t>
      </w:r>
      <w:proofErr w:type="spellEnd"/>
      <w:r>
        <w:rPr>
          <w:color w:val="231F20"/>
        </w:rPr>
        <w:t xml:space="preserve"> </w:t>
      </w:r>
      <w:proofErr w:type="spellStart"/>
      <w:r>
        <w:rPr>
          <w:color w:val="231F20"/>
        </w:rPr>
        <w:t>affectant</w:t>
      </w:r>
      <w:proofErr w:type="spellEnd"/>
      <w:r>
        <w:rPr>
          <w:color w:val="231F20"/>
        </w:rPr>
        <w:t xml:space="preserve"> la Grande </w:t>
      </w:r>
      <w:proofErr w:type="spellStart"/>
      <w:r>
        <w:rPr>
          <w:color w:val="231F20"/>
        </w:rPr>
        <w:t>Ba</w:t>
      </w:r>
      <w:r>
        <w:rPr>
          <w:color w:val="231F20"/>
        </w:rPr>
        <w:t>rrière</w:t>
      </w:r>
      <w:proofErr w:type="spellEnd"/>
      <w:r>
        <w:rPr>
          <w:color w:val="231F20"/>
        </w:rPr>
        <w:t xml:space="preserve">, </w:t>
      </w:r>
      <w:proofErr w:type="spellStart"/>
      <w:r>
        <w:rPr>
          <w:color w:val="231F20"/>
        </w:rPr>
        <w:t>une</w:t>
      </w:r>
      <w:proofErr w:type="spellEnd"/>
      <w:r>
        <w:rPr>
          <w:color w:val="231F20"/>
        </w:rPr>
        <w:t xml:space="preserve"> menace </w:t>
      </w:r>
      <w:proofErr w:type="spellStart"/>
      <w:r>
        <w:rPr>
          <w:color w:val="231F20"/>
        </w:rPr>
        <w:t>affectant</w:t>
      </w:r>
      <w:proofErr w:type="spellEnd"/>
      <w:r>
        <w:rPr>
          <w:color w:val="231F20"/>
        </w:rPr>
        <w:t xml:space="preserve"> par </w:t>
      </w:r>
      <w:proofErr w:type="spellStart"/>
      <w:r>
        <w:rPr>
          <w:color w:val="231F20"/>
        </w:rPr>
        <w:t>ailleurs</w:t>
      </w:r>
      <w:proofErr w:type="spellEnd"/>
      <w:r>
        <w:rPr>
          <w:color w:val="231F20"/>
        </w:rPr>
        <w:t xml:space="preserve"> </w:t>
      </w:r>
      <w:proofErr w:type="spellStart"/>
      <w:r>
        <w:rPr>
          <w:color w:val="231F20"/>
        </w:rPr>
        <w:t>tous</w:t>
      </w:r>
      <w:proofErr w:type="spellEnd"/>
      <w:r>
        <w:rPr>
          <w:color w:val="231F20"/>
        </w:rPr>
        <w:t xml:space="preserve"> les </w:t>
      </w:r>
      <w:proofErr w:type="spellStart"/>
      <w:r>
        <w:rPr>
          <w:color w:val="231F20"/>
        </w:rPr>
        <w:t>récifs</w:t>
      </w:r>
      <w:proofErr w:type="spellEnd"/>
      <w:r>
        <w:rPr>
          <w:color w:val="231F20"/>
        </w:rPr>
        <w:t xml:space="preserve"> </w:t>
      </w:r>
      <w:proofErr w:type="spellStart"/>
      <w:r>
        <w:rPr>
          <w:color w:val="231F20"/>
        </w:rPr>
        <w:t>coralliens</w:t>
      </w:r>
      <w:proofErr w:type="spellEnd"/>
      <w:r>
        <w:rPr>
          <w:color w:val="231F20"/>
        </w:rPr>
        <w:t xml:space="preserve"> du monde. Les </w:t>
      </w:r>
      <w:proofErr w:type="spellStart"/>
      <w:r>
        <w:rPr>
          <w:color w:val="231F20"/>
        </w:rPr>
        <w:t>autres</w:t>
      </w:r>
      <w:proofErr w:type="spellEnd"/>
      <w:r>
        <w:rPr>
          <w:color w:val="231F20"/>
        </w:rPr>
        <w:t xml:space="preserve"> menaces </w:t>
      </w:r>
      <w:proofErr w:type="spellStart"/>
      <w:r>
        <w:rPr>
          <w:color w:val="231F20"/>
        </w:rPr>
        <w:t>principales</w:t>
      </w:r>
      <w:proofErr w:type="spellEnd"/>
      <w:r>
        <w:rPr>
          <w:color w:val="231F20"/>
        </w:rPr>
        <w:t xml:space="preserve"> </w:t>
      </w:r>
      <w:proofErr w:type="spellStart"/>
      <w:r>
        <w:rPr>
          <w:color w:val="231F20"/>
        </w:rPr>
        <w:t>identifiées</w:t>
      </w:r>
      <w:proofErr w:type="spellEnd"/>
      <w:r>
        <w:rPr>
          <w:color w:val="231F20"/>
        </w:rPr>
        <w:t xml:space="preserve"> dans le Rapport de perspectives de 2019 </w:t>
      </w:r>
      <w:proofErr w:type="spellStart"/>
      <w:r>
        <w:rPr>
          <w:color w:val="231F20"/>
        </w:rPr>
        <w:t>sont</w:t>
      </w:r>
      <w:proofErr w:type="spellEnd"/>
      <w:r>
        <w:rPr>
          <w:color w:val="231F20"/>
        </w:rPr>
        <w:t xml:space="preserve"> les </w:t>
      </w:r>
      <w:proofErr w:type="spellStart"/>
      <w:r>
        <w:rPr>
          <w:color w:val="231F20"/>
        </w:rPr>
        <w:t>ruissellements</w:t>
      </w:r>
      <w:proofErr w:type="spellEnd"/>
      <w:r>
        <w:rPr>
          <w:color w:val="231F20"/>
        </w:rPr>
        <w:t xml:space="preserve"> </w:t>
      </w:r>
      <w:proofErr w:type="spellStart"/>
      <w:r>
        <w:rPr>
          <w:color w:val="231F20"/>
        </w:rPr>
        <w:t>terriens</w:t>
      </w:r>
      <w:proofErr w:type="spellEnd"/>
      <w:r>
        <w:rPr>
          <w:color w:val="231F20"/>
        </w:rPr>
        <w:t xml:space="preserve">, le </w:t>
      </w:r>
      <w:proofErr w:type="spellStart"/>
      <w:r>
        <w:rPr>
          <w:color w:val="231F20"/>
        </w:rPr>
        <w:t>développement</w:t>
      </w:r>
      <w:proofErr w:type="spellEnd"/>
      <w:r>
        <w:rPr>
          <w:color w:val="231F20"/>
        </w:rPr>
        <w:t xml:space="preserve"> </w:t>
      </w:r>
      <w:proofErr w:type="spellStart"/>
      <w:r>
        <w:rPr>
          <w:color w:val="231F20"/>
        </w:rPr>
        <w:t>côtier</w:t>
      </w:r>
      <w:proofErr w:type="spellEnd"/>
      <w:r>
        <w:rPr>
          <w:color w:val="231F20"/>
        </w:rPr>
        <w:t xml:space="preserve"> et </w:t>
      </w:r>
      <w:proofErr w:type="spellStart"/>
      <w:r>
        <w:rPr>
          <w:color w:val="231F20"/>
        </w:rPr>
        <w:t>certains</w:t>
      </w:r>
      <w:proofErr w:type="spellEnd"/>
      <w:r>
        <w:rPr>
          <w:color w:val="231F20"/>
        </w:rPr>
        <w:t xml:space="preserve"> aspects </w:t>
      </w:r>
      <w:proofErr w:type="spellStart"/>
      <w:r>
        <w:rPr>
          <w:color w:val="231F20"/>
        </w:rPr>
        <w:t>d’exploitation</w:t>
      </w:r>
      <w:proofErr w:type="spellEnd"/>
      <w:r>
        <w:rPr>
          <w:color w:val="231F20"/>
        </w:rPr>
        <w:t xml:space="preserve"> </w:t>
      </w:r>
      <w:proofErr w:type="spellStart"/>
      <w:r>
        <w:rPr>
          <w:color w:val="231F20"/>
        </w:rPr>
        <w:t>h</w:t>
      </w:r>
      <w:r>
        <w:rPr>
          <w:color w:val="231F20"/>
        </w:rPr>
        <w:t>umaine</w:t>
      </w:r>
      <w:proofErr w:type="spellEnd"/>
      <w:r>
        <w:rPr>
          <w:color w:val="231F20"/>
        </w:rPr>
        <w:t xml:space="preserve"> </w:t>
      </w:r>
      <w:proofErr w:type="spellStart"/>
      <w:r>
        <w:rPr>
          <w:color w:val="231F20"/>
        </w:rPr>
        <w:t>directe</w:t>
      </w:r>
      <w:proofErr w:type="spellEnd"/>
      <w:r>
        <w:rPr>
          <w:color w:val="231F20"/>
        </w:rPr>
        <w:t xml:space="preserve">, </w:t>
      </w:r>
      <w:proofErr w:type="spellStart"/>
      <w:r>
        <w:rPr>
          <w:color w:val="231F20"/>
        </w:rPr>
        <w:t>comme</w:t>
      </w:r>
      <w:proofErr w:type="spellEnd"/>
      <w:r>
        <w:rPr>
          <w:color w:val="231F20"/>
        </w:rPr>
        <w:t xml:space="preserve"> la </w:t>
      </w:r>
      <w:proofErr w:type="spellStart"/>
      <w:r>
        <w:rPr>
          <w:color w:val="231F20"/>
        </w:rPr>
        <w:t>pêche</w:t>
      </w:r>
      <w:proofErr w:type="spellEnd"/>
      <w:r>
        <w:rPr>
          <w:color w:val="231F20"/>
        </w:rPr>
        <w:t xml:space="preserve"> </w:t>
      </w:r>
      <w:proofErr w:type="spellStart"/>
      <w:r>
        <w:rPr>
          <w:color w:val="231F20"/>
        </w:rPr>
        <w:t>illégale</w:t>
      </w:r>
      <w:proofErr w:type="spellEnd"/>
      <w:r>
        <w:rPr>
          <w:color w:val="231F20"/>
        </w:rPr>
        <w:t>.</w:t>
      </w:r>
    </w:p>
    <w:p w:rsidR="00D1511D" w:rsidRDefault="003F0CB3">
      <w:pPr>
        <w:pStyle w:val="BodyText"/>
        <w:spacing w:before="157" w:line="280" w:lineRule="auto"/>
        <w:ind w:left="1700" w:right="1546"/>
      </w:pPr>
      <w:r>
        <w:rPr>
          <w:color w:val="231F20"/>
          <w:spacing w:val="-3"/>
        </w:rPr>
        <w:t xml:space="preserve">Une </w:t>
      </w:r>
      <w:r>
        <w:rPr>
          <w:color w:val="231F20"/>
        </w:rPr>
        <w:t xml:space="preserve">action </w:t>
      </w:r>
      <w:proofErr w:type="spellStart"/>
      <w:r>
        <w:rPr>
          <w:color w:val="231F20"/>
        </w:rPr>
        <w:t>concertée</w:t>
      </w:r>
      <w:proofErr w:type="spellEnd"/>
      <w:r>
        <w:rPr>
          <w:color w:val="231F20"/>
        </w:rPr>
        <w:t xml:space="preserve"> à </w:t>
      </w:r>
      <w:proofErr w:type="spellStart"/>
      <w:r>
        <w:rPr>
          <w:color w:val="231F20"/>
        </w:rPr>
        <w:t>l’échelle</w:t>
      </w:r>
      <w:proofErr w:type="spellEnd"/>
      <w:r>
        <w:rPr>
          <w:color w:val="231F20"/>
        </w:rPr>
        <w:t xml:space="preserve"> </w:t>
      </w:r>
      <w:proofErr w:type="spellStart"/>
      <w:r>
        <w:rPr>
          <w:color w:val="231F20"/>
        </w:rPr>
        <w:t>mondiale</w:t>
      </w:r>
      <w:proofErr w:type="spellEnd"/>
      <w:r>
        <w:rPr>
          <w:color w:val="231F20"/>
        </w:rPr>
        <w:t xml:space="preserve"> pour limiter le </w:t>
      </w:r>
      <w:proofErr w:type="spellStart"/>
      <w:r>
        <w:rPr>
          <w:color w:val="231F20"/>
        </w:rPr>
        <w:t>réchauffement</w:t>
      </w:r>
      <w:proofErr w:type="spellEnd"/>
      <w:r>
        <w:rPr>
          <w:color w:val="231F20"/>
        </w:rPr>
        <w:t xml:space="preserve"> </w:t>
      </w:r>
      <w:proofErr w:type="spellStart"/>
      <w:r>
        <w:rPr>
          <w:color w:val="231F20"/>
        </w:rPr>
        <w:t>planétaire</w:t>
      </w:r>
      <w:proofErr w:type="spellEnd"/>
      <w:r>
        <w:rPr>
          <w:color w:val="231F20"/>
        </w:rPr>
        <w:t xml:space="preserve"> </w:t>
      </w:r>
      <w:proofErr w:type="spellStart"/>
      <w:r>
        <w:rPr>
          <w:color w:val="231F20"/>
        </w:rPr>
        <w:t>est</w:t>
      </w:r>
      <w:proofErr w:type="spellEnd"/>
      <w:r>
        <w:rPr>
          <w:color w:val="231F20"/>
        </w:rPr>
        <w:t xml:space="preserve"> </w:t>
      </w:r>
      <w:proofErr w:type="spellStart"/>
      <w:r>
        <w:rPr>
          <w:color w:val="231F20"/>
        </w:rPr>
        <w:t>nécessaire</w:t>
      </w:r>
      <w:proofErr w:type="spellEnd"/>
      <w:r>
        <w:rPr>
          <w:color w:val="231F20"/>
        </w:rPr>
        <w:t xml:space="preserve"> pour </w:t>
      </w:r>
      <w:proofErr w:type="spellStart"/>
      <w:r>
        <w:rPr>
          <w:color w:val="231F20"/>
        </w:rPr>
        <w:t>inverser</w:t>
      </w:r>
      <w:proofErr w:type="spellEnd"/>
      <w:r>
        <w:rPr>
          <w:color w:val="231F20"/>
        </w:rPr>
        <w:t xml:space="preserve"> les </w:t>
      </w:r>
      <w:proofErr w:type="spellStart"/>
      <w:r>
        <w:rPr>
          <w:color w:val="231F20"/>
        </w:rPr>
        <w:t>sombres</w:t>
      </w:r>
      <w:proofErr w:type="spellEnd"/>
      <w:r>
        <w:rPr>
          <w:color w:val="231F20"/>
        </w:rPr>
        <w:t xml:space="preserve"> perspectives pour la Grande </w:t>
      </w:r>
      <w:proofErr w:type="spellStart"/>
      <w:r>
        <w:rPr>
          <w:color w:val="231F20"/>
        </w:rPr>
        <w:t>Barrière</w:t>
      </w:r>
      <w:proofErr w:type="spellEnd"/>
      <w:r>
        <w:rPr>
          <w:color w:val="231F20"/>
        </w:rPr>
        <w:t xml:space="preserve"> et </w:t>
      </w:r>
      <w:proofErr w:type="spellStart"/>
      <w:r>
        <w:rPr>
          <w:color w:val="231F20"/>
        </w:rPr>
        <w:t>tous</w:t>
      </w:r>
      <w:proofErr w:type="spellEnd"/>
      <w:r>
        <w:rPr>
          <w:color w:val="231F20"/>
        </w:rPr>
        <w:t xml:space="preserve"> les </w:t>
      </w:r>
      <w:proofErr w:type="spellStart"/>
      <w:r>
        <w:rPr>
          <w:color w:val="231F20"/>
        </w:rPr>
        <w:t>autres</w:t>
      </w:r>
      <w:proofErr w:type="spellEnd"/>
      <w:r>
        <w:rPr>
          <w:color w:val="231F20"/>
        </w:rPr>
        <w:t xml:space="preserve"> </w:t>
      </w:r>
      <w:proofErr w:type="spellStart"/>
      <w:r>
        <w:rPr>
          <w:color w:val="231F20"/>
        </w:rPr>
        <w:t>récifs</w:t>
      </w:r>
      <w:proofErr w:type="spellEnd"/>
      <w:r>
        <w:rPr>
          <w:color w:val="231F20"/>
        </w:rPr>
        <w:t xml:space="preserve"> </w:t>
      </w:r>
      <w:proofErr w:type="spellStart"/>
      <w:r>
        <w:rPr>
          <w:color w:val="231F20"/>
        </w:rPr>
        <w:t>coralliens</w:t>
      </w:r>
      <w:proofErr w:type="spellEnd"/>
      <w:r>
        <w:rPr>
          <w:color w:val="231F20"/>
        </w:rPr>
        <w:t xml:space="preserve">. </w:t>
      </w:r>
      <w:proofErr w:type="spellStart"/>
      <w:r>
        <w:rPr>
          <w:color w:val="231F20"/>
          <w:spacing w:val="-4"/>
        </w:rPr>
        <w:t>Voici</w:t>
      </w:r>
      <w:proofErr w:type="spellEnd"/>
      <w:r>
        <w:rPr>
          <w:color w:val="231F20"/>
          <w:spacing w:val="-4"/>
        </w:rPr>
        <w:t xml:space="preserve"> </w:t>
      </w:r>
      <w:r>
        <w:rPr>
          <w:color w:val="231F20"/>
        </w:rPr>
        <w:t xml:space="preserve">le </w:t>
      </w:r>
      <w:proofErr w:type="spellStart"/>
      <w:r>
        <w:rPr>
          <w:color w:val="231F20"/>
        </w:rPr>
        <w:t>context</w:t>
      </w:r>
      <w:r>
        <w:rPr>
          <w:color w:val="231F20"/>
        </w:rPr>
        <w:t>e</w:t>
      </w:r>
      <w:proofErr w:type="spellEnd"/>
      <w:r>
        <w:rPr>
          <w:color w:val="231F20"/>
        </w:rPr>
        <w:t xml:space="preserve"> dans </w:t>
      </w:r>
      <w:proofErr w:type="spellStart"/>
      <w:r>
        <w:rPr>
          <w:color w:val="231F20"/>
        </w:rPr>
        <w:t>lequel</w:t>
      </w:r>
      <w:proofErr w:type="spellEnd"/>
      <w:r>
        <w:rPr>
          <w:color w:val="231F20"/>
        </w:rPr>
        <w:t xml:space="preserve"> </w:t>
      </w:r>
      <w:proofErr w:type="spellStart"/>
      <w:r>
        <w:rPr>
          <w:color w:val="231F20"/>
        </w:rPr>
        <w:t>l’Australie</w:t>
      </w:r>
      <w:proofErr w:type="spellEnd"/>
      <w:r>
        <w:rPr>
          <w:color w:val="231F20"/>
        </w:rPr>
        <w:t xml:space="preserve"> </w:t>
      </w:r>
      <w:proofErr w:type="spellStart"/>
      <w:r>
        <w:rPr>
          <w:color w:val="231F20"/>
        </w:rPr>
        <w:t>gère</w:t>
      </w:r>
      <w:proofErr w:type="spellEnd"/>
      <w:r>
        <w:rPr>
          <w:color w:val="231F20"/>
        </w:rPr>
        <w:t xml:space="preserve"> la Grande </w:t>
      </w:r>
      <w:proofErr w:type="spellStart"/>
      <w:r>
        <w:rPr>
          <w:color w:val="231F20"/>
        </w:rPr>
        <w:t>Barrière</w:t>
      </w:r>
      <w:proofErr w:type="spellEnd"/>
      <w:r>
        <w:rPr>
          <w:color w:val="231F20"/>
        </w:rPr>
        <w:t xml:space="preserve">. Nous </w:t>
      </w:r>
      <w:proofErr w:type="spellStart"/>
      <w:r>
        <w:rPr>
          <w:color w:val="231F20"/>
        </w:rPr>
        <w:t>gérons</w:t>
      </w:r>
      <w:proofErr w:type="spellEnd"/>
      <w:r>
        <w:rPr>
          <w:color w:val="231F20"/>
        </w:rPr>
        <w:t xml:space="preserve"> </w:t>
      </w:r>
      <w:proofErr w:type="spellStart"/>
      <w:r>
        <w:rPr>
          <w:color w:val="231F20"/>
        </w:rPr>
        <w:t>activement</w:t>
      </w:r>
      <w:proofErr w:type="spellEnd"/>
      <w:r>
        <w:rPr>
          <w:color w:val="231F20"/>
        </w:rPr>
        <w:t xml:space="preserve"> les pressions sur </w:t>
      </w:r>
      <w:proofErr w:type="spellStart"/>
      <w:r>
        <w:rPr>
          <w:color w:val="231F20"/>
        </w:rPr>
        <w:t>lesquelles</w:t>
      </w:r>
      <w:proofErr w:type="spellEnd"/>
      <w:r>
        <w:rPr>
          <w:color w:val="231F20"/>
        </w:rPr>
        <w:t xml:space="preserve"> nous </w:t>
      </w:r>
      <w:proofErr w:type="spellStart"/>
      <w:r>
        <w:rPr>
          <w:color w:val="231F20"/>
        </w:rPr>
        <w:t>avons</w:t>
      </w:r>
      <w:proofErr w:type="spellEnd"/>
      <w:r>
        <w:rPr>
          <w:color w:val="231F20"/>
        </w:rPr>
        <w:t xml:space="preserve"> un </w:t>
      </w:r>
      <w:proofErr w:type="spellStart"/>
      <w:r>
        <w:rPr>
          <w:color w:val="231F20"/>
        </w:rPr>
        <w:t>contrôle</w:t>
      </w:r>
      <w:proofErr w:type="spellEnd"/>
      <w:r>
        <w:rPr>
          <w:color w:val="231F20"/>
        </w:rPr>
        <w:t xml:space="preserve"> direct par le </w:t>
      </w:r>
      <w:proofErr w:type="spellStart"/>
      <w:r>
        <w:rPr>
          <w:color w:val="231F20"/>
        </w:rPr>
        <w:t>biais</w:t>
      </w:r>
      <w:proofErr w:type="spellEnd"/>
      <w:r>
        <w:rPr>
          <w:color w:val="231F20"/>
        </w:rPr>
        <w:t xml:space="preserve"> </w:t>
      </w:r>
      <w:proofErr w:type="spellStart"/>
      <w:r>
        <w:rPr>
          <w:color w:val="231F20"/>
        </w:rPr>
        <w:t>d’investissements</w:t>
      </w:r>
      <w:proofErr w:type="spellEnd"/>
      <w:r>
        <w:rPr>
          <w:color w:val="231F20"/>
        </w:rPr>
        <w:t xml:space="preserve"> et de </w:t>
      </w:r>
      <w:proofErr w:type="spellStart"/>
      <w:r>
        <w:rPr>
          <w:color w:val="231F20"/>
        </w:rPr>
        <w:t>réglementations</w:t>
      </w:r>
      <w:proofErr w:type="spellEnd"/>
      <w:r>
        <w:rPr>
          <w:color w:val="231F20"/>
        </w:rPr>
        <w:t xml:space="preserve"> </w:t>
      </w:r>
      <w:proofErr w:type="spellStart"/>
      <w:r>
        <w:rPr>
          <w:color w:val="231F20"/>
        </w:rPr>
        <w:t>reposant</w:t>
      </w:r>
      <w:proofErr w:type="spellEnd"/>
      <w:r>
        <w:rPr>
          <w:color w:val="231F20"/>
        </w:rPr>
        <w:t xml:space="preserve"> sur les </w:t>
      </w:r>
      <w:proofErr w:type="spellStart"/>
      <w:r>
        <w:rPr>
          <w:color w:val="231F20"/>
        </w:rPr>
        <w:t>meilleures</w:t>
      </w:r>
      <w:proofErr w:type="spellEnd"/>
      <w:r>
        <w:rPr>
          <w:color w:val="231F20"/>
        </w:rPr>
        <w:t xml:space="preserve"> </w:t>
      </w:r>
      <w:proofErr w:type="spellStart"/>
      <w:r>
        <w:rPr>
          <w:color w:val="231F20"/>
        </w:rPr>
        <w:t>données</w:t>
      </w:r>
      <w:proofErr w:type="spellEnd"/>
      <w:r>
        <w:rPr>
          <w:color w:val="231F20"/>
        </w:rPr>
        <w:t xml:space="preserve"> </w:t>
      </w:r>
      <w:proofErr w:type="spellStart"/>
      <w:r>
        <w:rPr>
          <w:color w:val="231F20"/>
        </w:rPr>
        <w:t>scientifiques</w:t>
      </w:r>
      <w:proofErr w:type="spellEnd"/>
      <w:r>
        <w:rPr>
          <w:color w:val="231F20"/>
        </w:rPr>
        <w:t xml:space="preserve"> </w:t>
      </w:r>
      <w:proofErr w:type="spellStart"/>
      <w:r>
        <w:rPr>
          <w:color w:val="231F20"/>
        </w:rPr>
        <w:t>disponibles</w:t>
      </w:r>
      <w:proofErr w:type="spellEnd"/>
      <w:r>
        <w:rPr>
          <w:color w:val="231F20"/>
        </w:rPr>
        <w:t xml:space="preserve">. </w:t>
      </w:r>
      <w:r>
        <w:rPr>
          <w:color w:val="231F20"/>
          <w:spacing w:val="-3"/>
        </w:rPr>
        <w:t xml:space="preserve">Face </w:t>
      </w:r>
      <w:r>
        <w:rPr>
          <w:color w:val="231F20"/>
        </w:rPr>
        <w:t xml:space="preserve">à </w:t>
      </w:r>
      <w:proofErr w:type="spellStart"/>
      <w:r>
        <w:rPr>
          <w:color w:val="231F20"/>
        </w:rPr>
        <w:t>ces</w:t>
      </w:r>
      <w:proofErr w:type="spellEnd"/>
      <w:r>
        <w:rPr>
          <w:color w:val="231F20"/>
        </w:rPr>
        <w:t xml:space="preserve"> pressions, nous </w:t>
      </w:r>
      <w:proofErr w:type="spellStart"/>
      <w:r>
        <w:rPr>
          <w:color w:val="231F20"/>
        </w:rPr>
        <w:t>intensifions</w:t>
      </w:r>
      <w:proofErr w:type="spellEnd"/>
      <w:r>
        <w:rPr>
          <w:color w:val="231F20"/>
        </w:rPr>
        <w:t xml:space="preserve"> </w:t>
      </w:r>
      <w:proofErr w:type="spellStart"/>
      <w:r>
        <w:rPr>
          <w:color w:val="231F20"/>
        </w:rPr>
        <w:t>nos</w:t>
      </w:r>
      <w:proofErr w:type="spellEnd"/>
      <w:r>
        <w:rPr>
          <w:color w:val="231F20"/>
        </w:rPr>
        <w:t xml:space="preserve"> </w:t>
      </w:r>
      <w:proofErr w:type="spellStart"/>
      <w:r>
        <w:rPr>
          <w:color w:val="231F20"/>
        </w:rPr>
        <w:t>investissements</w:t>
      </w:r>
      <w:proofErr w:type="spellEnd"/>
      <w:r>
        <w:rPr>
          <w:color w:val="231F20"/>
        </w:rPr>
        <w:t xml:space="preserve"> pour </w:t>
      </w:r>
      <w:proofErr w:type="spellStart"/>
      <w:r>
        <w:rPr>
          <w:color w:val="231F20"/>
        </w:rPr>
        <w:t>une</w:t>
      </w:r>
      <w:proofErr w:type="spellEnd"/>
      <w:r>
        <w:rPr>
          <w:color w:val="231F20"/>
        </w:rPr>
        <w:t xml:space="preserve"> restauration du </w:t>
      </w:r>
      <w:proofErr w:type="spellStart"/>
      <w:r>
        <w:rPr>
          <w:color w:val="231F20"/>
        </w:rPr>
        <w:t>récif</w:t>
      </w:r>
      <w:proofErr w:type="spellEnd"/>
      <w:r>
        <w:rPr>
          <w:color w:val="231F20"/>
        </w:rPr>
        <w:t xml:space="preserve"> </w:t>
      </w:r>
      <w:proofErr w:type="spellStart"/>
      <w:r>
        <w:rPr>
          <w:color w:val="231F20"/>
        </w:rPr>
        <w:t>corallien</w:t>
      </w:r>
      <w:proofErr w:type="spellEnd"/>
      <w:r>
        <w:rPr>
          <w:color w:val="231F20"/>
        </w:rPr>
        <w:t xml:space="preserve"> </w:t>
      </w:r>
      <w:r>
        <w:rPr>
          <w:color w:val="231F20"/>
          <w:spacing w:val="-7"/>
        </w:rPr>
        <w:t xml:space="preserve">et </w:t>
      </w:r>
      <w:r>
        <w:rPr>
          <w:color w:val="231F20"/>
        </w:rPr>
        <w:t xml:space="preserve">dans le </w:t>
      </w:r>
      <w:proofErr w:type="spellStart"/>
      <w:r>
        <w:rPr>
          <w:color w:val="231F20"/>
        </w:rPr>
        <w:t>domaine</w:t>
      </w:r>
      <w:proofErr w:type="spellEnd"/>
      <w:r>
        <w:rPr>
          <w:color w:val="231F20"/>
        </w:rPr>
        <w:t xml:space="preserve"> de la science de</w:t>
      </w:r>
      <w:r>
        <w:rPr>
          <w:color w:val="231F20"/>
          <w:spacing w:val="-1"/>
        </w:rPr>
        <w:t xml:space="preserve"> </w:t>
      </w:r>
      <w:proofErr w:type="spellStart"/>
      <w:r>
        <w:rPr>
          <w:color w:val="231F20"/>
        </w:rPr>
        <w:t>l’adaptation</w:t>
      </w:r>
      <w:proofErr w:type="spellEnd"/>
      <w:r>
        <w:rPr>
          <w:color w:val="231F20"/>
        </w:rPr>
        <w:t>.</w:t>
      </w:r>
    </w:p>
    <w:p w:rsidR="00D1511D" w:rsidRDefault="003F0CB3">
      <w:pPr>
        <w:pStyle w:val="BodyText"/>
        <w:spacing w:before="165" w:line="280" w:lineRule="auto"/>
        <w:ind w:left="1700" w:right="1422"/>
      </w:pPr>
      <w:proofErr w:type="spellStart"/>
      <w:r>
        <w:rPr>
          <w:color w:val="231F20"/>
        </w:rPr>
        <w:t>L’Australie</w:t>
      </w:r>
      <w:proofErr w:type="spellEnd"/>
      <w:r>
        <w:rPr>
          <w:color w:val="231F20"/>
        </w:rPr>
        <w:t xml:space="preserve"> </w:t>
      </w:r>
      <w:proofErr w:type="spellStart"/>
      <w:r>
        <w:rPr>
          <w:color w:val="231F20"/>
        </w:rPr>
        <w:t>prend</w:t>
      </w:r>
      <w:proofErr w:type="spellEnd"/>
      <w:r>
        <w:rPr>
          <w:color w:val="231F20"/>
        </w:rPr>
        <w:t xml:space="preserve"> des </w:t>
      </w:r>
      <w:proofErr w:type="spellStart"/>
      <w:r>
        <w:rPr>
          <w:color w:val="231F20"/>
        </w:rPr>
        <w:t>mesures</w:t>
      </w:r>
      <w:proofErr w:type="spellEnd"/>
      <w:r>
        <w:rPr>
          <w:color w:val="231F20"/>
        </w:rPr>
        <w:t xml:space="preserve"> fortes dans le cadre des efforts </w:t>
      </w:r>
      <w:proofErr w:type="spellStart"/>
      <w:r>
        <w:rPr>
          <w:color w:val="231F20"/>
        </w:rPr>
        <w:t>internationaux</w:t>
      </w:r>
      <w:proofErr w:type="spellEnd"/>
      <w:r>
        <w:rPr>
          <w:color w:val="231F20"/>
        </w:rPr>
        <w:t xml:space="preserve"> pour faire face à la menace </w:t>
      </w:r>
      <w:proofErr w:type="spellStart"/>
      <w:r>
        <w:rPr>
          <w:color w:val="231F20"/>
        </w:rPr>
        <w:t>mondia</w:t>
      </w:r>
      <w:r>
        <w:rPr>
          <w:color w:val="231F20"/>
        </w:rPr>
        <w:t>le</w:t>
      </w:r>
      <w:proofErr w:type="spellEnd"/>
      <w:r>
        <w:rPr>
          <w:color w:val="231F20"/>
        </w:rPr>
        <w:t xml:space="preserve"> du </w:t>
      </w:r>
      <w:proofErr w:type="spellStart"/>
      <w:r>
        <w:rPr>
          <w:color w:val="231F20"/>
        </w:rPr>
        <w:t>changement</w:t>
      </w:r>
      <w:proofErr w:type="spellEnd"/>
      <w:r>
        <w:rPr>
          <w:color w:val="231F20"/>
        </w:rPr>
        <w:t xml:space="preserve"> </w:t>
      </w:r>
      <w:proofErr w:type="spellStart"/>
      <w:r>
        <w:rPr>
          <w:color w:val="231F20"/>
        </w:rPr>
        <w:t>climatique</w:t>
      </w:r>
      <w:proofErr w:type="spellEnd"/>
      <w:r>
        <w:rPr>
          <w:color w:val="231F20"/>
        </w:rPr>
        <w:t xml:space="preserve"> </w:t>
      </w:r>
      <w:proofErr w:type="spellStart"/>
      <w:r>
        <w:rPr>
          <w:color w:val="231F20"/>
        </w:rPr>
        <w:t>selon</w:t>
      </w:r>
      <w:proofErr w:type="spellEnd"/>
      <w:r>
        <w:rPr>
          <w:color w:val="231F20"/>
        </w:rPr>
        <w:t xml:space="preserve"> la Convention-cadre des Nations </w:t>
      </w:r>
      <w:proofErr w:type="spellStart"/>
      <w:r>
        <w:rPr>
          <w:color w:val="231F20"/>
        </w:rPr>
        <w:t>Unies</w:t>
      </w:r>
      <w:proofErr w:type="spellEnd"/>
      <w:r>
        <w:rPr>
          <w:color w:val="231F20"/>
        </w:rPr>
        <w:t xml:space="preserve"> sur les </w:t>
      </w:r>
      <w:proofErr w:type="spellStart"/>
      <w:r>
        <w:rPr>
          <w:color w:val="231F20"/>
        </w:rPr>
        <w:t>changements</w:t>
      </w:r>
      <w:proofErr w:type="spellEnd"/>
      <w:r>
        <w:rPr>
          <w:color w:val="231F20"/>
        </w:rPr>
        <w:t xml:space="preserve"> </w:t>
      </w:r>
      <w:proofErr w:type="spellStart"/>
      <w:r>
        <w:rPr>
          <w:color w:val="231F20"/>
        </w:rPr>
        <w:t>climatiques</w:t>
      </w:r>
      <w:proofErr w:type="spellEnd"/>
      <w:r>
        <w:rPr>
          <w:color w:val="231F20"/>
        </w:rPr>
        <w:t xml:space="preserve"> et </w:t>
      </w:r>
      <w:proofErr w:type="spellStart"/>
      <w:r>
        <w:rPr>
          <w:color w:val="231F20"/>
        </w:rPr>
        <w:t>l’Accord</w:t>
      </w:r>
      <w:proofErr w:type="spellEnd"/>
      <w:r>
        <w:rPr>
          <w:color w:val="231F20"/>
        </w:rPr>
        <w:t xml:space="preserve"> de Paris. Ce dernier a pour </w:t>
      </w:r>
      <w:proofErr w:type="spellStart"/>
      <w:r>
        <w:rPr>
          <w:color w:val="231F20"/>
        </w:rPr>
        <w:t>objectif</w:t>
      </w:r>
      <w:proofErr w:type="spellEnd"/>
      <w:r>
        <w:rPr>
          <w:color w:val="231F20"/>
        </w:rPr>
        <w:t xml:space="preserve"> de </w:t>
      </w:r>
      <w:proofErr w:type="spellStart"/>
      <w:r>
        <w:rPr>
          <w:color w:val="231F20"/>
        </w:rPr>
        <w:t>maintenir</w:t>
      </w:r>
      <w:proofErr w:type="spellEnd"/>
      <w:r>
        <w:rPr>
          <w:color w:val="231F20"/>
        </w:rPr>
        <w:t xml:space="preserve"> le </w:t>
      </w:r>
      <w:proofErr w:type="spellStart"/>
      <w:r>
        <w:rPr>
          <w:color w:val="231F20"/>
        </w:rPr>
        <w:t>réchauffement</w:t>
      </w:r>
      <w:proofErr w:type="spellEnd"/>
      <w:r>
        <w:rPr>
          <w:color w:val="231F20"/>
        </w:rPr>
        <w:t xml:space="preserve"> </w:t>
      </w:r>
      <w:proofErr w:type="spellStart"/>
      <w:r>
        <w:rPr>
          <w:color w:val="231F20"/>
        </w:rPr>
        <w:t>planétaire</w:t>
      </w:r>
      <w:proofErr w:type="spellEnd"/>
      <w:r>
        <w:rPr>
          <w:color w:val="231F20"/>
        </w:rPr>
        <w:t xml:space="preserve"> bien </w:t>
      </w:r>
      <w:proofErr w:type="spellStart"/>
      <w:r>
        <w:rPr>
          <w:color w:val="231F20"/>
        </w:rPr>
        <w:t>en</w:t>
      </w:r>
      <w:proofErr w:type="spellEnd"/>
      <w:r>
        <w:rPr>
          <w:color w:val="231F20"/>
        </w:rPr>
        <w:t xml:space="preserve"> dessous de 2 °C – tout </w:t>
      </w:r>
      <w:proofErr w:type="spellStart"/>
      <w:r>
        <w:rPr>
          <w:color w:val="231F20"/>
        </w:rPr>
        <w:t>en</w:t>
      </w:r>
      <w:proofErr w:type="spellEnd"/>
      <w:r>
        <w:rPr>
          <w:color w:val="231F20"/>
        </w:rPr>
        <w:t xml:space="preserve"> </w:t>
      </w:r>
      <w:proofErr w:type="spellStart"/>
      <w:r>
        <w:rPr>
          <w:color w:val="231F20"/>
        </w:rPr>
        <w:t>essayant</w:t>
      </w:r>
      <w:proofErr w:type="spellEnd"/>
      <w:r>
        <w:rPr>
          <w:color w:val="231F20"/>
        </w:rPr>
        <w:t xml:space="preserve"> de le limiter à 1,5</w:t>
      </w:r>
      <w:r>
        <w:rPr>
          <w:color w:val="231F20"/>
        </w:rPr>
        <w:t xml:space="preserve"> °C. Dans le cadre de </w:t>
      </w:r>
      <w:proofErr w:type="spellStart"/>
      <w:r>
        <w:rPr>
          <w:color w:val="231F20"/>
        </w:rPr>
        <w:t>cet</w:t>
      </w:r>
      <w:proofErr w:type="spellEnd"/>
      <w:r>
        <w:rPr>
          <w:color w:val="231F20"/>
        </w:rPr>
        <w:t xml:space="preserve"> accord, </w:t>
      </w:r>
      <w:proofErr w:type="spellStart"/>
      <w:r>
        <w:rPr>
          <w:color w:val="231F20"/>
        </w:rPr>
        <w:t>l’Australie</w:t>
      </w:r>
      <w:proofErr w:type="spellEnd"/>
      <w:r>
        <w:rPr>
          <w:color w:val="231F20"/>
        </w:rPr>
        <w:t xml:space="preserve"> </w:t>
      </w:r>
      <w:proofErr w:type="spellStart"/>
      <w:r>
        <w:rPr>
          <w:color w:val="231F20"/>
        </w:rPr>
        <w:t>s’est</w:t>
      </w:r>
      <w:proofErr w:type="spellEnd"/>
      <w:r>
        <w:rPr>
          <w:color w:val="231F20"/>
        </w:rPr>
        <w:t xml:space="preserve"> </w:t>
      </w:r>
      <w:proofErr w:type="spellStart"/>
      <w:r>
        <w:rPr>
          <w:color w:val="231F20"/>
        </w:rPr>
        <w:t>engagée</w:t>
      </w:r>
      <w:proofErr w:type="spellEnd"/>
      <w:r>
        <w:rPr>
          <w:color w:val="231F20"/>
        </w:rPr>
        <w:t xml:space="preserve"> à </w:t>
      </w:r>
      <w:proofErr w:type="spellStart"/>
      <w:r>
        <w:rPr>
          <w:color w:val="231F20"/>
        </w:rPr>
        <w:t>réduire</w:t>
      </w:r>
      <w:proofErr w:type="spellEnd"/>
      <w:r>
        <w:rPr>
          <w:color w:val="231F20"/>
        </w:rPr>
        <w:t xml:space="preserve"> </w:t>
      </w:r>
      <w:proofErr w:type="spellStart"/>
      <w:r>
        <w:rPr>
          <w:color w:val="231F20"/>
        </w:rPr>
        <w:t>ses</w:t>
      </w:r>
      <w:proofErr w:type="spellEnd"/>
      <w:r>
        <w:rPr>
          <w:color w:val="231F20"/>
        </w:rPr>
        <w:t xml:space="preserve"> </w:t>
      </w:r>
      <w:proofErr w:type="spellStart"/>
      <w:r>
        <w:rPr>
          <w:color w:val="231F20"/>
        </w:rPr>
        <w:t>émissions</w:t>
      </w:r>
      <w:proofErr w:type="spellEnd"/>
      <w:r>
        <w:rPr>
          <w:color w:val="231F20"/>
        </w:rPr>
        <w:t xml:space="preserve"> </w:t>
      </w:r>
      <w:proofErr w:type="spellStart"/>
      <w:r>
        <w:rPr>
          <w:color w:val="231F20"/>
        </w:rPr>
        <w:t>d’ici</w:t>
      </w:r>
      <w:proofErr w:type="spellEnd"/>
      <w:r>
        <w:rPr>
          <w:color w:val="231F20"/>
        </w:rPr>
        <w:t xml:space="preserve"> 2030 de 26 à 28 % par rapport aux </w:t>
      </w:r>
      <w:proofErr w:type="spellStart"/>
      <w:r>
        <w:rPr>
          <w:color w:val="231F20"/>
        </w:rPr>
        <w:t>niveaux</w:t>
      </w:r>
      <w:proofErr w:type="spellEnd"/>
      <w:r>
        <w:rPr>
          <w:color w:val="231F20"/>
        </w:rPr>
        <w:t xml:space="preserve"> de 2005.</w:t>
      </w:r>
    </w:p>
    <w:p w:rsidR="00D1511D" w:rsidRDefault="003F0CB3">
      <w:pPr>
        <w:pStyle w:val="BodyText"/>
        <w:spacing w:before="166" w:line="280" w:lineRule="auto"/>
        <w:ind w:left="1700" w:right="1474"/>
      </w:pPr>
      <w:proofErr w:type="spellStart"/>
      <w:r>
        <w:rPr>
          <w:color w:val="231F20"/>
        </w:rPr>
        <w:t>En</w:t>
      </w:r>
      <w:proofErr w:type="spellEnd"/>
      <w:r>
        <w:rPr>
          <w:color w:val="231F20"/>
        </w:rPr>
        <w:t xml:space="preserve"> 2015, les </w:t>
      </w:r>
      <w:proofErr w:type="spellStart"/>
      <w:r>
        <w:rPr>
          <w:color w:val="231F20"/>
        </w:rPr>
        <w:t>gouvernements</w:t>
      </w:r>
      <w:proofErr w:type="spellEnd"/>
      <w:r>
        <w:rPr>
          <w:color w:val="231F20"/>
        </w:rPr>
        <w:t xml:space="preserve"> de </w:t>
      </w:r>
      <w:proofErr w:type="spellStart"/>
      <w:r>
        <w:rPr>
          <w:color w:val="231F20"/>
        </w:rPr>
        <w:t>l’Australie</w:t>
      </w:r>
      <w:proofErr w:type="spellEnd"/>
      <w:r>
        <w:rPr>
          <w:color w:val="231F20"/>
        </w:rPr>
        <w:t xml:space="preserve"> et de </w:t>
      </w:r>
      <w:proofErr w:type="spellStart"/>
      <w:r>
        <w:rPr>
          <w:color w:val="231F20"/>
        </w:rPr>
        <w:t>l’État</w:t>
      </w:r>
      <w:proofErr w:type="spellEnd"/>
      <w:r>
        <w:rPr>
          <w:color w:val="231F20"/>
        </w:rPr>
        <w:t xml:space="preserve"> du Queensland </w:t>
      </w:r>
      <w:proofErr w:type="spellStart"/>
      <w:r>
        <w:rPr>
          <w:color w:val="231F20"/>
        </w:rPr>
        <w:t>ont</w:t>
      </w:r>
      <w:proofErr w:type="spellEnd"/>
      <w:r>
        <w:rPr>
          <w:color w:val="231F20"/>
        </w:rPr>
        <w:t xml:space="preserve"> mis </w:t>
      </w:r>
      <w:proofErr w:type="spellStart"/>
      <w:r>
        <w:rPr>
          <w:color w:val="231F20"/>
        </w:rPr>
        <w:t>en</w:t>
      </w:r>
      <w:proofErr w:type="spellEnd"/>
      <w:r>
        <w:rPr>
          <w:color w:val="231F20"/>
        </w:rPr>
        <w:t xml:space="preserve"> place le Plan de </w:t>
      </w:r>
      <w:proofErr w:type="spellStart"/>
      <w:r>
        <w:rPr>
          <w:color w:val="231F20"/>
        </w:rPr>
        <w:t>durabilité</w:t>
      </w:r>
      <w:proofErr w:type="spellEnd"/>
      <w:r>
        <w:rPr>
          <w:color w:val="231F20"/>
        </w:rPr>
        <w:t xml:space="preserve"> à long </w:t>
      </w:r>
      <w:proofErr w:type="spellStart"/>
      <w:r>
        <w:rPr>
          <w:color w:val="231F20"/>
        </w:rPr>
        <w:t>terme</w:t>
      </w:r>
      <w:proofErr w:type="spellEnd"/>
      <w:r>
        <w:rPr>
          <w:color w:val="231F20"/>
        </w:rPr>
        <w:t xml:space="preserve"> Reef 2050 (Reef 2050 Long-Term Sustainability Plan, </w:t>
      </w:r>
      <w:proofErr w:type="spellStart"/>
      <w:r>
        <w:rPr>
          <w:color w:val="231F20"/>
        </w:rPr>
        <w:t>ou</w:t>
      </w:r>
      <w:proofErr w:type="spellEnd"/>
      <w:r>
        <w:rPr>
          <w:color w:val="231F20"/>
        </w:rPr>
        <w:t xml:space="preserve"> Reef 2050 Plan). Le </w:t>
      </w:r>
      <w:proofErr w:type="spellStart"/>
      <w:r>
        <w:rPr>
          <w:color w:val="231F20"/>
        </w:rPr>
        <w:t>Comité</w:t>
      </w:r>
      <w:proofErr w:type="spellEnd"/>
      <w:r>
        <w:rPr>
          <w:color w:val="231F20"/>
        </w:rPr>
        <w:t xml:space="preserve"> du </w:t>
      </w:r>
      <w:proofErr w:type="spellStart"/>
      <w:r>
        <w:rPr>
          <w:color w:val="231F20"/>
        </w:rPr>
        <w:t>patrimoine</w:t>
      </w:r>
      <w:proofErr w:type="spellEnd"/>
      <w:r>
        <w:rPr>
          <w:color w:val="231F20"/>
        </w:rPr>
        <w:t xml:space="preserve"> </w:t>
      </w:r>
      <w:proofErr w:type="spellStart"/>
      <w:r>
        <w:rPr>
          <w:color w:val="231F20"/>
        </w:rPr>
        <w:t>mondial</w:t>
      </w:r>
      <w:proofErr w:type="spellEnd"/>
      <w:r>
        <w:rPr>
          <w:color w:val="231F20"/>
        </w:rPr>
        <w:t xml:space="preserve"> a </w:t>
      </w:r>
      <w:proofErr w:type="spellStart"/>
      <w:r>
        <w:rPr>
          <w:color w:val="231F20"/>
        </w:rPr>
        <w:t>favorablement</w:t>
      </w:r>
      <w:proofErr w:type="spellEnd"/>
      <w:r>
        <w:rPr>
          <w:color w:val="231F20"/>
        </w:rPr>
        <w:t xml:space="preserve"> </w:t>
      </w:r>
      <w:proofErr w:type="spellStart"/>
      <w:r>
        <w:rPr>
          <w:color w:val="231F20"/>
        </w:rPr>
        <w:t>accueilli</w:t>
      </w:r>
      <w:proofErr w:type="spellEnd"/>
      <w:r>
        <w:rPr>
          <w:color w:val="231F20"/>
        </w:rPr>
        <w:t xml:space="preserve"> </w:t>
      </w:r>
      <w:proofErr w:type="spellStart"/>
      <w:r>
        <w:rPr>
          <w:color w:val="231F20"/>
        </w:rPr>
        <w:t>ce</w:t>
      </w:r>
      <w:proofErr w:type="spellEnd"/>
      <w:r>
        <w:rPr>
          <w:color w:val="231F20"/>
        </w:rPr>
        <w:t xml:space="preserve"> plan </w:t>
      </w:r>
      <w:proofErr w:type="spellStart"/>
      <w:r>
        <w:rPr>
          <w:color w:val="231F20"/>
        </w:rPr>
        <w:t>lors</w:t>
      </w:r>
      <w:proofErr w:type="spellEnd"/>
      <w:r>
        <w:rPr>
          <w:color w:val="231F20"/>
        </w:rPr>
        <w:t xml:space="preserve"> de </w:t>
      </w:r>
      <w:proofErr w:type="spellStart"/>
      <w:r>
        <w:rPr>
          <w:color w:val="231F20"/>
        </w:rPr>
        <w:t>sa</w:t>
      </w:r>
      <w:proofErr w:type="spellEnd"/>
      <w:r>
        <w:rPr>
          <w:color w:val="231F20"/>
        </w:rPr>
        <w:t xml:space="preserve"> </w:t>
      </w:r>
      <w:proofErr w:type="spellStart"/>
      <w:r>
        <w:rPr>
          <w:color w:val="231F20"/>
        </w:rPr>
        <w:t>réunion</w:t>
      </w:r>
      <w:proofErr w:type="spellEnd"/>
      <w:r>
        <w:rPr>
          <w:color w:val="231F20"/>
        </w:rPr>
        <w:t xml:space="preserve"> à Bonn (</w:t>
      </w:r>
      <w:proofErr w:type="spellStart"/>
      <w:r>
        <w:rPr>
          <w:color w:val="231F20"/>
        </w:rPr>
        <w:t>décision</w:t>
      </w:r>
      <w:proofErr w:type="spellEnd"/>
      <w:r>
        <w:rPr>
          <w:color w:val="231F20"/>
        </w:rPr>
        <w:t xml:space="preserve"> 39 COM 7B.7), de </w:t>
      </w:r>
      <w:proofErr w:type="spellStart"/>
      <w:r>
        <w:rPr>
          <w:color w:val="231F20"/>
        </w:rPr>
        <w:t>même</w:t>
      </w:r>
      <w:proofErr w:type="spellEnd"/>
      <w:r>
        <w:rPr>
          <w:color w:val="231F20"/>
        </w:rPr>
        <w:t xml:space="preserve"> que</w:t>
      </w:r>
    </w:p>
    <w:p w:rsidR="00D1511D" w:rsidRDefault="003F0CB3">
      <w:pPr>
        <w:pStyle w:val="BodyText"/>
        <w:spacing w:line="280" w:lineRule="auto"/>
        <w:ind w:left="1700" w:right="1622"/>
      </w:pPr>
      <w:proofErr w:type="spellStart"/>
      <w:r>
        <w:rPr>
          <w:color w:val="231F20"/>
        </w:rPr>
        <w:t>nos</w:t>
      </w:r>
      <w:proofErr w:type="spellEnd"/>
      <w:r>
        <w:rPr>
          <w:color w:val="231F20"/>
        </w:rPr>
        <w:t xml:space="preserve"> premières </w:t>
      </w:r>
      <w:proofErr w:type="spellStart"/>
      <w:r>
        <w:rPr>
          <w:color w:val="231F20"/>
        </w:rPr>
        <w:t>avancées</w:t>
      </w:r>
      <w:proofErr w:type="spellEnd"/>
      <w:r>
        <w:rPr>
          <w:color w:val="231F20"/>
        </w:rPr>
        <w:t xml:space="preserve"> pour </w:t>
      </w:r>
      <w:proofErr w:type="spellStart"/>
      <w:r>
        <w:rPr>
          <w:color w:val="231F20"/>
        </w:rPr>
        <w:t>sa</w:t>
      </w:r>
      <w:proofErr w:type="spellEnd"/>
      <w:r>
        <w:rPr>
          <w:color w:val="231F20"/>
        </w:rPr>
        <w:t xml:space="preserve"> mise </w:t>
      </w:r>
      <w:proofErr w:type="spellStart"/>
      <w:r>
        <w:rPr>
          <w:color w:val="231F20"/>
        </w:rPr>
        <w:t>en</w:t>
      </w:r>
      <w:proofErr w:type="spellEnd"/>
      <w:r>
        <w:rPr>
          <w:color w:val="231F20"/>
        </w:rPr>
        <w:t xml:space="preserve"> application</w:t>
      </w:r>
      <w:r>
        <w:rPr>
          <w:color w:val="231F20"/>
        </w:rPr>
        <w:t xml:space="preserve"> (41 COM 7B.24). </w:t>
      </w:r>
      <w:proofErr w:type="spellStart"/>
      <w:r>
        <w:rPr>
          <w:color w:val="231F20"/>
        </w:rPr>
        <w:t>Depuis</w:t>
      </w:r>
      <w:proofErr w:type="spellEnd"/>
      <w:r>
        <w:rPr>
          <w:color w:val="231F20"/>
        </w:rPr>
        <w:t xml:space="preserve">, </w:t>
      </w:r>
      <w:proofErr w:type="spellStart"/>
      <w:r>
        <w:rPr>
          <w:color w:val="231F20"/>
        </w:rPr>
        <w:t>notre</w:t>
      </w:r>
      <w:proofErr w:type="spellEnd"/>
      <w:r>
        <w:rPr>
          <w:color w:val="231F20"/>
        </w:rPr>
        <w:t xml:space="preserve"> </w:t>
      </w:r>
      <w:proofErr w:type="spellStart"/>
      <w:r>
        <w:rPr>
          <w:color w:val="231F20"/>
        </w:rPr>
        <w:t>réponse</w:t>
      </w:r>
      <w:proofErr w:type="spellEnd"/>
      <w:r>
        <w:rPr>
          <w:color w:val="231F20"/>
        </w:rPr>
        <w:t xml:space="preserve"> aux </w:t>
      </w:r>
      <w:proofErr w:type="spellStart"/>
      <w:r>
        <w:rPr>
          <w:color w:val="231F20"/>
        </w:rPr>
        <w:t>défis</w:t>
      </w:r>
      <w:proofErr w:type="spellEnd"/>
      <w:r>
        <w:rPr>
          <w:color w:val="231F20"/>
          <w:spacing w:val="-36"/>
        </w:rPr>
        <w:t xml:space="preserve"> </w:t>
      </w:r>
      <w:proofErr w:type="spellStart"/>
      <w:r>
        <w:rPr>
          <w:color w:val="231F20"/>
        </w:rPr>
        <w:t>affectant</w:t>
      </w:r>
      <w:proofErr w:type="spellEnd"/>
      <w:r>
        <w:rPr>
          <w:color w:val="231F20"/>
        </w:rPr>
        <w:t xml:space="preserve"> le </w:t>
      </w:r>
      <w:proofErr w:type="spellStart"/>
      <w:r>
        <w:rPr>
          <w:color w:val="231F20"/>
        </w:rPr>
        <w:t>récif</w:t>
      </w:r>
      <w:proofErr w:type="spellEnd"/>
      <w:r>
        <w:rPr>
          <w:color w:val="231F20"/>
        </w:rPr>
        <w:t xml:space="preserve"> </w:t>
      </w:r>
      <w:proofErr w:type="spellStart"/>
      <w:r>
        <w:rPr>
          <w:color w:val="231F20"/>
        </w:rPr>
        <w:t>corallien</w:t>
      </w:r>
      <w:proofErr w:type="spellEnd"/>
      <w:r>
        <w:rPr>
          <w:color w:val="231F20"/>
        </w:rPr>
        <w:t xml:space="preserve"> a </w:t>
      </w:r>
      <w:proofErr w:type="spellStart"/>
      <w:r>
        <w:rPr>
          <w:color w:val="231F20"/>
        </w:rPr>
        <w:t>gagné</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réflexion</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diversité</w:t>
      </w:r>
      <w:proofErr w:type="spellEnd"/>
      <w:r>
        <w:rPr>
          <w:color w:val="231F20"/>
        </w:rPr>
        <w:t xml:space="preserve"> et </w:t>
      </w:r>
      <w:proofErr w:type="spellStart"/>
      <w:r>
        <w:rPr>
          <w:color w:val="231F20"/>
        </w:rPr>
        <w:t>en</w:t>
      </w:r>
      <w:proofErr w:type="spellEnd"/>
      <w:r>
        <w:rPr>
          <w:color w:val="231F20"/>
        </w:rPr>
        <w:t xml:space="preserve"> </w:t>
      </w:r>
      <w:proofErr w:type="spellStart"/>
      <w:r>
        <w:rPr>
          <w:color w:val="231F20"/>
        </w:rPr>
        <w:t>rapidité</w:t>
      </w:r>
      <w:proofErr w:type="spellEnd"/>
      <w:r>
        <w:rPr>
          <w:color w:val="231F20"/>
        </w:rPr>
        <w:t xml:space="preserve">. </w:t>
      </w:r>
      <w:proofErr w:type="spellStart"/>
      <w:r>
        <w:rPr>
          <w:color w:val="231F20"/>
          <w:spacing w:val="-4"/>
        </w:rPr>
        <w:t>L’examen</w:t>
      </w:r>
      <w:proofErr w:type="spellEnd"/>
      <w:r>
        <w:rPr>
          <w:color w:val="231F20"/>
          <w:spacing w:val="-4"/>
        </w:rPr>
        <w:t xml:space="preserve"> </w:t>
      </w:r>
      <w:r>
        <w:rPr>
          <w:color w:val="231F20"/>
        </w:rPr>
        <w:t>à mi-</w:t>
      </w:r>
      <w:proofErr w:type="spellStart"/>
      <w:r>
        <w:rPr>
          <w:color w:val="231F20"/>
        </w:rPr>
        <w:t>parcours</w:t>
      </w:r>
      <w:proofErr w:type="spellEnd"/>
      <w:r>
        <w:rPr>
          <w:color w:val="231F20"/>
        </w:rPr>
        <w:t xml:space="preserve"> du plan Reef 2050 a </w:t>
      </w:r>
      <w:proofErr w:type="spellStart"/>
      <w:r>
        <w:rPr>
          <w:color w:val="231F20"/>
        </w:rPr>
        <w:t>été</w:t>
      </w:r>
      <w:proofErr w:type="spellEnd"/>
      <w:r>
        <w:rPr>
          <w:color w:val="231F20"/>
        </w:rPr>
        <w:t xml:space="preserve"> </w:t>
      </w:r>
      <w:proofErr w:type="spellStart"/>
      <w:r>
        <w:rPr>
          <w:color w:val="231F20"/>
        </w:rPr>
        <w:t>avancé</w:t>
      </w:r>
      <w:proofErr w:type="spellEnd"/>
      <w:r>
        <w:rPr>
          <w:color w:val="231F20"/>
        </w:rPr>
        <w:t xml:space="preserve"> à 2017 </w:t>
      </w:r>
      <w:proofErr w:type="spellStart"/>
      <w:r>
        <w:rPr>
          <w:color w:val="231F20"/>
        </w:rPr>
        <w:t>en</w:t>
      </w:r>
      <w:proofErr w:type="spellEnd"/>
      <w:r>
        <w:rPr>
          <w:color w:val="231F20"/>
        </w:rPr>
        <w:t xml:space="preserve"> </w:t>
      </w:r>
      <w:proofErr w:type="spellStart"/>
      <w:r>
        <w:rPr>
          <w:color w:val="231F20"/>
        </w:rPr>
        <w:t>réponse</w:t>
      </w:r>
      <w:proofErr w:type="spellEnd"/>
      <w:r>
        <w:rPr>
          <w:color w:val="231F20"/>
        </w:rPr>
        <w:t xml:space="preserve"> au </w:t>
      </w:r>
      <w:proofErr w:type="spellStart"/>
      <w:r>
        <w:rPr>
          <w:color w:val="231F20"/>
        </w:rPr>
        <w:t>phénomène</w:t>
      </w:r>
      <w:proofErr w:type="spellEnd"/>
      <w:r>
        <w:rPr>
          <w:color w:val="231F20"/>
        </w:rPr>
        <w:t xml:space="preserve"> de </w:t>
      </w:r>
      <w:proofErr w:type="spellStart"/>
      <w:r>
        <w:rPr>
          <w:color w:val="231F20"/>
        </w:rPr>
        <w:t>blanchiment</w:t>
      </w:r>
      <w:proofErr w:type="spellEnd"/>
      <w:r>
        <w:rPr>
          <w:color w:val="231F20"/>
        </w:rPr>
        <w:t xml:space="preserve"> des </w:t>
      </w:r>
      <w:proofErr w:type="spellStart"/>
      <w:r>
        <w:rPr>
          <w:color w:val="231F20"/>
        </w:rPr>
        <w:t>coraux</w:t>
      </w:r>
      <w:proofErr w:type="spellEnd"/>
      <w:r>
        <w:rPr>
          <w:color w:val="231F20"/>
        </w:rPr>
        <w:t xml:space="preserve"> de </w:t>
      </w:r>
      <w:proofErr w:type="spellStart"/>
      <w:r>
        <w:rPr>
          <w:color w:val="231F20"/>
        </w:rPr>
        <w:t>grande</w:t>
      </w:r>
      <w:proofErr w:type="spellEnd"/>
      <w:r>
        <w:rPr>
          <w:color w:val="231F20"/>
        </w:rPr>
        <w:t xml:space="preserve"> </w:t>
      </w:r>
      <w:proofErr w:type="spellStart"/>
      <w:r>
        <w:rPr>
          <w:color w:val="231F20"/>
        </w:rPr>
        <w:t>ampleu</w:t>
      </w:r>
      <w:r>
        <w:rPr>
          <w:color w:val="231F20"/>
        </w:rPr>
        <w:t>r</w:t>
      </w:r>
      <w:proofErr w:type="spellEnd"/>
      <w:r>
        <w:rPr>
          <w:color w:val="231F20"/>
        </w:rPr>
        <w:t xml:space="preserve"> de 2016 et 2017, et des subventions </w:t>
      </w:r>
      <w:proofErr w:type="spellStart"/>
      <w:r>
        <w:rPr>
          <w:color w:val="231F20"/>
        </w:rPr>
        <w:t>supplémentaires</w:t>
      </w:r>
      <w:proofErr w:type="spellEnd"/>
      <w:r>
        <w:rPr>
          <w:color w:val="231F20"/>
        </w:rPr>
        <w:t xml:space="preserve"> </w:t>
      </w:r>
      <w:proofErr w:type="spellStart"/>
      <w:r>
        <w:rPr>
          <w:color w:val="231F20"/>
        </w:rPr>
        <w:t>ont</w:t>
      </w:r>
      <w:proofErr w:type="spellEnd"/>
      <w:r>
        <w:rPr>
          <w:color w:val="231F20"/>
        </w:rPr>
        <w:t xml:space="preserve"> </w:t>
      </w:r>
      <w:proofErr w:type="spellStart"/>
      <w:r>
        <w:rPr>
          <w:color w:val="231F20"/>
        </w:rPr>
        <w:t>été</w:t>
      </w:r>
      <w:proofErr w:type="spellEnd"/>
      <w:r>
        <w:rPr>
          <w:color w:val="231F20"/>
        </w:rPr>
        <w:t xml:space="preserve"> </w:t>
      </w:r>
      <w:proofErr w:type="spellStart"/>
      <w:r>
        <w:rPr>
          <w:color w:val="231F20"/>
        </w:rPr>
        <w:t>accordées</w:t>
      </w:r>
      <w:proofErr w:type="spellEnd"/>
      <w:r>
        <w:rPr>
          <w:color w:val="231F20"/>
        </w:rPr>
        <w:t xml:space="preserve">, </w:t>
      </w:r>
      <w:proofErr w:type="spellStart"/>
      <w:r>
        <w:rPr>
          <w:color w:val="231F20"/>
        </w:rPr>
        <w:t>démontrant</w:t>
      </w:r>
      <w:proofErr w:type="spellEnd"/>
      <w:r>
        <w:rPr>
          <w:color w:val="231F20"/>
        </w:rPr>
        <w:t xml:space="preserve"> </w:t>
      </w:r>
      <w:proofErr w:type="spellStart"/>
      <w:r>
        <w:rPr>
          <w:color w:val="231F20"/>
        </w:rPr>
        <w:t>ainsi</w:t>
      </w:r>
      <w:proofErr w:type="spellEnd"/>
      <w:r>
        <w:rPr>
          <w:color w:val="231F20"/>
        </w:rPr>
        <w:t xml:space="preserve"> </w:t>
      </w:r>
      <w:proofErr w:type="spellStart"/>
      <w:r>
        <w:rPr>
          <w:color w:val="231F20"/>
        </w:rPr>
        <w:t>notre</w:t>
      </w:r>
      <w:proofErr w:type="spellEnd"/>
      <w:r>
        <w:rPr>
          <w:color w:val="231F20"/>
        </w:rPr>
        <w:t xml:space="preserve"> engagement </w:t>
      </w:r>
      <w:proofErr w:type="spellStart"/>
      <w:r>
        <w:rPr>
          <w:color w:val="231F20"/>
        </w:rPr>
        <w:t>continu</w:t>
      </w:r>
      <w:proofErr w:type="spellEnd"/>
      <w:r>
        <w:rPr>
          <w:color w:val="231F20"/>
        </w:rPr>
        <w:t xml:space="preserve"> </w:t>
      </w:r>
      <w:proofErr w:type="spellStart"/>
      <w:r>
        <w:rPr>
          <w:color w:val="231F20"/>
        </w:rPr>
        <w:t>envers</w:t>
      </w:r>
      <w:proofErr w:type="spellEnd"/>
      <w:r>
        <w:rPr>
          <w:color w:val="231F20"/>
          <w:spacing w:val="-12"/>
        </w:rPr>
        <w:t xml:space="preserve"> </w:t>
      </w:r>
      <w:proofErr w:type="spellStart"/>
      <w:r>
        <w:rPr>
          <w:color w:val="231F20"/>
        </w:rPr>
        <w:t>une</w:t>
      </w:r>
      <w:proofErr w:type="spellEnd"/>
    </w:p>
    <w:p w:rsidR="00D1511D" w:rsidRDefault="003F0CB3">
      <w:pPr>
        <w:pStyle w:val="BodyText"/>
        <w:spacing w:line="280" w:lineRule="auto"/>
        <w:ind w:left="1700" w:right="1359"/>
      </w:pPr>
      <w:r>
        <w:rPr>
          <w:color w:val="231F20"/>
        </w:rPr>
        <w:t xml:space="preserve">gestion </w:t>
      </w:r>
      <w:proofErr w:type="spellStart"/>
      <w:r>
        <w:rPr>
          <w:color w:val="231F20"/>
        </w:rPr>
        <w:t>réactive</w:t>
      </w:r>
      <w:proofErr w:type="spellEnd"/>
      <w:r>
        <w:rPr>
          <w:color w:val="231F20"/>
        </w:rPr>
        <w:t xml:space="preserve"> et adaptative du </w:t>
      </w:r>
      <w:proofErr w:type="spellStart"/>
      <w:r>
        <w:rPr>
          <w:color w:val="231F20"/>
        </w:rPr>
        <w:t>récif</w:t>
      </w:r>
      <w:proofErr w:type="spellEnd"/>
      <w:r>
        <w:rPr>
          <w:color w:val="231F20"/>
        </w:rPr>
        <w:t xml:space="preserve">. </w:t>
      </w:r>
      <w:proofErr w:type="spellStart"/>
      <w:r>
        <w:rPr>
          <w:color w:val="231F20"/>
        </w:rPr>
        <w:t>Selon</w:t>
      </w:r>
      <w:proofErr w:type="spellEnd"/>
      <w:r>
        <w:rPr>
          <w:color w:val="231F20"/>
        </w:rPr>
        <w:t xml:space="preserve"> le Rapport </w:t>
      </w:r>
      <w:proofErr w:type="spellStart"/>
      <w:r>
        <w:rPr>
          <w:color w:val="231F20"/>
        </w:rPr>
        <w:t>d’observation</w:t>
      </w:r>
      <w:proofErr w:type="spellEnd"/>
      <w:r>
        <w:rPr>
          <w:color w:val="231F20"/>
        </w:rPr>
        <w:t xml:space="preserve"> du plan Reef 2050 (Reef 2050 Plan Insights Report, un rapp</w:t>
      </w:r>
      <w:r>
        <w:rPr>
          <w:color w:val="231F20"/>
        </w:rPr>
        <w:t xml:space="preserve">ort </w:t>
      </w:r>
      <w:proofErr w:type="spellStart"/>
      <w:r>
        <w:rPr>
          <w:color w:val="231F20"/>
        </w:rPr>
        <w:t>indépendant</w:t>
      </w:r>
      <w:proofErr w:type="spellEnd"/>
      <w:r>
        <w:rPr>
          <w:color w:val="231F20"/>
        </w:rPr>
        <w:t xml:space="preserve"> </w:t>
      </w:r>
      <w:proofErr w:type="spellStart"/>
      <w:r>
        <w:rPr>
          <w:color w:val="231F20"/>
        </w:rPr>
        <w:t>visant</w:t>
      </w:r>
      <w:proofErr w:type="spellEnd"/>
      <w:r>
        <w:rPr>
          <w:color w:val="231F20"/>
        </w:rPr>
        <w:t xml:space="preserve"> à </w:t>
      </w:r>
      <w:proofErr w:type="spellStart"/>
      <w:r>
        <w:rPr>
          <w:color w:val="231F20"/>
        </w:rPr>
        <w:t>renseigner</w:t>
      </w:r>
      <w:proofErr w:type="spellEnd"/>
      <w:r>
        <w:rPr>
          <w:color w:val="231F20"/>
        </w:rPr>
        <w:t xml:space="preserve"> le Rapport de perspectives 2019), le plan Reef 2050 </w:t>
      </w:r>
      <w:proofErr w:type="spellStart"/>
      <w:r>
        <w:rPr>
          <w:color w:val="231F20"/>
        </w:rPr>
        <w:t>est</w:t>
      </w:r>
      <w:proofErr w:type="spellEnd"/>
      <w:r>
        <w:rPr>
          <w:color w:val="231F20"/>
        </w:rPr>
        <w:t xml:space="preserve"> </w:t>
      </w:r>
      <w:proofErr w:type="spellStart"/>
      <w:r>
        <w:rPr>
          <w:color w:val="231F20"/>
        </w:rPr>
        <w:t>jugé</w:t>
      </w:r>
      <w:proofErr w:type="spellEnd"/>
      <w:r>
        <w:rPr>
          <w:color w:val="231F20"/>
        </w:rPr>
        <w:t xml:space="preserve"> </w:t>
      </w:r>
      <w:proofErr w:type="spellStart"/>
      <w:r>
        <w:rPr>
          <w:color w:val="231F20"/>
        </w:rPr>
        <w:t>comme</w:t>
      </w:r>
      <w:proofErr w:type="spellEnd"/>
      <w:r>
        <w:rPr>
          <w:color w:val="231F20"/>
        </w:rPr>
        <w:t xml:space="preserve"> </w:t>
      </w:r>
      <w:proofErr w:type="spellStart"/>
      <w:r>
        <w:rPr>
          <w:color w:val="231F20"/>
        </w:rPr>
        <w:t>une</w:t>
      </w:r>
      <w:proofErr w:type="spellEnd"/>
      <w:r>
        <w:rPr>
          <w:color w:val="231F20"/>
        </w:rPr>
        <w:t xml:space="preserve"> « structure </w:t>
      </w:r>
      <w:proofErr w:type="spellStart"/>
      <w:r>
        <w:rPr>
          <w:color w:val="231F20"/>
        </w:rPr>
        <w:t>très</w:t>
      </w:r>
      <w:proofErr w:type="spellEnd"/>
      <w:r>
        <w:rPr>
          <w:color w:val="231F20"/>
        </w:rPr>
        <w:t xml:space="preserve"> </w:t>
      </w:r>
      <w:proofErr w:type="spellStart"/>
      <w:r>
        <w:rPr>
          <w:color w:val="231F20"/>
        </w:rPr>
        <w:t>solide</w:t>
      </w:r>
      <w:proofErr w:type="spellEnd"/>
      <w:r>
        <w:rPr>
          <w:color w:val="231F20"/>
        </w:rPr>
        <w:t xml:space="preserve"> pour </w:t>
      </w:r>
      <w:proofErr w:type="spellStart"/>
      <w:r>
        <w:rPr>
          <w:color w:val="231F20"/>
        </w:rPr>
        <w:t>améliorer</w:t>
      </w:r>
      <w:proofErr w:type="spellEnd"/>
      <w:r>
        <w:rPr>
          <w:color w:val="231F20"/>
        </w:rPr>
        <w:t xml:space="preserve"> la gestion des </w:t>
      </w:r>
      <w:proofErr w:type="spellStart"/>
      <w:r>
        <w:rPr>
          <w:color w:val="231F20"/>
        </w:rPr>
        <w:t>valeurs</w:t>
      </w:r>
      <w:proofErr w:type="spellEnd"/>
      <w:r>
        <w:rPr>
          <w:color w:val="231F20"/>
        </w:rPr>
        <w:t xml:space="preserve"> du </w:t>
      </w:r>
      <w:proofErr w:type="spellStart"/>
      <w:r>
        <w:rPr>
          <w:color w:val="231F20"/>
        </w:rPr>
        <w:t>récif</w:t>
      </w:r>
      <w:proofErr w:type="spellEnd"/>
      <w:r>
        <w:rPr>
          <w:color w:val="231F20"/>
        </w:rPr>
        <w:t xml:space="preserve"> </w:t>
      </w:r>
      <w:proofErr w:type="spellStart"/>
      <w:r>
        <w:rPr>
          <w:color w:val="231F20"/>
        </w:rPr>
        <w:t>en</w:t>
      </w:r>
      <w:proofErr w:type="spellEnd"/>
      <w:r>
        <w:rPr>
          <w:color w:val="231F20"/>
        </w:rPr>
        <w:t xml:space="preserve"> </w:t>
      </w:r>
      <w:proofErr w:type="spellStart"/>
      <w:r>
        <w:rPr>
          <w:color w:val="231F20"/>
        </w:rPr>
        <w:t>améliorant</w:t>
      </w:r>
      <w:proofErr w:type="spellEnd"/>
      <w:r>
        <w:rPr>
          <w:color w:val="231F20"/>
        </w:rPr>
        <w:t xml:space="preserve"> la </w:t>
      </w:r>
      <w:proofErr w:type="spellStart"/>
      <w:r>
        <w:rPr>
          <w:color w:val="231F20"/>
        </w:rPr>
        <w:t>gouvernance</w:t>
      </w:r>
      <w:proofErr w:type="spellEnd"/>
      <w:r>
        <w:rPr>
          <w:color w:val="231F20"/>
        </w:rPr>
        <w:t xml:space="preserve">, la planification et les </w:t>
      </w:r>
      <w:proofErr w:type="spellStart"/>
      <w:r>
        <w:rPr>
          <w:color w:val="231F20"/>
        </w:rPr>
        <w:t>ressources</w:t>
      </w:r>
      <w:proofErr w:type="spellEnd"/>
      <w:r>
        <w:rPr>
          <w:color w:val="231F20"/>
        </w:rPr>
        <w:t xml:space="preserve"> ».</w:t>
      </w:r>
    </w:p>
    <w:p w:rsidR="00D1511D" w:rsidRDefault="003F0CB3">
      <w:pPr>
        <w:pStyle w:val="BodyText"/>
        <w:spacing w:before="161" w:line="280" w:lineRule="auto"/>
        <w:ind w:left="1700" w:right="1585"/>
      </w:pPr>
      <w:r>
        <w:rPr>
          <w:color w:val="231F20"/>
        </w:rPr>
        <w:t xml:space="preserve">Pour </w:t>
      </w:r>
      <w:proofErr w:type="spellStart"/>
      <w:r>
        <w:rPr>
          <w:color w:val="231F20"/>
        </w:rPr>
        <w:t>accél</w:t>
      </w:r>
      <w:r>
        <w:rPr>
          <w:color w:val="231F20"/>
        </w:rPr>
        <w:t>érer</w:t>
      </w:r>
      <w:proofErr w:type="spellEnd"/>
      <w:r>
        <w:rPr>
          <w:color w:val="231F20"/>
        </w:rPr>
        <w:t xml:space="preserve"> les efforts </w:t>
      </w:r>
      <w:proofErr w:type="spellStart"/>
      <w:r>
        <w:rPr>
          <w:color w:val="231F20"/>
        </w:rPr>
        <w:t>visant</w:t>
      </w:r>
      <w:proofErr w:type="spellEnd"/>
      <w:r>
        <w:rPr>
          <w:color w:val="231F20"/>
        </w:rPr>
        <w:t xml:space="preserve"> à </w:t>
      </w:r>
      <w:proofErr w:type="spellStart"/>
      <w:r>
        <w:rPr>
          <w:color w:val="231F20"/>
        </w:rPr>
        <w:t>améliorer</w:t>
      </w:r>
      <w:proofErr w:type="spellEnd"/>
      <w:r>
        <w:rPr>
          <w:color w:val="231F20"/>
        </w:rPr>
        <w:t xml:space="preserve"> la </w:t>
      </w:r>
      <w:proofErr w:type="spellStart"/>
      <w:r>
        <w:rPr>
          <w:color w:val="231F20"/>
        </w:rPr>
        <w:t>qualité</w:t>
      </w:r>
      <w:proofErr w:type="spellEnd"/>
      <w:r>
        <w:rPr>
          <w:color w:val="231F20"/>
        </w:rPr>
        <w:t xml:space="preserve"> de </w:t>
      </w:r>
      <w:proofErr w:type="spellStart"/>
      <w:r>
        <w:rPr>
          <w:color w:val="231F20"/>
        </w:rPr>
        <w:t>l’eau</w:t>
      </w:r>
      <w:proofErr w:type="spellEnd"/>
      <w:r>
        <w:rPr>
          <w:color w:val="231F20"/>
        </w:rPr>
        <w:t xml:space="preserve">, les </w:t>
      </w:r>
      <w:proofErr w:type="spellStart"/>
      <w:r>
        <w:rPr>
          <w:color w:val="231F20"/>
        </w:rPr>
        <w:t>gouvernements</w:t>
      </w:r>
      <w:proofErr w:type="spellEnd"/>
      <w:r>
        <w:rPr>
          <w:color w:val="231F20"/>
        </w:rPr>
        <w:t xml:space="preserve"> de </w:t>
      </w:r>
      <w:proofErr w:type="spellStart"/>
      <w:r>
        <w:rPr>
          <w:color w:val="231F20"/>
        </w:rPr>
        <w:t>l’Australie</w:t>
      </w:r>
      <w:proofErr w:type="spellEnd"/>
      <w:r>
        <w:rPr>
          <w:color w:val="231F20"/>
        </w:rPr>
        <w:t xml:space="preserve"> et de </w:t>
      </w:r>
      <w:proofErr w:type="spellStart"/>
      <w:r>
        <w:rPr>
          <w:color w:val="231F20"/>
        </w:rPr>
        <w:t>l’État</w:t>
      </w:r>
      <w:proofErr w:type="spellEnd"/>
      <w:r>
        <w:rPr>
          <w:color w:val="231F20"/>
        </w:rPr>
        <w:t xml:space="preserve"> du Queensland </w:t>
      </w:r>
      <w:proofErr w:type="spellStart"/>
      <w:r>
        <w:rPr>
          <w:color w:val="231F20"/>
        </w:rPr>
        <w:t>mettent</w:t>
      </w:r>
      <w:proofErr w:type="spellEnd"/>
      <w:r>
        <w:rPr>
          <w:color w:val="231F20"/>
        </w:rPr>
        <w:t xml:space="preserve"> </w:t>
      </w:r>
      <w:proofErr w:type="spellStart"/>
      <w:r>
        <w:rPr>
          <w:color w:val="231F20"/>
        </w:rPr>
        <w:t>actuellement</w:t>
      </w:r>
      <w:proofErr w:type="spellEnd"/>
      <w:r>
        <w:rPr>
          <w:color w:val="231F20"/>
        </w:rPr>
        <w:t xml:space="preserve"> </w:t>
      </w:r>
      <w:proofErr w:type="spellStart"/>
      <w:r>
        <w:rPr>
          <w:color w:val="231F20"/>
        </w:rPr>
        <w:t>en</w:t>
      </w:r>
      <w:proofErr w:type="spellEnd"/>
      <w:r>
        <w:rPr>
          <w:color w:val="231F20"/>
        </w:rPr>
        <w:t xml:space="preserve"> application un Plan Reef 2050 </w:t>
      </w:r>
      <w:proofErr w:type="spellStart"/>
      <w:r>
        <w:rPr>
          <w:color w:val="231F20"/>
        </w:rPr>
        <w:t>d’amélioration</w:t>
      </w:r>
      <w:proofErr w:type="spellEnd"/>
      <w:r>
        <w:rPr>
          <w:color w:val="231F20"/>
        </w:rPr>
        <w:t xml:space="preserve"> de la </w:t>
      </w:r>
      <w:proofErr w:type="spellStart"/>
      <w:r>
        <w:rPr>
          <w:color w:val="231F20"/>
        </w:rPr>
        <w:t>qualité</w:t>
      </w:r>
      <w:proofErr w:type="spellEnd"/>
      <w:r>
        <w:rPr>
          <w:color w:val="231F20"/>
        </w:rPr>
        <w:t xml:space="preserve"> de </w:t>
      </w:r>
      <w:proofErr w:type="spellStart"/>
      <w:r>
        <w:rPr>
          <w:color w:val="231F20"/>
        </w:rPr>
        <w:t>l’eau</w:t>
      </w:r>
      <w:proofErr w:type="spellEnd"/>
      <w:r>
        <w:rPr>
          <w:color w:val="231F20"/>
        </w:rPr>
        <w:t xml:space="preserve"> pour</w:t>
      </w:r>
    </w:p>
    <w:p w:rsidR="00D1511D" w:rsidRDefault="00D1511D">
      <w:pPr>
        <w:pStyle w:val="BodyText"/>
        <w:rPr>
          <w:sz w:val="24"/>
        </w:rPr>
      </w:pPr>
    </w:p>
    <w:p w:rsidR="00D1511D" w:rsidRDefault="00D1511D">
      <w:pPr>
        <w:pStyle w:val="BodyText"/>
        <w:rPr>
          <w:sz w:val="24"/>
        </w:rPr>
      </w:pPr>
    </w:p>
    <w:p w:rsidR="00D1511D" w:rsidRDefault="00D1511D">
      <w:pPr>
        <w:pStyle w:val="BodyText"/>
        <w:spacing w:before="11"/>
        <w:rPr>
          <w:sz w:val="29"/>
        </w:rPr>
      </w:pPr>
    </w:p>
    <w:p w:rsidR="00D1511D" w:rsidRDefault="003F0CB3">
      <w:pPr>
        <w:ind w:right="1415"/>
        <w:jc w:val="right"/>
        <w:rPr>
          <w:rFonts w:ascii="Myriad Pro"/>
          <w:sz w:val="16"/>
        </w:rPr>
      </w:pPr>
      <w:r>
        <w:rPr>
          <w:rFonts w:ascii="Myriad Pro"/>
          <w:color w:val="231F20"/>
          <w:sz w:val="16"/>
        </w:rPr>
        <w:t>5</w:t>
      </w:r>
    </w:p>
    <w:p w:rsidR="00D1511D" w:rsidRDefault="00D1511D">
      <w:pPr>
        <w:jc w:val="right"/>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8"/>
        <w:rPr>
          <w:rFonts w:ascii="Myriad Pro"/>
        </w:rPr>
      </w:pPr>
    </w:p>
    <w:p w:rsidR="00D1511D" w:rsidRDefault="003F0CB3">
      <w:pPr>
        <w:pStyle w:val="BodyText"/>
        <w:spacing w:before="98" w:line="280" w:lineRule="auto"/>
        <w:ind w:left="1700" w:right="1429"/>
      </w:pPr>
      <w:r>
        <w:rPr>
          <w:color w:val="231F20"/>
        </w:rPr>
        <w:t xml:space="preserve">2017-2022 (Reef 2050 </w:t>
      </w:r>
      <w:r>
        <w:rPr>
          <w:color w:val="231F20"/>
          <w:spacing w:val="-4"/>
        </w:rPr>
        <w:t xml:space="preserve">Water </w:t>
      </w:r>
      <w:r>
        <w:rPr>
          <w:color w:val="231F20"/>
        </w:rPr>
        <w:t xml:space="preserve">Quality Improvement Plan for 2017-2022, </w:t>
      </w:r>
      <w:proofErr w:type="spellStart"/>
      <w:r>
        <w:rPr>
          <w:color w:val="231F20"/>
        </w:rPr>
        <w:t>ou</w:t>
      </w:r>
      <w:proofErr w:type="spellEnd"/>
      <w:r>
        <w:rPr>
          <w:color w:val="231F20"/>
        </w:rPr>
        <w:t xml:space="preserve"> WQIP Reef 2050) de 600 </w:t>
      </w:r>
      <w:proofErr w:type="gramStart"/>
      <w:r>
        <w:rPr>
          <w:color w:val="231F20"/>
        </w:rPr>
        <w:t>millions</w:t>
      </w:r>
      <w:proofErr w:type="gramEnd"/>
      <w:r>
        <w:rPr>
          <w:color w:val="231F20"/>
        </w:rPr>
        <w:t xml:space="preserve"> de dollars. Le plan WQIP Reef 2050 fait </w:t>
      </w:r>
      <w:proofErr w:type="spellStart"/>
      <w:r>
        <w:rPr>
          <w:color w:val="231F20"/>
        </w:rPr>
        <w:t>appel</w:t>
      </w:r>
      <w:proofErr w:type="spellEnd"/>
      <w:r>
        <w:rPr>
          <w:color w:val="231F20"/>
        </w:rPr>
        <w:t xml:space="preserve"> à </w:t>
      </w:r>
      <w:proofErr w:type="spellStart"/>
      <w:r>
        <w:rPr>
          <w:color w:val="231F20"/>
        </w:rPr>
        <w:t>une</w:t>
      </w:r>
      <w:proofErr w:type="spellEnd"/>
      <w:r>
        <w:rPr>
          <w:color w:val="231F20"/>
        </w:rPr>
        <w:t xml:space="preserve"> gestion adaptative </w:t>
      </w:r>
      <w:proofErr w:type="spellStart"/>
      <w:r>
        <w:rPr>
          <w:color w:val="231F20"/>
        </w:rPr>
        <w:t>fondée</w:t>
      </w:r>
      <w:proofErr w:type="spellEnd"/>
      <w:r>
        <w:rPr>
          <w:color w:val="231F20"/>
        </w:rPr>
        <w:t xml:space="preserve"> sur les </w:t>
      </w:r>
      <w:proofErr w:type="spellStart"/>
      <w:r>
        <w:rPr>
          <w:color w:val="231F20"/>
        </w:rPr>
        <w:t>meilleures</w:t>
      </w:r>
      <w:proofErr w:type="spellEnd"/>
      <w:r>
        <w:rPr>
          <w:color w:val="231F20"/>
        </w:rPr>
        <w:t xml:space="preserve"> </w:t>
      </w:r>
      <w:proofErr w:type="spellStart"/>
      <w:r>
        <w:rPr>
          <w:color w:val="231F20"/>
        </w:rPr>
        <w:t>données</w:t>
      </w:r>
      <w:proofErr w:type="spellEnd"/>
      <w:r>
        <w:rPr>
          <w:color w:val="231F20"/>
        </w:rPr>
        <w:t xml:space="preserve"> </w:t>
      </w:r>
      <w:proofErr w:type="spellStart"/>
      <w:r>
        <w:rPr>
          <w:color w:val="231F20"/>
        </w:rPr>
        <w:t>scientifiques</w:t>
      </w:r>
      <w:proofErr w:type="spellEnd"/>
      <w:r>
        <w:rPr>
          <w:color w:val="231F20"/>
        </w:rPr>
        <w:t xml:space="preserve"> </w:t>
      </w:r>
      <w:proofErr w:type="spellStart"/>
      <w:r>
        <w:rPr>
          <w:color w:val="231F20"/>
        </w:rPr>
        <w:t>disponibles</w:t>
      </w:r>
      <w:proofErr w:type="spellEnd"/>
      <w:r>
        <w:rPr>
          <w:color w:val="231F20"/>
        </w:rPr>
        <w:t xml:space="preserve">. </w:t>
      </w:r>
      <w:proofErr w:type="spellStart"/>
      <w:r>
        <w:rPr>
          <w:color w:val="231F20"/>
          <w:spacing w:val="-3"/>
        </w:rPr>
        <w:t>L’approche</w:t>
      </w:r>
      <w:proofErr w:type="spellEnd"/>
      <w:r>
        <w:rPr>
          <w:color w:val="231F20"/>
          <w:spacing w:val="-3"/>
        </w:rPr>
        <w:t xml:space="preserve"> </w:t>
      </w:r>
      <w:proofErr w:type="spellStart"/>
      <w:r>
        <w:rPr>
          <w:color w:val="231F20"/>
        </w:rPr>
        <w:t>visant</w:t>
      </w:r>
      <w:proofErr w:type="spellEnd"/>
      <w:r>
        <w:rPr>
          <w:color w:val="231F20"/>
        </w:rPr>
        <w:t xml:space="preserve"> à </w:t>
      </w:r>
      <w:proofErr w:type="spellStart"/>
      <w:r>
        <w:rPr>
          <w:color w:val="231F20"/>
        </w:rPr>
        <w:t>am</w:t>
      </w:r>
      <w:r>
        <w:rPr>
          <w:color w:val="231F20"/>
        </w:rPr>
        <w:t>éliorer</w:t>
      </w:r>
      <w:proofErr w:type="spellEnd"/>
      <w:r>
        <w:rPr>
          <w:color w:val="231F20"/>
        </w:rPr>
        <w:t xml:space="preserve"> la </w:t>
      </w:r>
      <w:proofErr w:type="spellStart"/>
      <w:r>
        <w:rPr>
          <w:color w:val="231F20"/>
        </w:rPr>
        <w:t>qualité</w:t>
      </w:r>
      <w:proofErr w:type="spellEnd"/>
      <w:r>
        <w:rPr>
          <w:color w:val="231F20"/>
        </w:rPr>
        <w:t xml:space="preserve"> de </w:t>
      </w:r>
      <w:proofErr w:type="spellStart"/>
      <w:r>
        <w:rPr>
          <w:color w:val="231F20"/>
        </w:rPr>
        <w:t>l’eau</w:t>
      </w:r>
      <w:proofErr w:type="spellEnd"/>
      <w:r>
        <w:rPr>
          <w:color w:val="231F20"/>
        </w:rPr>
        <w:t xml:space="preserve"> repose </w:t>
      </w:r>
      <w:proofErr w:type="spellStart"/>
      <w:r>
        <w:rPr>
          <w:color w:val="231F20"/>
        </w:rPr>
        <w:t>notamment</w:t>
      </w:r>
      <w:proofErr w:type="spellEnd"/>
      <w:r>
        <w:rPr>
          <w:color w:val="231F20"/>
        </w:rPr>
        <w:t xml:space="preserve"> sur </w:t>
      </w:r>
      <w:proofErr w:type="spellStart"/>
      <w:r>
        <w:rPr>
          <w:color w:val="231F20"/>
        </w:rPr>
        <w:t>une</w:t>
      </w:r>
      <w:proofErr w:type="spellEnd"/>
      <w:r>
        <w:rPr>
          <w:color w:val="231F20"/>
        </w:rPr>
        <w:t xml:space="preserve"> collaboration avec les </w:t>
      </w:r>
      <w:proofErr w:type="spellStart"/>
      <w:r>
        <w:rPr>
          <w:color w:val="231F20"/>
        </w:rPr>
        <w:t>exploitants</w:t>
      </w:r>
      <w:proofErr w:type="spellEnd"/>
      <w:r>
        <w:rPr>
          <w:color w:val="231F20"/>
        </w:rPr>
        <w:t xml:space="preserve"> </w:t>
      </w:r>
      <w:proofErr w:type="spellStart"/>
      <w:r>
        <w:rPr>
          <w:color w:val="231F20"/>
        </w:rPr>
        <w:t>agricoles</w:t>
      </w:r>
      <w:proofErr w:type="spellEnd"/>
      <w:r>
        <w:rPr>
          <w:color w:val="231F20"/>
        </w:rPr>
        <w:t xml:space="preserve"> pour </w:t>
      </w:r>
      <w:proofErr w:type="spellStart"/>
      <w:r>
        <w:rPr>
          <w:color w:val="231F20"/>
        </w:rPr>
        <w:t>réduire</w:t>
      </w:r>
      <w:proofErr w:type="spellEnd"/>
      <w:r>
        <w:rPr>
          <w:color w:val="231F20"/>
        </w:rPr>
        <w:t xml:space="preserve"> les </w:t>
      </w:r>
      <w:proofErr w:type="spellStart"/>
      <w:r>
        <w:rPr>
          <w:color w:val="231F20"/>
        </w:rPr>
        <w:t>ruissellements</w:t>
      </w:r>
      <w:proofErr w:type="spellEnd"/>
      <w:r>
        <w:rPr>
          <w:color w:val="231F20"/>
        </w:rPr>
        <w:t xml:space="preserve"> </w:t>
      </w:r>
      <w:proofErr w:type="spellStart"/>
      <w:r>
        <w:rPr>
          <w:color w:val="231F20"/>
        </w:rPr>
        <w:t>d’eaux</w:t>
      </w:r>
      <w:proofErr w:type="spellEnd"/>
      <w:r>
        <w:rPr>
          <w:color w:val="231F20"/>
        </w:rPr>
        <w:t xml:space="preserve"> </w:t>
      </w:r>
      <w:proofErr w:type="spellStart"/>
      <w:r>
        <w:rPr>
          <w:color w:val="231F20"/>
        </w:rPr>
        <w:t>polluées</w:t>
      </w:r>
      <w:proofErr w:type="spellEnd"/>
      <w:r>
        <w:rPr>
          <w:color w:val="231F20"/>
        </w:rPr>
        <w:t xml:space="preserve"> </w:t>
      </w:r>
      <w:proofErr w:type="spellStart"/>
      <w:r>
        <w:rPr>
          <w:color w:val="231F20"/>
        </w:rPr>
        <w:t>vers</w:t>
      </w:r>
      <w:proofErr w:type="spellEnd"/>
      <w:r>
        <w:rPr>
          <w:color w:val="231F20"/>
        </w:rPr>
        <w:t xml:space="preserve"> les </w:t>
      </w:r>
      <w:proofErr w:type="spellStart"/>
      <w:r>
        <w:rPr>
          <w:color w:val="231F20"/>
        </w:rPr>
        <w:t>cours</w:t>
      </w:r>
      <w:proofErr w:type="spellEnd"/>
      <w:r>
        <w:rPr>
          <w:color w:val="231F20"/>
        </w:rPr>
        <w:t xml:space="preserve"> </w:t>
      </w:r>
      <w:proofErr w:type="spellStart"/>
      <w:r>
        <w:rPr>
          <w:color w:val="231F20"/>
        </w:rPr>
        <w:t>d’eau</w:t>
      </w:r>
      <w:proofErr w:type="spellEnd"/>
      <w:r>
        <w:rPr>
          <w:color w:val="231F20"/>
        </w:rPr>
        <w:t xml:space="preserve">, sur </w:t>
      </w:r>
      <w:proofErr w:type="spellStart"/>
      <w:r>
        <w:rPr>
          <w:color w:val="231F20"/>
        </w:rPr>
        <w:t>une</w:t>
      </w:r>
      <w:proofErr w:type="spellEnd"/>
      <w:r>
        <w:rPr>
          <w:color w:val="231F20"/>
        </w:rPr>
        <w:t xml:space="preserve"> restauration des </w:t>
      </w:r>
      <w:proofErr w:type="spellStart"/>
      <w:r>
        <w:rPr>
          <w:color w:val="231F20"/>
        </w:rPr>
        <w:t>terres</w:t>
      </w:r>
      <w:proofErr w:type="spellEnd"/>
      <w:r>
        <w:rPr>
          <w:color w:val="231F20"/>
        </w:rPr>
        <w:t xml:space="preserve"> pour </w:t>
      </w:r>
      <w:proofErr w:type="spellStart"/>
      <w:r>
        <w:rPr>
          <w:color w:val="231F20"/>
        </w:rPr>
        <w:t>lutter</w:t>
      </w:r>
      <w:proofErr w:type="spellEnd"/>
      <w:r>
        <w:rPr>
          <w:color w:val="231F20"/>
        </w:rPr>
        <w:t xml:space="preserve"> </w:t>
      </w:r>
      <w:proofErr w:type="spellStart"/>
      <w:r>
        <w:rPr>
          <w:color w:val="231F20"/>
        </w:rPr>
        <w:t>contre</w:t>
      </w:r>
      <w:proofErr w:type="spellEnd"/>
      <w:r>
        <w:rPr>
          <w:color w:val="231F20"/>
        </w:rPr>
        <w:t xml:space="preserve"> </w:t>
      </w:r>
      <w:proofErr w:type="spellStart"/>
      <w:r>
        <w:rPr>
          <w:color w:val="231F20"/>
        </w:rPr>
        <w:t>leur</w:t>
      </w:r>
      <w:proofErr w:type="spellEnd"/>
      <w:r>
        <w:rPr>
          <w:color w:val="231F20"/>
        </w:rPr>
        <w:t xml:space="preserve"> </w:t>
      </w:r>
      <w:proofErr w:type="spellStart"/>
      <w:r>
        <w:rPr>
          <w:color w:val="231F20"/>
        </w:rPr>
        <w:t>érosion</w:t>
      </w:r>
      <w:proofErr w:type="spellEnd"/>
      <w:r>
        <w:rPr>
          <w:color w:val="231F20"/>
        </w:rPr>
        <w:t xml:space="preserve">, et sur un </w:t>
      </w:r>
      <w:proofErr w:type="spellStart"/>
      <w:r>
        <w:rPr>
          <w:color w:val="231F20"/>
        </w:rPr>
        <w:t>renforcement</w:t>
      </w:r>
      <w:proofErr w:type="spellEnd"/>
      <w:r>
        <w:rPr>
          <w:color w:val="231F20"/>
        </w:rPr>
        <w:t xml:space="preserve"> </w:t>
      </w:r>
      <w:r>
        <w:rPr>
          <w:color w:val="231F20"/>
        </w:rPr>
        <w:t xml:space="preserve">des </w:t>
      </w:r>
      <w:proofErr w:type="spellStart"/>
      <w:r>
        <w:rPr>
          <w:color w:val="231F20"/>
        </w:rPr>
        <w:t>réglementations</w:t>
      </w:r>
      <w:proofErr w:type="spellEnd"/>
      <w:r>
        <w:rPr>
          <w:color w:val="231F20"/>
        </w:rPr>
        <w:t xml:space="preserve"> sur la gestion de la </w:t>
      </w:r>
      <w:proofErr w:type="spellStart"/>
      <w:r>
        <w:rPr>
          <w:color w:val="231F20"/>
        </w:rPr>
        <w:t>végétation</w:t>
      </w:r>
      <w:proofErr w:type="spellEnd"/>
      <w:r>
        <w:rPr>
          <w:color w:val="231F20"/>
        </w:rPr>
        <w:t xml:space="preserve">, de la </w:t>
      </w:r>
      <w:proofErr w:type="spellStart"/>
      <w:r>
        <w:rPr>
          <w:color w:val="231F20"/>
        </w:rPr>
        <w:t>qualité</w:t>
      </w:r>
      <w:proofErr w:type="spellEnd"/>
      <w:r>
        <w:rPr>
          <w:color w:val="231F20"/>
        </w:rPr>
        <w:t xml:space="preserve"> de </w:t>
      </w:r>
      <w:proofErr w:type="spellStart"/>
      <w:r>
        <w:rPr>
          <w:color w:val="231F20"/>
        </w:rPr>
        <w:t>l’eau</w:t>
      </w:r>
      <w:proofErr w:type="spellEnd"/>
      <w:r>
        <w:rPr>
          <w:color w:val="231F20"/>
        </w:rPr>
        <w:t xml:space="preserve"> et des </w:t>
      </w:r>
      <w:proofErr w:type="spellStart"/>
      <w:r>
        <w:rPr>
          <w:color w:val="231F20"/>
        </w:rPr>
        <w:t>activités</w:t>
      </w:r>
      <w:proofErr w:type="spellEnd"/>
      <w:r>
        <w:rPr>
          <w:color w:val="231F20"/>
        </w:rPr>
        <w:t xml:space="preserve"> de </w:t>
      </w:r>
      <w:proofErr w:type="spellStart"/>
      <w:r>
        <w:rPr>
          <w:color w:val="231F20"/>
        </w:rPr>
        <w:t>dragage</w:t>
      </w:r>
      <w:proofErr w:type="spellEnd"/>
      <w:r>
        <w:rPr>
          <w:color w:val="231F20"/>
        </w:rPr>
        <w:t xml:space="preserve">. La gestion de la </w:t>
      </w:r>
      <w:proofErr w:type="spellStart"/>
      <w:r>
        <w:rPr>
          <w:color w:val="231F20"/>
        </w:rPr>
        <w:t>qualité</w:t>
      </w:r>
      <w:proofErr w:type="spellEnd"/>
      <w:r>
        <w:rPr>
          <w:color w:val="231F20"/>
        </w:rPr>
        <w:t xml:space="preserve"> de </w:t>
      </w:r>
      <w:proofErr w:type="spellStart"/>
      <w:r>
        <w:rPr>
          <w:color w:val="231F20"/>
        </w:rPr>
        <w:t>l’eau</w:t>
      </w:r>
      <w:proofErr w:type="spellEnd"/>
      <w:r>
        <w:rPr>
          <w:color w:val="231F20"/>
        </w:rPr>
        <w:t xml:space="preserve"> du </w:t>
      </w:r>
      <w:proofErr w:type="spellStart"/>
      <w:r>
        <w:rPr>
          <w:color w:val="231F20"/>
        </w:rPr>
        <w:t>récif</w:t>
      </w:r>
      <w:proofErr w:type="spellEnd"/>
      <w:r>
        <w:rPr>
          <w:color w:val="231F20"/>
        </w:rPr>
        <w:t xml:space="preserve"> </w:t>
      </w:r>
      <w:proofErr w:type="spellStart"/>
      <w:r>
        <w:rPr>
          <w:color w:val="231F20"/>
        </w:rPr>
        <w:t>devrait</w:t>
      </w:r>
      <w:proofErr w:type="spellEnd"/>
      <w:r>
        <w:rPr>
          <w:color w:val="231F20"/>
        </w:rPr>
        <w:t xml:space="preserve"> </w:t>
      </w:r>
      <w:proofErr w:type="spellStart"/>
      <w:r>
        <w:rPr>
          <w:color w:val="231F20"/>
        </w:rPr>
        <w:t>s’améliorer</w:t>
      </w:r>
      <w:proofErr w:type="spellEnd"/>
      <w:r>
        <w:rPr>
          <w:color w:val="231F20"/>
        </w:rPr>
        <w:t xml:space="preserve"> à la suite de </w:t>
      </w:r>
      <w:proofErr w:type="spellStart"/>
      <w:r>
        <w:rPr>
          <w:color w:val="231F20"/>
        </w:rPr>
        <w:t>l’approbation</w:t>
      </w:r>
      <w:proofErr w:type="spellEnd"/>
      <w:r>
        <w:rPr>
          <w:color w:val="231F20"/>
        </w:rPr>
        <w:t xml:space="preserve"> </w:t>
      </w:r>
      <w:proofErr w:type="spellStart"/>
      <w:r>
        <w:rPr>
          <w:color w:val="231F20"/>
        </w:rPr>
        <w:t>d’une</w:t>
      </w:r>
      <w:proofErr w:type="spellEnd"/>
      <w:r>
        <w:rPr>
          <w:color w:val="231F20"/>
        </w:rPr>
        <w:t xml:space="preserve"> nouvelle </w:t>
      </w:r>
      <w:proofErr w:type="spellStart"/>
      <w:r>
        <w:rPr>
          <w:color w:val="231F20"/>
        </w:rPr>
        <w:t>législation</w:t>
      </w:r>
      <w:proofErr w:type="spellEnd"/>
      <w:r>
        <w:rPr>
          <w:color w:val="231F20"/>
        </w:rPr>
        <w:t xml:space="preserve"> par le </w:t>
      </w:r>
      <w:proofErr w:type="spellStart"/>
      <w:r>
        <w:rPr>
          <w:color w:val="231F20"/>
        </w:rPr>
        <w:t>gouvernement</w:t>
      </w:r>
      <w:proofErr w:type="spellEnd"/>
      <w:r>
        <w:rPr>
          <w:color w:val="231F20"/>
        </w:rPr>
        <w:t xml:space="preserve"> de </w:t>
      </w:r>
      <w:proofErr w:type="spellStart"/>
      <w:r>
        <w:rPr>
          <w:color w:val="231F20"/>
        </w:rPr>
        <w:t>l’État</w:t>
      </w:r>
      <w:proofErr w:type="spellEnd"/>
      <w:r>
        <w:rPr>
          <w:color w:val="231F20"/>
        </w:rPr>
        <w:t xml:space="preserve"> du</w:t>
      </w:r>
      <w:r>
        <w:rPr>
          <w:color w:val="231F20"/>
          <w:spacing w:val="-22"/>
        </w:rPr>
        <w:t xml:space="preserve"> </w:t>
      </w:r>
      <w:r>
        <w:rPr>
          <w:color w:val="231F20"/>
        </w:rPr>
        <w:t>Queensland</w:t>
      </w:r>
    </w:p>
    <w:p w:rsidR="00D1511D" w:rsidRDefault="003F0CB3">
      <w:pPr>
        <w:pStyle w:val="BodyText"/>
        <w:spacing w:line="280" w:lineRule="auto"/>
        <w:ind w:left="1700" w:right="1436"/>
      </w:pPr>
      <w:r>
        <w:rPr>
          <w:color w:val="231F20"/>
        </w:rPr>
        <w:t xml:space="preserve">du 19 </w:t>
      </w:r>
      <w:proofErr w:type="spellStart"/>
      <w:r>
        <w:rPr>
          <w:color w:val="231F20"/>
        </w:rPr>
        <w:t>septembre</w:t>
      </w:r>
      <w:proofErr w:type="spellEnd"/>
      <w:r>
        <w:rPr>
          <w:color w:val="231F20"/>
        </w:rPr>
        <w:t xml:space="preserve"> 2019 qui </w:t>
      </w:r>
      <w:proofErr w:type="spellStart"/>
      <w:r>
        <w:rPr>
          <w:color w:val="231F20"/>
        </w:rPr>
        <w:t>renforce</w:t>
      </w:r>
      <w:proofErr w:type="spellEnd"/>
      <w:r>
        <w:rPr>
          <w:color w:val="231F20"/>
        </w:rPr>
        <w:t xml:space="preserve"> le cadre </w:t>
      </w:r>
      <w:proofErr w:type="spellStart"/>
      <w:r>
        <w:rPr>
          <w:color w:val="231F20"/>
        </w:rPr>
        <w:t>réglementaire</w:t>
      </w:r>
      <w:proofErr w:type="spellEnd"/>
      <w:r>
        <w:rPr>
          <w:color w:val="231F20"/>
        </w:rPr>
        <w:t xml:space="preserve"> de </w:t>
      </w:r>
      <w:proofErr w:type="spellStart"/>
      <w:r>
        <w:rPr>
          <w:color w:val="231F20"/>
        </w:rPr>
        <w:t>cet</w:t>
      </w:r>
      <w:proofErr w:type="spellEnd"/>
      <w:r>
        <w:rPr>
          <w:color w:val="231F20"/>
        </w:rPr>
        <w:t xml:space="preserve"> État pour </w:t>
      </w:r>
      <w:proofErr w:type="spellStart"/>
      <w:r>
        <w:rPr>
          <w:color w:val="231F20"/>
        </w:rPr>
        <w:t>réduire</w:t>
      </w:r>
      <w:proofErr w:type="spellEnd"/>
      <w:r>
        <w:rPr>
          <w:color w:val="231F20"/>
        </w:rPr>
        <w:t xml:space="preserve"> les </w:t>
      </w:r>
      <w:proofErr w:type="spellStart"/>
      <w:r>
        <w:rPr>
          <w:color w:val="231F20"/>
        </w:rPr>
        <w:t>rejets</w:t>
      </w:r>
      <w:proofErr w:type="spellEnd"/>
      <w:r>
        <w:rPr>
          <w:color w:val="231F20"/>
        </w:rPr>
        <w:t xml:space="preserve"> de nutriments et de </w:t>
      </w:r>
      <w:proofErr w:type="spellStart"/>
      <w:r>
        <w:rPr>
          <w:color w:val="231F20"/>
        </w:rPr>
        <w:t>sédiments</w:t>
      </w:r>
      <w:proofErr w:type="spellEnd"/>
      <w:r>
        <w:rPr>
          <w:color w:val="231F20"/>
        </w:rPr>
        <w:t xml:space="preserve"> des </w:t>
      </w:r>
      <w:proofErr w:type="spellStart"/>
      <w:r>
        <w:rPr>
          <w:color w:val="231F20"/>
        </w:rPr>
        <w:t>activités</w:t>
      </w:r>
      <w:proofErr w:type="spellEnd"/>
      <w:r>
        <w:rPr>
          <w:color w:val="231F20"/>
        </w:rPr>
        <w:t xml:space="preserve"> </w:t>
      </w:r>
      <w:proofErr w:type="spellStart"/>
      <w:r>
        <w:rPr>
          <w:color w:val="231F20"/>
        </w:rPr>
        <w:t>agricoles</w:t>
      </w:r>
      <w:proofErr w:type="spellEnd"/>
      <w:r>
        <w:rPr>
          <w:color w:val="231F20"/>
        </w:rPr>
        <w:t xml:space="preserve"> et de nouveaux </w:t>
      </w:r>
      <w:proofErr w:type="spellStart"/>
      <w:r>
        <w:rPr>
          <w:color w:val="231F20"/>
        </w:rPr>
        <w:t>développements</w:t>
      </w:r>
      <w:proofErr w:type="spellEnd"/>
      <w:r>
        <w:rPr>
          <w:color w:val="231F20"/>
        </w:rPr>
        <w:t xml:space="preserve"> </w:t>
      </w:r>
      <w:proofErr w:type="spellStart"/>
      <w:r>
        <w:rPr>
          <w:color w:val="231F20"/>
        </w:rPr>
        <w:t>industriels</w:t>
      </w:r>
      <w:proofErr w:type="spellEnd"/>
      <w:r>
        <w:rPr>
          <w:color w:val="231F20"/>
        </w:rPr>
        <w:t xml:space="preserve">. </w:t>
      </w:r>
      <w:proofErr w:type="spellStart"/>
      <w:r>
        <w:rPr>
          <w:color w:val="231F20"/>
        </w:rPr>
        <w:t>Ces</w:t>
      </w:r>
      <w:proofErr w:type="spellEnd"/>
      <w:r>
        <w:rPr>
          <w:color w:val="231F20"/>
        </w:rPr>
        <w:t xml:space="preserve"> </w:t>
      </w:r>
      <w:proofErr w:type="spellStart"/>
      <w:r>
        <w:rPr>
          <w:color w:val="231F20"/>
        </w:rPr>
        <w:t>règlements</w:t>
      </w:r>
      <w:proofErr w:type="spellEnd"/>
      <w:r>
        <w:rPr>
          <w:color w:val="231F20"/>
        </w:rPr>
        <w:t xml:space="preserve"> pour la protection du </w:t>
      </w:r>
      <w:proofErr w:type="spellStart"/>
      <w:r>
        <w:rPr>
          <w:color w:val="231F20"/>
        </w:rPr>
        <w:t>récif</w:t>
      </w:r>
      <w:proofErr w:type="spellEnd"/>
      <w:r>
        <w:rPr>
          <w:color w:val="231F20"/>
        </w:rPr>
        <w:t xml:space="preserve">, </w:t>
      </w:r>
      <w:proofErr w:type="spellStart"/>
      <w:r>
        <w:rPr>
          <w:color w:val="231F20"/>
        </w:rPr>
        <w:t>accompagnés</w:t>
      </w:r>
      <w:proofErr w:type="spellEnd"/>
      <w:r>
        <w:rPr>
          <w:color w:val="231F20"/>
        </w:rPr>
        <w:t xml:space="preserve"> </w:t>
      </w:r>
      <w:proofErr w:type="spellStart"/>
      <w:r>
        <w:rPr>
          <w:color w:val="231F20"/>
        </w:rPr>
        <w:t>d’autres</w:t>
      </w:r>
      <w:proofErr w:type="spellEnd"/>
      <w:r>
        <w:rPr>
          <w:color w:val="231F20"/>
        </w:rPr>
        <w:t xml:space="preserve"> </w:t>
      </w:r>
      <w:proofErr w:type="spellStart"/>
      <w:r>
        <w:rPr>
          <w:color w:val="231F20"/>
        </w:rPr>
        <w:t>mesures</w:t>
      </w:r>
      <w:proofErr w:type="spellEnd"/>
      <w:r>
        <w:rPr>
          <w:color w:val="231F20"/>
        </w:rPr>
        <w:t xml:space="preserve">, </w:t>
      </w:r>
      <w:proofErr w:type="spellStart"/>
      <w:r>
        <w:rPr>
          <w:color w:val="231F20"/>
        </w:rPr>
        <w:t>contrôlent</w:t>
      </w:r>
      <w:proofErr w:type="spellEnd"/>
      <w:r>
        <w:rPr>
          <w:color w:val="231F20"/>
        </w:rPr>
        <w:t xml:space="preserve"> les </w:t>
      </w:r>
      <w:proofErr w:type="spellStart"/>
      <w:r>
        <w:rPr>
          <w:color w:val="231F20"/>
        </w:rPr>
        <w:t>activités</w:t>
      </w:r>
      <w:proofErr w:type="spellEnd"/>
      <w:r>
        <w:rPr>
          <w:color w:val="231F20"/>
        </w:rPr>
        <w:t xml:space="preserve"> </w:t>
      </w:r>
      <w:proofErr w:type="spellStart"/>
      <w:r>
        <w:rPr>
          <w:color w:val="231F20"/>
        </w:rPr>
        <w:t>agricoles</w:t>
      </w:r>
      <w:proofErr w:type="spellEnd"/>
      <w:r>
        <w:rPr>
          <w:color w:val="231F20"/>
        </w:rPr>
        <w:t xml:space="preserve"> pour </w:t>
      </w:r>
      <w:proofErr w:type="spellStart"/>
      <w:r>
        <w:rPr>
          <w:color w:val="231F20"/>
        </w:rPr>
        <w:t>éviter</w:t>
      </w:r>
      <w:proofErr w:type="spellEnd"/>
      <w:r>
        <w:rPr>
          <w:color w:val="231F20"/>
        </w:rPr>
        <w:t xml:space="preserve"> </w:t>
      </w:r>
      <w:proofErr w:type="spellStart"/>
      <w:r>
        <w:rPr>
          <w:color w:val="231F20"/>
        </w:rPr>
        <w:t>l’utilisation</w:t>
      </w:r>
      <w:proofErr w:type="spellEnd"/>
      <w:r>
        <w:rPr>
          <w:color w:val="231F20"/>
        </w:rPr>
        <w:t xml:space="preserve"> excessive </w:t>
      </w:r>
      <w:proofErr w:type="spellStart"/>
      <w:r>
        <w:rPr>
          <w:color w:val="231F20"/>
        </w:rPr>
        <w:t>d’engrais</w:t>
      </w:r>
      <w:proofErr w:type="spellEnd"/>
      <w:r>
        <w:rPr>
          <w:color w:val="231F20"/>
        </w:rPr>
        <w:t xml:space="preserve"> et </w:t>
      </w:r>
      <w:proofErr w:type="spellStart"/>
      <w:r>
        <w:rPr>
          <w:color w:val="231F20"/>
        </w:rPr>
        <w:t>activement</w:t>
      </w:r>
      <w:proofErr w:type="spellEnd"/>
      <w:r>
        <w:rPr>
          <w:color w:val="231F20"/>
        </w:rPr>
        <w:t xml:space="preserve"> </w:t>
      </w:r>
      <w:proofErr w:type="spellStart"/>
      <w:r>
        <w:rPr>
          <w:color w:val="231F20"/>
        </w:rPr>
        <w:t>gérer</w:t>
      </w:r>
      <w:proofErr w:type="spellEnd"/>
      <w:r>
        <w:rPr>
          <w:color w:val="231F20"/>
        </w:rPr>
        <w:t xml:space="preserve"> les </w:t>
      </w:r>
      <w:proofErr w:type="spellStart"/>
      <w:r>
        <w:rPr>
          <w:color w:val="231F20"/>
        </w:rPr>
        <w:t>risques</w:t>
      </w:r>
      <w:proofErr w:type="spellEnd"/>
      <w:r>
        <w:rPr>
          <w:color w:val="231F20"/>
        </w:rPr>
        <w:t xml:space="preserve"> </w:t>
      </w:r>
      <w:proofErr w:type="spellStart"/>
      <w:r>
        <w:rPr>
          <w:color w:val="231F20"/>
        </w:rPr>
        <w:t>d’érosion</w:t>
      </w:r>
      <w:proofErr w:type="spellEnd"/>
      <w:r>
        <w:rPr>
          <w:color w:val="231F20"/>
        </w:rPr>
        <w:t xml:space="preserve"> dans </w:t>
      </w:r>
      <w:proofErr w:type="spellStart"/>
      <w:r>
        <w:rPr>
          <w:color w:val="231F20"/>
        </w:rPr>
        <w:t>tous</w:t>
      </w:r>
      <w:proofErr w:type="spellEnd"/>
      <w:r>
        <w:rPr>
          <w:color w:val="231F20"/>
        </w:rPr>
        <w:t xml:space="preserve"> les </w:t>
      </w:r>
      <w:proofErr w:type="spellStart"/>
      <w:r>
        <w:rPr>
          <w:color w:val="231F20"/>
        </w:rPr>
        <w:t>bassins</w:t>
      </w:r>
      <w:proofErr w:type="spellEnd"/>
      <w:r>
        <w:rPr>
          <w:color w:val="231F20"/>
        </w:rPr>
        <w:t xml:space="preserve"> du </w:t>
      </w:r>
      <w:proofErr w:type="spellStart"/>
      <w:r>
        <w:rPr>
          <w:color w:val="231F20"/>
        </w:rPr>
        <w:t>récif</w:t>
      </w:r>
      <w:proofErr w:type="spellEnd"/>
      <w:r>
        <w:rPr>
          <w:color w:val="231F20"/>
        </w:rPr>
        <w:t>.</w:t>
      </w:r>
    </w:p>
    <w:p w:rsidR="00D1511D" w:rsidRDefault="003F0CB3">
      <w:pPr>
        <w:pStyle w:val="BodyText"/>
        <w:spacing w:before="161" w:line="280" w:lineRule="auto"/>
        <w:ind w:left="1700" w:right="1467"/>
      </w:pPr>
      <w:proofErr w:type="spellStart"/>
      <w:r>
        <w:rPr>
          <w:color w:val="231F20"/>
        </w:rPr>
        <w:t>L’Australie</w:t>
      </w:r>
      <w:proofErr w:type="spellEnd"/>
      <w:r>
        <w:rPr>
          <w:color w:val="231F20"/>
        </w:rPr>
        <w:t xml:space="preserve"> </w:t>
      </w:r>
      <w:proofErr w:type="spellStart"/>
      <w:r>
        <w:rPr>
          <w:color w:val="231F20"/>
        </w:rPr>
        <w:t>s’engage</w:t>
      </w:r>
      <w:proofErr w:type="spellEnd"/>
      <w:r>
        <w:rPr>
          <w:color w:val="231F20"/>
        </w:rPr>
        <w:t xml:space="preserve"> </w:t>
      </w:r>
      <w:proofErr w:type="spellStart"/>
      <w:r>
        <w:rPr>
          <w:color w:val="231F20"/>
        </w:rPr>
        <w:t>également</w:t>
      </w:r>
      <w:proofErr w:type="spellEnd"/>
      <w:r>
        <w:rPr>
          <w:color w:val="231F20"/>
        </w:rPr>
        <w:t xml:space="preserve"> </w:t>
      </w:r>
      <w:proofErr w:type="spellStart"/>
      <w:r>
        <w:rPr>
          <w:color w:val="231F20"/>
        </w:rPr>
        <w:t>envers</w:t>
      </w:r>
      <w:proofErr w:type="spellEnd"/>
      <w:r>
        <w:rPr>
          <w:color w:val="231F20"/>
        </w:rPr>
        <w:t xml:space="preserve"> </w:t>
      </w:r>
      <w:proofErr w:type="spellStart"/>
      <w:r>
        <w:rPr>
          <w:color w:val="231F20"/>
        </w:rPr>
        <w:t>une</w:t>
      </w:r>
      <w:proofErr w:type="spellEnd"/>
      <w:r>
        <w:rPr>
          <w:color w:val="231F20"/>
        </w:rPr>
        <w:t xml:space="preserve"> surveillance et un </w:t>
      </w:r>
      <w:proofErr w:type="spellStart"/>
      <w:r>
        <w:rPr>
          <w:color w:val="231F20"/>
        </w:rPr>
        <w:t>suivi</w:t>
      </w:r>
      <w:proofErr w:type="spellEnd"/>
      <w:r>
        <w:rPr>
          <w:color w:val="231F20"/>
        </w:rPr>
        <w:t xml:space="preserve"> </w:t>
      </w:r>
      <w:proofErr w:type="spellStart"/>
      <w:r>
        <w:rPr>
          <w:color w:val="231F20"/>
        </w:rPr>
        <w:t>transparents</w:t>
      </w:r>
      <w:proofErr w:type="spellEnd"/>
      <w:r>
        <w:rPr>
          <w:color w:val="231F20"/>
        </w:rPr>
        <w:t xml:space="preserve"> </w:t>
      </w:r>
      <w:proofErr w:type="spellStart"/>
      <w:r>
        <w:rPr>
          <w:color w:val="231F20"/>
        </w:rPr>
        <w:t>gr</w:t>
      </w:r>
      <w:r>
        <w:rPr>
          <w:color w:val="231F20"/>
        </w:rPr>
        <w:t>âce</w:t>
      </w:r>
      <w:proofErr w:type="spellEnd"/>
      <w:r>
        <w:rPr>
          <w:color w:val="231F20"/>
        </w:rPr>
        <w:t xml:space="preserve"> à la publication du Rapport sur les perspectives de la Grande </w:t>
      </w:r>
      <w:proofErr w:type="spellStart"/>
      <w:r>
        <w:rPr>
          <w:color w:val="231F20"/>
        </w:rPr>
        <w:t>Barrière</w:t>
      </w:r>
      <w:proofErr w:type="spellEnd"/>
      <w:r>
        <w:rPr>
          <w:color w:val="231F20"/>
        </w:rPr>
        <w:t xml:space="preserve"> (</w:t>
      </w:r>
      <w:proofErr w:type="spellStart"/>
      <w:r>
        <w:rPr>
          <w:color w:val="231F20"/>
        </w:rPr>
        <w:t>exigé</w:t>
      </w:r>
      <w:proofErr w:type="spellEnd"/>
      <w:r>
        <w:rPr>
          <w:color w:val="231F20"/>
        </w:rPr>
        <w:t xml:space="preserve"> </w:t>
      </w:r>
      <w:proofErr w:type="spellStart"/>
      <w:r>
        <w:rPr>
          <w:color w:val="231F20"/>
        </w:rPr>
        <w:t>tous</w:t>
      </w:r>
      <w:proofErr w:type="spellEnd"/>
      <w:r>
        <w:rPr>
          <w:color w:val="231F20"/>
        </w:rPr>
        <w:t xml:space="preserve"> les cinq </w:t>
      </w:r>
      <w:proofErr w:type="spellStart"/>
      <w:r>
        <w:rPr>
          <w:color w:val="231F20"/>
        </w:rPr>
        <w:t>ans</w:t>
      </w:r>
      <w:proofErr w:type="spellEnd"/>
      <w:r>
        <w:rPr>
          <w:color w:val="231F20"/>
        </w:rPr>
        <w:t xml:space="preserve"> </w:t>
      </w:r>
      <w:proofErr w:type="spellStart"/>
      <w:r>
        <w:rPr>
          <w:color w:val="231F20"/>
        </w:rPr>
        <w:t>selon</w:t>
      </w:r>
      <w:proofErr w:type="spellEnd"/>
      <w:r>
        <w:rPr>
          <w:color w:val="231F20"/>
        </w:rPr>
        <w:t xml:space="preserve"> la </w:t>
      </w:r>
      <w:proofErr w:type="spellStart"/>
      <w:r>
        <w:rPr>
          <w:color w:val="231F20"/>
        </w:rPr>
        <w:t>Loi</w:t>
      </w:r>
      <w:proofErr w:type="spellEnd"/>
      <w:r>
        <w:rPr>
          <w:color w:val="231F20"/>
        </w:rPr>
        <w:t xml:space="preserve"> de 1975 sur le parc </w:t>
      </w:r>
      <w:proofErr w:type="spellStart"/>
      <w:r>
        <w:rPr>
          <w:color w:val="231F20"/>
        </w:rPr>
        <w:t>marin</w:t>
      </w:r>
      <w:proofErr w:type="spellEnd"/>
      <w:r>
        <w:rPr>
          <w:color w:val="231F20"/>
        </w:rPr>
        <w:t xml:space="preserve"> de la Grande </w:t>
      </w:r>
      <w:proofErr w:type="spellStart"/>
      <w:r>
        <w:rPr>
          <w:color w:val="231F20"/>
        </w:rPr>
        <w:t>Barrière</w:t>
      </w:r>
      <w:proofErr w:type="spellEnd"/>
      <w:r>
        <w:rPr>
          <w:color w:val="231F20"/>
        </w:rPr>
        <w:t xml:space="preserve"> (Great Barrier Reef Marine Park Act 1975)) et la </w:t>
      </w:r>
      <w:proofErr w:type="spellStart"/>
      <w:r>
        <w:rPr>
          <w:color w:val="231F20"/>
        </w:rPr>
        <w:t>Déclaration</w:t>
      </w:r>
      <w:proofErr w:type="spellEnd"/>
      <w:r>
        <w:rPr>
          <w:color w:val="231F20"/>
        </w:rPr>
        <w:t xml:space="preserve"> de consensus </w:t>
      </w:r>
      <w:proofErr w:type="spellStart"/>
      <w:r>
        <w:rPr>
          <w:color w:val="231F20"/>
        </w:rPr>
        <w:t>scientifique</w:t>
      </w:r>
      <w:proofErr w:type="spellEnd"/>
      <w:r>
        <w:rPr>
          <w:color w:val="231F20"/>
        </w:rPr>
        <w:t xml:space="preserve"> pour la </w:t>
      </w:r>
      <w:proofErr w:type="spellStart"/>
      <w:r>
        <w:rPr>
          <w:color w:val="231F20"/>
        </w:rPr>
        <w:t>qualité</w:t>
      </w:r>
      <w:proofErr w:type="spellEnd"/>
      <w:r>
        <w:rPr>
          <w:color w:val="231F20"/>
        </w:rPr>
        <w:t xml:space="preserve"> de </w:t>
      </w:r>
      <w:proofErr w:type="spellStart"/>
      <w:r>
        <w:rPr>
          <w:color w:val="231F20"/>
        </w:rPr>
        <w:t>l’eau</w:t>
      </w:r>
      <w:proofErr w:type="spellEnd"/>
      <w:r>
        <w:rPr>
          <w:color w:val="231F20"/>
        </w:rPr>
        <w:t xml:space="preserve"> (mise à jour </w:t>
      </w:r>
      <w:proofErr w:type="spellStart"/>
      <w:r>
        <w:rPr>
          <w:color w:val="231F20"/>
        </w:rPr>
        <w:t>tous</w:t>
      </w:r>
      <w:proofErr w:type="spellEnd"/>
      <w:r>
        <w:rPr>
          <w:color w:val="231F20"/>
        </w:rPr>
        <w:t xml:space="preserve"> les cinq </w:t>
      </w:r>
      <w:proofErr w:type="spellStart"/>
      <w:r>
        <w:rPr>
          <w:color w:val="231F20"/>
        </w:rPr>
        <w:t>ans</w:t>
      </w:r>
      <w:proofErr w:type="spellEnd"/>
      <w:r>
        <w:rPr>
          <w:color w:val="231F20"/>
        </w:rPr>
        <w:t xml:space="preserve">), les Fiches de </w:t>
      </w:r>
      <w:proofErr w:type="spellStart"/>
      <w:r>
        <w:rPr>
          <w:color w:val="231F20"/>
        </w:rPr>
        <w:t>résultat</w:t>
      </w:r>
      <w:proofErr w:type="spellEnd"/>
      <w:r>
        <w:rPr>
          <w:color w:val="231F20"/>
        </w:rPr>
        <w:t xml:space="preserve"> </w:t>
      </w:r>
      <w:proofErr w:type="spellStart"/>
      <w:r>
        <w:rPr>
          <w:color w:val="231F20"/>
        </w:rPr>
        <w:t>annuelles</w:t>
      </w:r>
      <w:proofErr w:type="spellEnd"/>
      <w:r>
        <w:rPr>
          <w:color w:val="231F20"/>
        </w:rPr>
        <w:t xml:space="preserve"> sur la </w:t>
      </w:r>
      <w:proofErr w:type="spellStart"/>
      <w:r>
        <w:rPr>
          <w:color w:val="231F20"/>
        </w:rPr>
        <w:t>qualité</w:t>
      </w:r>
      <w:proofErr w:type="spellEnd"/>
      <w:r>
        <w:rPr>
          <w:color w:val="231F20"/>
        </w:rPr>
        <w:t xml:space="preserve"> de </w:t>
      </w:r>
      <w:proofErr w:type="spellStart"/>
      <w:r>
        <w:rPr>
          <w:color w:val="231F20"/>
        </w:rPr>
        <w:t>l’eau</w:t>
      </w:r>
      <w:proofErr w:type="spellEnd"/>
      <w:r>
        <w:rPr>
          <w:color w:val="231F20"/>
        </w:rPr>
        <w:t xml:space="preserve"> dans le </w:t>
      </w:r>
      <w:proofErr w:type="spellStart"/>
      <w:r>
        <w:rPr>
          <w:color w:val="231F20"/>
        </w:rPr>
        <w:t>récif</w:t>
      </w:r>
      <w:proofErr w:type="spellEnd"/>
      <w:r>
        <w:rPr>
          <w:color w:val="231F20"/>
        </w:rPr>
        <w:t xml:space="preserve">, </w:t>
      </w:r>
      <w:proofErr w:type="spellStart"/>
      <w:r>
        <w:rPr>
          <w:color w:val="231F20"/>
        </w:rPr>
        <w:t>ainsi</w:t>
      </w:r>
      <w:proofErr w:type="spellEnd"/>
      <w:r>
        <w:rPr>
          <w:color w:val="231F20"/>
        </w:rPr>
        <w:t xml:space="preserve"> que par la mise </w:t>
      </w:r>
      <w:proofErr w:type="spellStart"/>
      <w:r>
        <w:rPr>
          <w:color w:val="231F20"/>
        </w:rPr>
        <w:t>en</w:t>
      </w:r>
      <w:proofErr w:type="spellEnd"/>
      <w:r>
        <w:rPr>
          <w:color w:val="231F20"/>
        </w:rPr>
        <w:t xml:space="preserve"> place du </w:t>
      </w:r>
      <w:proofErr w:type="spellStart"/>
      <w:r>
        <w:rPr>
          <w:color w:val="231F20"/>
        </w:rPr>
        <w:t>Programme</w:t>
      </w:r>
      <w:proofErr w:type="spellEnd"/>
      <w:r>
        <w:rPr>
          <w:color w:val="231F20"/>
        </w:rPr>
        <w:t xml:space="preserve"> </w:t>
      </w:r>
      <w:proofErr w:type="spellStart"/>
      <w:r>
        <w:rPr>
          <w:color w:val="231F20"/>
        </w:rPr>
        <w:t>intégré</w:t>
      </w:r>
      <w:proofErr w:type="spellEnd"/>
      <w:r>
        <w:rPr>
          <w:color w:val="231F20"/>
        </w:rPr>
        <w:t xml:space="preserve"> de surveillance et de </w:t>
      </w:r>
      <w:proofErr w:type="spellStart"/>
      <w:r>
        <w:rPr>
          <w:color w:val="231F20"/>
        </w:rPr>
        <w:t>suivi</w:t>
      </w:r>
      <w:proofErr w:type="spellEnd"/>
      <w:r>
        <w:rPr>
          <w:color w:val="231F20"/>
        </w:rPr>
        <w:t xml:space="preserve"> Reef 2050.</w:t>
      </w:r>
    </w:p>
    <w:p w:rsidR="00D1511D" w:rsidRDefault="003F0CB3">
      <w:pPr>
        <w:pStyle w:val="BodyText"/>
        <w:spacing w:before="167" w:line="280" w:lineRule="auto"/>
        <w:ind w:left="1700" w:right="2121"/>
      </w:pPr>
      <w:r>
        <w:rPr>
          <w:color w:val="231F20"/>
        </w:rPr>
        <w:t xml:space="preserve">Bien </w:t>
      </w:r>
      <w:proofErr w:type="spellStart"/>
      <w:r>
        <w:rPr>
          <w:color w:val="231F20"/>
        </w:rPr>
        <w:t>qu'il</w:t>
      </w:r>
      <w:proofErr w:type="spellEnd"/>
      <w:r>
        <w:rPr>
          <w:color w:val="231F20"/>
        </w:rPr>
        <w:t xml:space="preserve"> y </w:t>
      </w:r>
      <w:proofErr w:type="spellStart"/>
      <w:r>
        <w:rPr>
          <w:color w:val="231F20"/>
        </w:rPr>
        <w:t>ait</w:t>
      </w:r>
      <w:proofErr w:type="spellEnd"/>
      <w:r>
        <w:rPr>
          <w:color w:val="231F20"/>
        </w:rPr>
        <w:t xml:space="preserve"> </w:t>
      </w:r>
      <w:proofErr w:type="spellStart"/>
      <w:r>
        <w:rPr>
          <w:color w:val="231F20"/>
        </w:rPr>
        <w:t>eu</w:t>
      </w:r>
      <w:proofErr w:type="spellEnd"/>
      <w:r>
        <w:rPr>
          <w:color w:val="231F20"/>
        </w:rPr>
        <w:t xml:space="preserve"> des </w:t>
      </w:r>
      <w:proofErr w:type="spellStart"/>
      <w:r>
        <w:rPr>
          <w:color w:val="231F20"/>
        </w:rPr>
        <w:t>progrès</w:t>
      </w:r>
      <w:proofErr w:type="spellEnd"/>
      <w:r>
        <w:rPr>
          <w:color w:val="231F20"/>
        </w:rPr>
        <w:t xml:space="preserve"> </w:t>
      </w:r>
      <w:proofErr w:type="spellStart"/>
      <w:r>
        <w:rPr>
          <w:color w:val="231F20"/>
        </w:rPr>
        <w:t>significati</w:t>
      </w:r>
      <w:r>
        <w:rPr>
          <w:color w:val="231F20"/>
        </w:rPr>
        <w:t>fs</w:t>
      </w:r>
      <w:proofErr w:type="spellEnd"/>
      <w:r>
        <w:rPr>
          <w:color w:val="231F20"/>
        </w:rPr>
        <w:t xml:space="preserve"> dans la </w:t>
      </w:r>
      <w:proofErr w:type="spellStart"/>
      <w:r>
        <w:rPr>
          <w:color w:val="231F20"/>
        </w:rPr>
        <w:t>lutte</w:t>
      </w:r>
      <w:proofErr w:type="spellEnd"/>
      <w:r>
        <w:rPr>
          <w:color w:val="231F20"/>
        </w:rPr>
        <w:t xml:space="preserve"> </w:t>
      </w:r>
      <w:proofErr w:type="spellStart"/>
      <w:r>
        <w:rPr>
          <w:color w:val="231F20"/>
        </w:rPr>
        <w:t>contre</w:t>
      </w:r>
      <w:proofErr w:type="spellEnd"/>
      <w:r>
        <w:rPr>
          <w:color w:val="231F20"/>
        </w:rPr>
        <w:t xml:space="preserve"> les menaces et les pressions qui </w:t>
      </w:r>
      <w:proofErr w:type="spellStart"/>
      <w:r>
        <w:rPr>
          <w:color w:val="231F20"/>
        </w:rPr>
        <w:t>pèsent</w:t>
      </w:r>
      <w:proofErr w:type="spellEnd"/>
      <w:r>
        <w:rPr>
          <w:color w:val="231F20"/>
        </w:rPr>
        <w:t xml:space="preserve"> sur le </w:t>
      </w:r>
      <w:proofErr w:type="spellStart"/>
      <w:r>
        <w:rPr>
          <w:color w:val="231F20"/>
        </w:rPr>
        <w:t>récif</w:t>
      </w:r>
      <w:proofErr w:type="spellEnd"/>
      <w:r>
        <w:rPr>
          <w:color w:val="231F20"/>
        </w:rPr>
        <w:t xml:space="preserve">, </w:t>
      </w:r>
      <w:proofErr w:type="spellStart"/>
      <w:r>
        <w:rPr>
          <w:color w:val="231F20"/>
        </w:rPr>
        <w:t>l’Australie</w:t>
      </w:r>
      <w:proofErr w:type="spellEnd"/>
      <w:r>
        <w:rPr>
          <w:color w:val="231F20"/>
        </w:rPr>
        <w:t xml:space="preserve"> ne sous-</w:t>
      </w:r>
      <w:proofErr w:type="spellStart"/>
      <w:r>
        <w:rPr>
          <w:color w:val="231F20"/>
        </w:rPr>
        <w:t>estime</w:t>
      </w:r>
      <w:proofErr w:type="spellEnd"/>
      <w:r>
        <w:rPr>
          <w:color w:val="231F20"/>
        </w:rPr>
        <w:t xml:space="preserve"> pas </w:t>
      </w:r>
      <w:proofErr w:type="spellStart"/>
      <w:r>
        <w:rPr>
          <w:color w:val="231F20"/>
        </w:rPr>
        <w:t>l’ampleur</w:t>
      </w:r>
      <w:proofErr w:type="spellEnd"/>
      <w:r>
        <w:rPr>
          <w:color w:val="231F20"/>
        </w:rPr>
        <w:t xml:space="preserve"> des </w:t>
      </w:r>
      <w:proofErr w:type="spellStart"/>
      <w:r>
        <w:rPr>
          <w:color w:val="231F20"/>
        </w:rPr>
        <w:t>défis</w:t>
      </w:r>
      <w:proofErr w:type="spellEnd"/>
      <w:r>
        <w:rPr>
          <w:color w:val="231F20"/>
        </w:rPr>
        <w:t xml:space="preserve"> à </w:t>
      </w:r>
      <w:proofErr w:type="spellStart"/>
      <w:r>
        <w:rPr>
          <w:color w:val="231F20"/>
          <w:spacing w:val="-3"/>
        </w:rPr>
        <w:t>relever</w:t>
      </w:r>
      <w:proofErr w:type="spellEnd"/>
      <w:r>
        <w:rPr>
          <w:color w:val="231F20"/>
          <w:spacing w:val="-3"/>
        </w:rPr>
        <w:t xml:space="preserve">. </w:t>
      </w:r>
      <w:r>
        <w:rPr>
          <w:color w:val="231F20"/>
        </w:rPr>
        <w:t xml:space="preserve">Les </w:t>
      </w:r>
      <w:proofErr w:type="spellStart"/>
      <w:r>
        <w:rPr>
          <w:color w:val="231F20"/>
        </w:rPr>
        <w:t>gouvernements</w:t>
      </w:r>
      <w:proofErr w:type="spellEnd"/>
      <w:r>
        <w:rPr>
          <w:color w:val="231F20"/>
        </w:rPr>
        <w:t xml:space="preserve"> de </w:t>
      </w:r>
      <w:proofErr w:type="spellStart"/>
      <w:r>
        <w:rPr>
          <w:color w:val="231F20"/>
        </w:rPr>
        <w:t>l’Australie</w:t>
      </w:r>
      <w:proofErr w:type="spellEnd"/>
      <w:r>
        <w:rPr>
          <w:color w:val="231F20"/>
        </w:rPr>
        <w:t xml:space="preserve"> et </w:t>
      </w:r>
      <w:r>
        <w:rPr>
          <w:color w:val="231F20"/>
          <w:spacing w:val="-6"/>
        </w:rPr>
        <w:t>du</w:t>
      </w:r>
    </w:p>
    <w:p w:rsidR="00D1511D" w:rsidRDefault="003F0CB3">
      <w:pPr>
        <w:pStyle w:val="BodyText"/>
        <w:spacing w:line="280" w:lineRule="auto"/>
        <w:ind w:left="1700" w:right="1467"/>
      </w:pPr>
      <w:r>
        <w:rPr>
          <w:color w:val="231F20"/>
        </w:rPr>
        <w:t xml:space="preserve">Queensland </w:t>
      </w:r>
      <w:proofErr w:type="spellStart"/>
      <w:r>
        <w:rPr>
          <w:color w:val="231F20"/>
        </w:rPr>
        <w:t>continueront</w:t>
      </w:r>
      <w:proofErr w:type="spellEnd"/>
      <w:r>
        <w:rPr>
          <w:color w:val="231F20"/>
        </w:rPr>
        <w:t xml:space="preserve"> de faire face à </w:t>
      </w:r>
      <w:proofErr w:type="spellStart"/>
      <w:r>
        <w:rPr>
          <w:color w:val="231F20"/>
        </w:rPr>
        <w:t>l’ensemble</w:t>
      </w:r>
      <w:proofErr w:type="spellEnd"/>
      <w:r>
        <w:rPr>
          <w:color w:val="231F20"/>
        </w:rPr>
        <w:t xml:space="preserve"> de </w:t>
      </w:r>
      <w:proofErr w:type="spellStart"/>
      <w:r>
        <w:rPr>
          <w:color w:val="231F20"/>
        </w:rPr>
        <w:t>ces</w:t>
      </w:r>
      <w:proofErr w:type="spellEnd"/>
      <w:r>
        <w:rPr>
          <w:color w:val="231F20"/>
        </w:rPr>
        <w:t xml:space="preserve"> </w:t>
      </w:r>
      <w:proofErr w:type="spellStart"/>
      <w:r>
        <w:rPr>
          <w:color w:val="231F20"/>
        </w:rPr>
        <w:t>défis</w:t>
      </w:r>
      <w:proofErr w:type="spellEnd"/>
      <w:r>
        <w:rPr>
          <w:color w:val="231F20"/>
        </w:rPr>
        <w:t xml:space="preserve"> et pressions </w:t>
      </w:r>
      <w:proofErr w:type="spellStart"/>
      <w:r>
        <w:rPr>
          <w:color w:val="231F20"/>
        </w:rPr>
        <w:t>afin</w:t>
      </w:r>
      <w:proofErr w:type="spellEnd"/>
      <w:r>
        <w:rPr>
          <w:color w:val="231F20"/>
        </w:rPr>
        <w:t xml:space="preserve"> de </w:t>
      </w:r>
      <w:proofErr w:type="spellStart"/>
      <w:r>
        <w:rPr>
          <w:color w:val="231F20"/>
        </w:rPr>
        <w:t>préserver</w:t>
      </w:r>
      <w:proofErr w:type="spellEnd"/>
      <w:r>
        <w:rPr>
          <w:color w:val="231F20"/>
        </w:rPr>
        <w:t xml:space="preserve"> la </w:t>
      </w:r>
      <w:proofErr w:type="spellStart"/>
      <w:r>
        <w:rPr>
          <w:color w:val="231F20"/>
        </w:rPr>
        <w:t>Valeur</w:t>
      </w:r>
      <w:proofErr w:type="spellEnd"/>
      <w:r>
        <w:rPr>
          <w:color w:val="231F20"/>
        </w:rPr>
        <w:t xml:space="preserve"> </w:t>
      </w:r>
      <w:proofErr w:type="spellStart"/>
      <w:r>
        <w:rPr>
          <w:color w:val="231F20"/>
        </w:rPr>
        <w:t>universelle</w:t>
      </w:r>
      <w:proofErr w:type="spellEnd"/>
      <w:r>
        <w:rPr>
          <w:color w:val="231F20"/>
        </w:rPr>
        <w:t xml:space="preserve"> </w:t>
      </w:r>
      <w:proofErr w:type="spellStart"/>
      <w:r>
        <w:rPr>
          <w:color w:val="231F20"/>
        </w:rPr>
        <w:t>exceptionnelle</w:t>
      </w:r>
      <w:proofErr w:type="spellEnd"/>
      <w:r>
        <w:rPr>
          <w:color w:val="231F20"/>
        </w:rPr>
        <w:t xml:space="preserve"> de la zone de </w:t>
      </w:r>
      <w:proofErr w:type="spellStart"/>
      <w:r>
        <w:rPr>
          <w:color w:val="231F20"/>
        </w:rPr>
        <w:t>patrimoine</w:t>
      </w:r>
      <w:proofErr w:type="spellEnd"/>
      <w:r>
        <w:rPr>
          <w:color w:val="231F20"/>
        </w:rPr>
        <w:t xml:space="preserve"> </w:t>
      </w:r>
      <w:proofErr w:type="spellStart"/>
      <w:r>
        <w:rPr>
          <w:color w:val="231F20"/>
        </w:rPr>
        <w:t>mondial</w:t>
      </w:r>
      <w:proofErr w:type="spellEnd"/>
      <w:r>
        <w:rPr>
          <w:color w:val="231F20"/>
        </w:rPr>
        <w:t xml:space="preserve"> de la Grande </w:t>
      </w:r>
      <w:proofErr w:type="spellStart"/>
      <w:r>
        <w:rPr>
          <w:color w:val="231F20"/>
        </w:rPr>
        <w:t>Barrière</w:t>
      </w:r>
      <w:proofErr w:type="spellEnd"/>
      <w:r>
        <w:rPr>
          <w:color w:val="231F20"/>
        </w:rPr>
        <w:t>.</w:t>
      </w: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spacing w:before="3"/>
        <w:rPr>
          <w:sz w:val="29"/>
        </w:rPr>
      </w:pPr>
    </w:p>
    <w:p w:rsidR="00D1511D" w:rsidRDefault="003F0CB3">
      <w:pPr>
        <w:ind w:left="1417"/>
        <w:rPr>
          <w:rFonts w:ascii="Myriad Pro"/>
          <w:sz w:val="16"/>
        </w:rPr>
      </w:pPr>
      <w:r>
        <w:rPr>
          <w:rFonts w:ascii="Myriad Pro"/>
          <w:color w:val="231F20"/>
          <w:sz w:val="16"/>
        </w:rPr>
        <w:t xml:space="preserve">6 / </w:t>
      </w:r>
      <w:r>
        <w:rPr>
          <w:rFonts w:ascii="Myriad Pro"/>
          <w:color w:val="005695"/>
          <w:sz w:val="16"/>
        </w:rPr>
        <w:t xml:space="preserve">State Party Report on the state of conservation of the </w:t>
      </w:r>
      <w:r>
        <w:rPr>
          <w:rFonts w:ascii="Myriad Pro"/>
          <w:b/>
          <w:color w:val="005695"/>
          <w:sz w:val="16"/>
        </w:rPr>
        <w:t xml:space="preserve">Great Barrier Reef World Heritage Area (Australia) </w:t>
      </w:r>
      <w:r>
        <w:rPr>
          <w:rFonts w:ascii="Myriad Pro"/>
          <w:color w:val="005695"/>
          <w:sz w:val="16"/>
        </w:rPr>
        <w:t>2019</w:t>
      </w:r>
    </w:p>
    <w:p w:rsidR="00D1511D" w:rsidRDefault="00D1511D">
      <w:pPr>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1"/>
        <w:rPr>
          <w:rFonts w:ascii="Myriad Pro"/>
          <w:sz w:val="15"/>
        </w:rPr>
      </w:pPr>
    </w:p>
    <w:p w:rsidR="00D1511D" w:rsidRDefault="003F0CB3">
      <w:pPr>
        <w:pStyle w:val="Heading1"/>
        <w:numPr>
          <w:ilvl w:val="0"/>
          <w:numId w:val="15"/>
        </w:numPr>
        <w:tabs>
          <w:tab w:val="left" w:pos="2420"/>
          <w:tab w:val="left" w:pos="2421"/>
        </w:tabs>
        <w:ind w:left="2420" w:hanging="721"/>
      </w:pPr>
      <w:r>
        <w:rPr>
          <w:color w:val="005695"/>
          <w:spacing w:val="-6"/>
        </w:rPr>
        <w:t xml:space="preserve">Introduction </w:t>
      </w:r>
      <w:r>
        <w:rPr>
          <w:color w:val="005695"/>
          <w:spacing w:val="-5"/>
        </w:rPr>
        <w:t>and</w:t>
      </w:r>
      <w:r>
        <w:rPr>
          <w:color w:val="005695"/>
          <w:spacing w:val="6"/>
        </w:rPr>
        <w:t xml:space="preserve"> </w:t>
      </w:r>
      <w:r>
        <w:rPr>
          <w:color w:val="005695"/>
          <w:spacing w:val="-5"/>
        </w:rPr>
        <w:t>context</w:t>
      </w:r>
    </w:p>
    <w:p w:rsidR="00D1511D" w:rsidRDefault="003F0CB3">
      <w:pPr>
        <w:pStyle w:val="BodyText"/>
        <w:spacing w:before="135" w:line="280" w:lineRule="auto"/>
        <w:ind w:left="1700" w:right="1418"/>
      </w:pPr>
      <w:r>
        <w:rPr>
          <w:color w:val="231F20"/>
        </w:rPr>
        <w:t>This State Party Report demonstrates the continued commitment of Australia to manage and protect the Outstanding Universal Value (OUV) of the Great Barrier Reef World Heritage Area (the Reef). It focuses on progress made since the most recent State Party R</w:t>
      </w:r>
      <w:r>
        <w:rPr>
          <w:color w:val="231F20"/>
        </w:rPr>
        <w:t xml:space="preserve">eport was considered in 2015 and builds on the </w:t>
      </w:r>
      <w:hyperlink r:id="rId16">
        <w:r>
          <w:rPr>
            <w:i/>
            <w:color w:val="1B5BAA"/>
            <w:u w:val="single" w:color="1B5BAA"/>
          </w:rPr>
          <w:t>Reef 2050 Plan</w:t>
        </w:r>
      </w:hyperlink>
      <w:r>
        <w:rPr>
          <w:i/>
          <w:color w:val="1B5BAA"/>
        </w:rPr>
        <w:t xml:space="preserve"> </w:t>
      </w:r>
      <w:hyperlink r:id="rId17">
        <w:r>
          <w:rPr>
            <w:i/>
            <w:color w:val="1B5BAA"/>
            <w:u w:val="single" w:color="1B5BAA"/>
          </w:rPr>
          <w:t>Update on Progress</w:t>
        </w:r>
      </w:hyperlink>
      <w:r>
        <w:rPr>
          <w:color w:val="231F20"/>
        </w:rPr>
        <w:t xml:space="preserve">, which reported on early implementation of the </w:t>
      </w:r>
      <w:hyperlink r:id="rId18">
        <w:r>
          <w:rPr>
            <w:i/>
            <w:color w:val="1B5BAA"/>
            <w:u w:val="single" w:color="1B5BAA"/>
          </w:rPr>
          <w:t>Reef 2050 Long-Term Sustainability Plan</w:t>
        </w:r>
        <w:r>
          <w:rPr>
            <w:i/>
            <w:color w:val="1B5BAA"/>
          </w:rPr>
          <w:t xml:space="preserve"> </w:t>
        </w:r>
      </w:hyperlink>
      <w:r>
        <w:rPr>
          <w:color w:val="231F20"/>
        </w:rPr>
        <w:t>(Reef 205</w:t>
      </w:r>
      <w:r>
        <w:rPr>
          <w:color w:val="231F20"/>
        </w:rPr>
        <w:t>0 Plan) and was received positively by the World Heritage Committee (the Committee) at its meeting in Krakow, Poland, in July 2017.</w:t>
      </w:r>
    </w:p>
    <w:p w:rsidR="00D1511D" w:rsidRDefault="003F0CB3">
      <w:pPr>
        <w:pStyle w:val="BodyText"/>
        <w:spacing w:before="166" w:line="280" w:lineRule="auto"/>
        <w:ind w:left="1700" w:right="1759"/>
      </w:pPr>
      <w:r>
        <w:rPr>
          <w:color w:val="231F20"/>
        </w:rPr>
        <w:t xml:space="preserve">Australia has a strong history of working closely with the Committee to protect the Reef World Heritage Area. Continuous engagement with the Committee and its technical advisers over the past decade has yielded significant improvement in the management of </w:t>
      </w:r>
      <w:r>
        <w:rPr>
          <w:color w:val="231F20"/>
        </w:rPr>
        <w:t>the Reef, backed by legislation and increased investment and founded on scientific evidence. This will continue.</w:t>
      </w:r>
    </w:p>
    <w:p w:rsidR="00D1511D" w:rsidRDefault="003F0CB3">
      <w:pPr>
        <w:pStyle w:val="BodyText"/>
        <w:spacing w:before="166" w:line="280" w:lineRule="auto"/>
        <w:ind w:left="1700" w:right="1826"/>
        <w:jc w:val="both"/>
      </w:pPr>
      <w:r>
        <w:rPr>
          <w:color w:val="231F20"/>
        </w:rPr>
        <w:t xml:space="preserve">As the custodian of this </w:t>
      </w:r>
      <w:r>
        <w:rPr>
          <w:color w:val="231F20"/>
          <w:spacing w:val="-4"/>
        </w:rPr>
        <w:t xml:space="preserve">World </w:t>
      </w:r>
      <w:r>
        <w:rPr>
          <w:color w:val="231F20"/>
        </w:rPr>
        <w:t xml:space="preserve">Heritage icon, Australia understands and willingly accepts its responsibility </w:t>
      </w:r>
      <w:r>
        <w:rPr>
          <w:color w:val="231F20"/>
          <w:spacing w:val="-7"/>
        </w:rPr>
        <w:t xml:space="preserve">to </w:t>
      </w:r>
      <w:r>
        <w:rPr>
          <w:color w:val="231F20"/>
        </w:rPr>
        <w:t>protect and sustain the Reef. A</w:t>
      </w:r>
      <w:r>
        <w:rPr>
          <w:color w:val="231F20"/>
        </w:rPr>
        <w:t>ustralia has accelerated efforts for the effective and sustained protection of the Reef’s OUV and is diligently addressing all decisions of the Committee through implementation of the Reef 2050 Plan.</w:t>
      </w:r>
    </w:p>
    <w:p w:rsidR="00D1511D" w:rsidRDefault="003F0CB3">
      <w:pPr>
        <w:pStyle w:val="BodyText"/>
        <w:spacing w:before="167" w:line="280" w:lineRule="auto"/>
        <w:ind w:left="1700" w:right="1359"/>
      </w:pPr>
      <w:r>
        <w:rPr>
          <w:color w:val="231F20"/>
        </w:rPr>
        <w:t>We understand that the Reef is an icon under pressure wi</w:t>
      </w:r>
      <w:r>
        <w:rPr>
          <w:color w:val="231F20"/>
        </w:rPr>
        <w:t>th a deteriorating long-term outlook. We know that concerted action is needed on multiple fronts to address the key threats it faces – and we are acting. Climate change, poor water quality caused primarily by land-based run off, coastal development and som</w:t>
      </w:r>
      <w:r>
        <w:rPr>
          <w:color w:val="231F20"/>
        </w:rPr>
        <w:t>e aspects of direct human use such as illegal fishing are the primary threats. Among them, climate change is the most significant and can only be addressed by effective global action under the Paris Agreement. Australia has committed to reduce greenhouse g</w:t>
      </w:r>
      <w:r>
        <w:rPr>
          <w:color w:val="231F20"/>
        </w:rPr>
        <w:t>as emissions by 26-28 per cent below 2005 levels by 2030. We are joined with other signatories</w:t>
      </w:r>
    </w:p>
    <w:p w:rsidR="00D1511D" w:rsidRDefault="003F0CB3">
      <w:pPr>
        <w:pStyle w:val="BodyText"/>
        <w:spacing w:line="280" w:lineRule="auto"/>
        <w:ind w:left="1700" w:right="1627"/>
      </w:pPr>
      <w:r>
        <w:rPr>
          <w:color w:val="231F20"/>
        </w:rPr>
        <w:t>to the Paris Agreement in striving to keep global average surface temperature increases to well below 2°C above pre-industrial levels and to pursue efforts to li</w:t>
      </w:r>
      <w:r>
        <w:rPr>
          <w:color w:val="231F20"/>
        </w:rPr>
        <w:t>mit the temperature increase to 1.5°C. The target of limiting the temperature increase to 1.5°C is widely cited as a critical threshold for the Reef.</w:t>
      </w:r>
    </w:p>
    <w:p w:rsidR="00D1511D" w:rsidRDefault="003F0CB3">
      <w:pPr>
        <w:pStyle w:val="BodyText"/>
        <w:spacing w:before="163" w:line="280" w:lineRule="auto"/>
        <w:ind w:left="1700" w:right="1681"/>
      </w:pPr>
      <w:r>
        <w:rPr>
          <w:color w:val="231F20"/>
        </w:rPr>
        <w:t>The Reef is greatly valued by people across Australia and around the world. The Reef is an important econo</w:t>
      </w:r>
      <w:r>
        <w:rPr>
          <w:color w:val="231F20"/>
        </w:rPr>
        <w:t>mic asset, providing jobs for the people who live in its catchment and supporting diverse and sustainable</w:t>
      </w:r>
    </w:p>
    <w:p w:rsidR="00D1511D" w:rsidRDefault="003F0CB3">
      <w:pPr>
        <w:pStyle w:val="BodyText"/>
        <w:spacing w:line="280" w:lineRule="auto"/>
        <w:ind w:left="1700" w:right="1496"/>
      </w:pPr>
      <w:r>
        <w:rPr>
          <w:color w:val="231F20"/>
        </w:rPr>
        <w:t>communities. The Reef is estimated to generate 64,000 jobs and annual income of $6.4 billion</w:t>
      </w:r>
      <w:r>
        <w:rPr>
          <w:color w:val="231F20"/>
          <w:position w:val="7"/>
          <w:sz w:val="11"/>
        </w:rPr>
        <w:t xml:space="preserve">1 </w:t>
      </w:r>
      <w:r>
        <w:rPr>
          <w:color w:val="231F20"/>
        </w:rPr>
        <w:t>to the Australian economy, most of this from tourism.</w:t>
      </w:r>
    </w:p>
    <w:p w:rsidR="00D1511D" w:rsidRDefault="003F0CB3">
      <w:pPr>
        <w:pStyle w:val="BodyText"/>
        <w:spacing w:before="167" w:line="280" w:lineRule="auto"/>
        <w:ind w:left="1700" w:right="1585"/>
      </w:pPr>
      <w:r>
        <w:rPr>
          <w:color w:val="231F20"/>
        </w:rPr>
        <w:t xml:space="preserve">Aboriginal and </w:t>
      </w:r>
      <w:r>
        <w:rPr>
          <w:color w:val="231F20"/>
          <w:spacing w:val="-5"/>
        </w:rPr>
        <w:t xml:space="preserve">Torres </w:t>
      </w:r>
      <w:r>
        <w:rPr>
          <w:color w:val="231F20"/>
        </w:rPr>
        <w:t xml:space="preserve">Strait Islander peoples are the </w:t>
      </w:r>
      <w:r>
        <w:rPr>
          <w:color w:val="231F20"/>
          <w:spacing w:val="-3"/>
        </w:rPr>
        <w:t xml:space="preserve">Traditional </w:t>
      </w:r>
      <w:r>
        <w:rPr>
          <w:color w:val="231F20"/>
        </w:rPr>
        <w:t xml:space="preserve">Owners of the Reef area and have a continuing connection to their land and sea country. The Reef is of great significance to its </w:t>
      </w:r>
      <w:r>
        <w:rPr>
          <w:color w:val="231F20"/>
          <w:spacing w:val="-3"/>
        </w:rPr>
        <w:t xml:space="preserve">Traditional </w:t>
      </w:r>
      <w:r>
        <w:rPr>
          <w:color w:val="231F20"/>
        </w:rPr>
        <w:t>Owners and is fundamental to their cultural, econ</w:t>
      </w:r>
      <w:r>
        <w:rPr>
          <w:color w:val="231F20"/>
        </w:rPr>
        <w:t>omic and social wellbeing.</w:t>
      </w:r>
    </w:p>
    <w:p w:rsidR="00D1511D" w:rsidRDefault="00D1511D">
      <w:pPr>
        <w:pStyle w:val="BodyText"/>
      </w:pPr>
    </w:p>
    <w:p w:rsidR="00D1511D" w:rsidRDefault="00D1511D">
      <w:pPr>
        <w:pStyle w:val="BodyText"/>
      </w:pPr>
    </w:p>
    <w:p w:rsidR="00D1511D" w:rsidRDefault="00D1511D">
      <w:pPr>
        <w:pStyle w:val="BodyText"/>
      </w:pPr>
    </w:p>
    <w:p w:rsidR="00D1511D" w:rsidRDefault="00D1511D">
      <w:pPr>
        <w:pStyle w:val="BodyText"/>
      </w:pPr>
    </w:p>
    <w:p w:rsidR="00D1511D" w:rsidRDefault="00D1511D">
      <w:pPr>
        <w:pStyle w:val="BodyText"/>
      </w:pPr>
    </w:p>
    <w:p w:rsidR="00D1511D" w:rsidRDefault="00D1511D">
      <w:pPr>
        <w:pStyle w:val="BodyText"/>
      </w:pPr>
    </w:p>
    <w:p w:rsidR="00D1511D" w:rsidRDefault="00D1511D">
      <w:pPr>
        <w:pStyle w:val="BodyText"/>
      </w:pPr>
    </w:p>
    <w:p w:rsidR="00D1511D" w:rsidRDefault="00D1511D">
      <w:pPr>
        <w:pStyle w:val="BodyText"/>
      </w:pPr>
    </w:p>
    <w:p w:rsidR="00D1511D" w:rsidRDefault="00D1511D">
      <w:pPr>
        <w:pStyle w:val="BodyText"/>
      </w:pPr>
    </w:p>
    <w:p w:rsidR="00D1511D" w:rsidRDefault="00D1511D">
      <w:pPr>
        <w:pStyle w:val="BodyText"/>
      </w:pPr>
    </w:p>
    <w:p w:rsidR="00D1511D" w:rsidRDefault="00D1511D">
      <w:pPr>
        <w:pStyle w:val="BodyText"/>
      </w:pPr>
    </w:p>
    <w:p w:rsidR="00D1511D" w:rsidRDefault="00D1511D">
      <w:pPr>
        <w:pStyle w:val="BodyText"/>
      </w:pPr>
    </w:p>
    <w:p w:rsidR="00D1511D" w:rsidRDefault="003F0CB3">
      <w:pPr>
        <w:pStyle w:val="BodyText"/>
        <w:spacing w:before="7"/>
        <w:rPr>
          <w:sz w:val="29"/>
        </w:rPr>
      </w:pPr>
      <w:r>
        <w:pict>
          <v:shape id="_x0000_s1319" alt="" style="position:absolute;margin-left:85.05pt;margin-top:20pt;width:124.75pt;height:.1pt;z-index:-251651072;mso-wrap-edited:f;mso-width-percent:0;mso-height-percent:0;mso-wrap-distance-left:0;mso-wrap-distance-right:0;mso-position-horizontal-relative:page;mso-width-percent:0;mso-height-percent:0" coordsize="2495,1270" path="m,l2494,e" filled="f" strokecolor="#231f20" strokeweight=".5pt">
            <v:path arrowok="t" o:connecttype="custom" o:connectlocs="0,0;1583690,0" o:connectangles="0,0"/>
            <w10:wrap type="topAndBottom" anchorx="page"/>
          </v:shape>
        </w:pict>
      </w:r>
    </w:p>
    <w:p w:rsidR="00D1511D" w:rsidRDefault="003F0CB3">
      <w:pPr>
        <w:spacing w:before="66"/>
        <w:ind w:left="1700"/>
        <w:rPr>
          <w:sz w:val="16"/>
        </w:rPr>
      </w:pPr>
      <w:r>
        <w:rPr>
          <w:color w:val="231F20"/>
          <w:sz w:val="16"/>
        </w:rPr>
        <w:t>1 All references to dollar values within this report are for Australian dollars</w:t>
      </w:r>
    </w:p>
    <w:p w:rsidR="00D1511D" w:rsidRDefault="00D1511D">
      <w:pPr>
        <w:pStyle w:val="BodyText"/>
      </w:pPr>
    </w:p>
    <w:p w:rsidR="00D1511D" w:rsidRDefault="00D1511D">
      <w:pPr>
        <w:pStyle w:val="BodyText"/>
      </w:pPr>
    </w:p>
    <w:p w:rsidR="00D1511D" w:rsidRDefault="00D1511D">
      <w:pPr>
        <w:pStyle w:val="BodyText"/>
        <w:spacing w:before="6"/>
        <w:rPr>
          <w:sz w:val="21"/>
        </w:rPr>
      </w:pPr>
    </w:p>
    <w:p w:rsidR="00D1511D" w:rsidRDefault="003F0CB3">
      <w:pPr>
        <w:spacing w:before="101"/>
        <w:ind w:right="1415"/>
        <w:jc w:val="right"/>
        <w:rPr>
          <w:rFonts w:ascii="Myriad Pro"/>
          <w:sz w:val="16"/>
        </w:rPr>
      </w:pPr>
      <w:r>
        <w:rPr>
          <w:rFonts w:ascii="Myriad Pro"/>
          <w:color w:val="231F20"/>
          <w:sz w:val="16"/>
        </w:rPr>
        <w:t>7</w:t>
      </w:r>
    </w:p>
    <w:p w:rsidR="00D1511D" w:rsidRDefault="00D1511D">
      <w:pPr>
        <w:jc w:val="right"/>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11"/>
        <w:rPr>
          <w:rFonts w:ascii="Myriad Pro"/>
          <w:sz w:val="17"/>
        </w:rPr>
      </w:pPr>
    </w:p>
    <w:p w:rsidR="00D1511D" w:rsidRDefault="003F0CB3">
      <w:pPr>
        <w:pStyle w:val="Heading2"/>
        <w:numPr>
          <w:ilvl w:val="1"/>
          <w:numId w:val="15"/>
        </w:numPr>
        <w:tabs>
          <w:tab w:val="left" w:pos="2381"/>
          <w:tab w:val="left" w:pos="2382"/>
        </w:tabs>
        <w:spacing w:before="107"/>
        <w:ind w:hanging="682"/>
      </w:pPr>
      <w:r>
        <w:rPr>
          <w:color w:val="005695"/>
        </w:rPr>
        <w:t xml:space="preserve">The Great </w:t>
      </w:r>
      <w:r>
        <w:rPr>
          <w:color w:val="005695"/>
          <w:spacing w:val="-3"/>
        </w:rPr>
        <w:t xml:space="preserve">Barrier </w:t>
      </w:r>
      <w:r>
        <w:rPr>
          <w:color w:val="005695"/>
        </w:rPr>
        <w:t xml:space="preserve">Reef </w:t>
      </w:r>
      <w:r>
        <w:rPr>
          <w:color w:val="005695"/>
          <w:spacing w:val="-4"/>
        </w:rPr>
        <w:t xml:space="preserve">World </w:t>
      </w:r>
      <w:r>
        <w:rPr>
          <w:color w:val="005695"/>
        </w:rPr>
        <w:t>Heritage</w:t>
      </w:r>
      <w:r>
        <w:rPr>
          <w:color w:val="005695"/>
          <w:spacing w:val="4"/>
        </w:rPr>
        <w:t xml:space="preserve"> </w:t>
      </w:r>
      <w:r>
        <w:rPr>
          <w:color w:val="005695"/>
          <w:spacing w:val="-3"/>
        </w:rPr>
        <w:t>Area</w:t>
      </w:r>
    </w:p>
    <w:p w:rsidR="00D1511D" w:rsidRDefault="003F0CB3">
      <w:pPr>
        <w:pStyle w:val="BodyText"/>
        <w:spacing w:before="185" w:line="280" w:lineRule="auto"/>
        <w:ind w:left="1700" w:right="1442"/>
      </w:pPr>
      <w:r>
        <w:rPr>
          <w:color w:val="231F20"/>
        </w:rPr>
        <w:t>The Reef is an iconic World Heritage property that contains about 10 per cent of the world's coral reefs, making it the world’s largest coral reef ecosystem. It is one of the best known and most complex natural systems on earth, containing a unique range o</w:t>
      </w:r>
      <w:r>
        <w:rPr>
          <w:color w:val="231F20"/>
        </w:rPr>
        <w:t>f ecological communities, habitats and species. The World Heritage Area covers 34,870,000 hectares, or more than 348,000 km</w:t>
      </w:r>
      <w:r>
        <w:rPr>
          <w:color w:val="231F20"/>
          <w:position w:val="7"/>
          <w:sz w:val="11"/>
        </w:rPr>
        <w:t>2</w:t>
      </w:r>
      <w:r>
        <w:rPr>
          <w:color w:val="231F20"/>
        </w:rPr>
        <w:t>, which is approximately the same area as Japan, Germany or Malaysia (see map in Appendix A).</w:t>
      </w:r>
    </w:p>
    <w:p w:rsidR="00D1511D" w:rsidRDefault="003F0CB3">
      <w:pPr>
        <w:pStyle w:val="BodyText"/>
        <w:spacing w:before="166" w:line="280" w:lineRule="auto"/>
        <w:ind w:left="1700" w:right="1428"/>
      </w:pPr>
      <w:r>
        <w:rPr>
          <w:color w:val="231F20"/>
        </w:rPr>
        <w:t xml:space="preserve">As a whole, the property is a diverse </w:t>
      </w:r>
      <w:r>
        <w:rPr>
          <w:color w:val="231F20"/>
        </w:rPr>
        <w:t xml:space="preserve">patchwork of habitats supporting thousands of species. </w:t>
      </w:r>
      <w:r>
        <w:rPr>
          <w:color w:val="231F20"/>
          <w:spacing w:val="-3"/>
        </w:rPr>
        <w:t xml:space="preserve">It </w:t>
      </w:r>
      <w:r>
        <w:rPr>
          <w:color w:val="231F20"/>
        </w:rPr>
        <w:t>is home to abundant animal life including bony fishes, sharks and rays, marine mammals, marine reptiles, seabirds and a wide variety of invertebrates. When describing the property, it is important t</w:t>
      </w:r>
      <w:r>
        <w:rPr>
          <w:color w:val="231F20"/>
        </w:rPr>
        <w:t xml:space="preserve">o understand it is more than just coral reefs, which comprise only about seven per cent of the </w:t>
      </w:r>
      <w:r>
        <w:rPr>
          <w:color w:val="231F20"/>
          <w:spacing w:val="-4"/>
        </w:rPr>
        <w:t xml:space="preserve">World </w:t>
      </w:r>
      <w:r>
        <w:rPr>
          <w:color w:val="231F20"/>
        </w:rPr>
        <w:t xml:space="preserve">Heritage Area. The property contains a </w:t>
      </w:r>
      <w:r>
        <w:rPr>
          <w:color w:val="231F20"/>
          <w:spacing w:val="-3"/>
        </w:rPr>
        <w:t xml:space="preserve">diverse </w:t>
      </w:r>
      <w:r>
        <w:rPr>
          <w:color w:val="231F20"/>
        </w:rPr>
        <w:t>array of spectacular non-reef habitats. These range from shallow estuarine areas with seagrass beds, mangrov</w:t>
      </w:r>
      <w:r>
        <w:rPr>
          <w:color w:val="231F20"/>
        </w:rPr>
        <w:t>es</w:t>
      </w:r>
    </w:p>
    <w:p w:rsidR="00D1511D" w:rsidRDefault="003F0CB3">
      <w:pPr>
        <w:pStyle w:val="BodyText"/>
        <w:spacing w:line="280" w:lineRule="auto"/>
        <w:ind w:left="1700" w:right="1585"/>
      </w:pPr>
      <w:r>
        <w:rPr>
          <w:color w:val="231F20"/>
        </w:rPr>
        <w:t>and sponge gardens, to deep oceanic areas more than 250 km offshore. The lagoon floor habitat that surrounds and connects reefs and islands covers approximately 61 per cent of the property’s footprint. Beaches, cays and vegetated islands provide habitat</w:t>
      </w:r>
      <w:r>
        <w:rPr>
          <w:color w:val="231F20"/>
        </w:rPr>
        <w:t xml:space="preserve"> and nesting areas for many species.</w:t>
      </w:r>
    </w:p>
    <w:p w:rsidR="00D1511D" w:rsidRDefault="003F0CB3">
      <w:pPr>
        <w:pStyle w:val="BodyText"/>
        <w:spacing w:before="164" w:line="280" w:lineRule="auto"/>
        <w:ind w:left="1700" w:right="1585"/>
      </w:pPr>
      <w:r>
        <w:rPr>
          <w:color w:val="231F20"/>
        </w:rPr>
        <w:t xml:space="preserve">All properties inscribed on the </w:t>
      </w:r>
      <w:r>
        <w:rPr>
          <w:color w:val="231F20"/>
          <w:spacing w:val="-4"/>
        </w:rPr>
        <w:t xml:space="preserve">World </w:t>
      </w:r>
      <w:r>
        <w:rPr>
          <w:color w:val="231F20"/>
        </w:rPr>
        <w:t xml:space="preserve">Heritage List have </w:t>
      </w:r>
      <w:r>
        <w:rPr>
          <w:color w:val="231F20"/>
          <w:spacing w:val="-7"/>
        </w:rPr>
        <w:t xml:space="preserve">OUV. </w:t>
      </w:r>
      <w:r>
        <w:rPr>
          <w:color w:val="231F20"/>
        </w:rPr>
        <w:t xml:space="preserve">The United Nations Educational, Scientific and Cultural Organization (UNESCO) explains OUV as having three pillars. </w:t>
      </w:r>
      <w:r>
        <w:rPr>
          <w:color w:val="231F20"/>
          <w:spacing w:val="-12"/>
        </w:rPr>
        <w:t xml:space="preserve">To </w:t>
      </w:r>
      <w:r>
        <w:rPr>
          <w:color w:val="231F20"/>
        </w:rPr>
        <w:t>have OUV a property must:</w:t>
      </w:r>
    </w:p>
    <w:p w:rsidR="00D1511D" w:rsidRDefault="003F0CB3">
      <w:pPr>
        <w:pStyle w:val="ListParagraph"/>
        <w:numPr>
          <w:ilvl w:val="0"/>
          <w:numId w:val="14"/>
        </w:numPr>
        <w:tabs>
          <w:tab w:val="left" w:pos="2060"/>
          <w:tab w:val="left" w:pos="2061"/>
        </w:tabs>
        <w:spacing w:before="55" w:line="280" w:lineRule="auto"/>
        <w:ind w:right="1573"/>
        <w:rPr>
          <w:sz w:val="20"/>
        </w:rPr>
      </w:pPr>
      <w:r>
        <w:rPr>
          <w:color w:val="231F20"/>
          <w:sz w:val="20"/>
        </w:rPr>
        <w:t xml:space="preserve">meet one or </w:t>
      </w:r>
      <w:r>
        <w:rPr>
          <w:color w:val="231F20"/>
          <w:sz w:val="20"/>
        </w:rPr>
        <w:t>more of the 10 world heritage criteria (Pillar 1). The Reef is inscribed under four natural</w:t>
      </w:r>
      <w:r>
        <w:rPr>
          <w:color w:val="231F20"/>
          <w:spacing w:val="-30"/>
          <w:sz w:val="20"/>
        </w:rPr>
        <w:t xml:space="preserve"> </w:t>
      </w:r>
      <w:r>
        <w:rPr>
          <w:color w:val="231F20"/>
          <w:spacing w:val="-3"/>
          <w:sz w:val="20"/>
        </w:rPr>
        <w:t xml:space="preserve">world </w:t>
      </w:r>
      <w:r>
        <w:rPr>
          <w:color w:val="231F20"/>
          <w:sz w:val="20"/>
        </w:rPr>
        <w:t>heritage criteria:</w:t>
      </w:r>
    </w:p>
    <w:p w:rsidR="00D1511D" w:rsidRDefault="003F0CB3">
      <w:pPr>
        <w:pStyle w:val="ListParagraph"/>
        <w:numPr>
          <w:ilvl w:val="1"/>
          <w:numId w:val="14"/>
        </w:numPr>
        <w:tabs>
          <w:tab w:val="left" w:pos="2344"/>
          <w:tab w:val="left" w:pos="2345"/>
        </w:tabs>
        <w:spacing w:before="55"/>
        <w:ind w:hanging="361"/>
        <w:rPr>
          <w:sz w:val="20"/>
        </w:rPr>
      </w:pPr>
      <w:r>
        <w:rPr>
          <w:color w:val="231F20"/>
          <w:sz w:val="20"/>
        </w:rPr>
        <w:t>natural beauty and natural phenomena (criterion vii),</w:t>
      </w:r>
    </w:p>
    <w:p w:rsidR="00D1511D" w:rsidRDefault="003F0CB3">
      <w:pPr>
        <w:pStyle w:val="ListParagraph"/>
        <w:numPr>
          <w:ilvl w:val="1"/>
          <w:numId w:val="14"/>
        </w:numPr>
        <w:tabs>
          <w:tab w:val="left" w:pos="2344"/>
          <w:tab w:val="left" w:pos="2345"/>
        </w:tabs>
        <w:spacing w:before="97"/>
        <w:ind w:hanging="361"/>
        <w:rPr>
          <w:sz w:val="20"/>
        </w:rPr>
      </w:pPr>
      <w:r>
        <w:rPr>
          <w:color w:val="231F20"/>
          <w:sz w:val="20"/>
        </w:rPr>
        <w:t xml:space="preserve">major stages of the </w:t>
      </w:r>
      <w:r>
        <w:rPr>
          <w:color w:val="231F20"/>
          <w:spacing w:val="-5"/>
          <w:sz w:val="20"/>
        </w:rPr>
        <w:t xml:space="preserve">Earth’s </w:t>
      </w:r>
      <w:r>
        <w:rPr>
          <w:color w:val="231F20"/>
          <w:sz w:val="20"/>
        </w:rPr>
        <w:t>evolutionary history (criterion</w:t>
      </w:r>
      <w:r>
        <w:rPr>
          <w:color w:val="231F20"/>
          <w:spacing w:val="5"/>
          <w:sz w:val="20"/>
        </w:rPr>
        <w:t xml:space="preserve"> </w:t>
      </w:r>
      <w:r>
        <w:rPr>
          <w:color w:val="231F20"/>
          <w:sz w:val="20"/>
        </w:rPr>
        <w:t>viii),</w:t>
      </w:r>
    </w:p>
    <w:p w:rsidR="00D1511D" w:rsidRDefault="003F0CB3">
      <w:pPr>
        <w:pStyle w:val="ListParagraph"/>
        <w:numPr>
          <w:ilvl w:val="1"/>
          <w:numId w:val="14"/>
        </w:numPr>
        <w:tabs>
          <w:tab w:val="left" w:pos="2344"/>
          <w:tab w:val="left" w:pos="2345"/>
        </w:tabs>
        <w:spacing w:before="97"/>
        <w:ind w:hanging="361"/>
        <w:rPr>
          <w:sz w:val="20"/>
        </w:rPr>
      </w:pPr>
      <w:r>
        <w:rPr>
          <w:color w:val="231F20"/>
          <w:sz w:val="20"/>
        </w:rPr>
        <w:t>ecological and bio</w:t>
      </w:r>
      <w:r>
        <w:rPr>
          <w:color w:val="231F20"/>
          <w:sz w:val="20"/>
        </w:rPr>
        <w:t>logical processes (criterion ix),</w:t>
      </w:r>
      <w:r>
        <w:rPr>
          <w:color w:val="231F20"/>
          <w:spacing w:val="-2"/>
          <w:sz w:val="20"/>
        </w:rPr>
        <w:t xml:space="preserve"> </w:t>
      </w:r>
      <w:r>
        <w:rPr>
          <w:color w:val="231F20"/>
          <w:sz w:val="20"/>
        </w:rPr>
        <w:t>and</w:t>
      </w:r>
    </w:p>
    <w:p w:rsidR="00D1511D" w:rsidRDefault="003F0CB3">
      <w:pPr>
        <w:pStyle w:val="ListParagraph"/>
        <w:numPr>
          <w:ilvl w:val="1"/>
          <w:numId w:val="14"/>
        </w:numPr>
        <w:tabs>
          <w:tab w:val="left" w:pos="2344"/>
          <w:tab w:val="left" w:pos="2345"/>
        </w:tabs>
        <w:spacing w:before="96"/>
        <w:ind w:hanging="361"/>
        <w:rPr>
          <w:sz w:val="20"/>
        </w:rPr>
      </w:pPr>
      <w:r>
        <w:rPr>
          <w:color w:val="231F20"/>
          <w:sz w:val="20"/>
        </w:rPr>
        <w:t>habitats for conservation of biodiversity (criterion</w:t>
      </w:r>
      <w:r>
        <w:rPr>
          <w:color w:val="231F20"/>
          <w:spacing w:val="-1"/>
          <w:sz w:val="20"/>
        </w:rPr>
        <w:t xml:space="preserve"> </w:t>
      </w:r>
      <w:r>
        <w:rPr>
          <w:color w:val="231F20"/>
          <w:sz w:val="20"/>
        </w:rPr>
        <w:t>x).</w:t>
      </w:r>
    </w:p>
    <w:p w:rsidR="00D1511D" w:rsidRDefault="003F0CB3">
      <w:pPr>
        <w:pStyle w:val="ListParagraph"/>
        <w:numPr>
          <w:ilvl w:val="0"/>
          <w:numId w:val="14"/>
        </w:numPr>
        <w:tabs>
          <w:tab w:val="left" w:pos="2060"/>
          <w:tab w:val="left" w:pos="2061"/>
        </w:tabs>
        <w:spacing w:before="97"/>
        <w:ind w:hanging="361"/>
        <w:rPr>
          <w:sz w:val="20"/>
        </w:rPr>
      </w:pPr>
      <w:r>
        <w:rPr>
          <w:color w:val="231F20"/>
          <w:sz w:val="20"/>
        </w:rPr>
        <w:t>meet the condition of integrity (wholeness and intactness) (Pillar</w:t>
      </w:r>
      <w:r>
        <w:rPr>
          <w:color w:val="231F20"/>
          <w:spacing w:val="-1"/>
          <w:sz w:val="20"/>
        </w:rPr>
        <w:t xml:space="preserve"> </w:t>
      </w:r>
      <w:r>
        <w:rPr>
          <w:color w:val="231F20"/>
          <w:sz w:val="20"/>
        </w:rPr>
        <w:t>2).</w:t>
      </w:r>
    </w:p>
    <w:p w:rsidR="00D1511D" w:rsidRDefault="003F0CB3">
      <w:pPr>
        <w:pStyle w:val="ListParagraph"/>
        <w:numPr>
          <w:ilvl w:val="0"/>
          <w:numId w:val="14"/>
        </w:numPr>
        <w:tabs>
          <w:tab w:val="left" w:pos="2060"/>
          <w:tab w:val="left" w:pos="2061"/>
        </w:tabs>
        <w:spacing w:before="97"/>
        <w:ind w:hanging="361"/>
        <w:rPr>
          <w:sz w:val="20"/>
        </w:rPr>
      </w:pPr>
      <w:r>
        <w:rPr>
          <w:color w:val="231F20"/>
          <w:sz w:val="20"/>
        </w:rPr>
        <w:t>have an adequate system of protection and management to safeguard its future (Pillar</w:t>
      </w:r>
      <w:r>
        <w:rPr>
          <w:color w:val="231F20"/>
          <w:spacing w:val="-3"/>
          <w:sz w:val="20"/>
        </w:rPr>
        <w:t xml:space="preserve"> </w:t>
      </w:r>
      <w:r>
        <w:rPr>
          <w:color w:val="231F20"/>
          <w:sz w:val="20"/>
        </w:rPr>
        <w:t>3).</w:t>
      </w:r>
    </w:p>
    <w:p w:rsidR="00D1511D" w:rsidRDefault="00D1511D">
      <w:pPr>
        <w:pStyle w:val="BodyText"/>
        <w:rPr>
          <w:sz w:val="24"/>
        </w:rPr>
      </w:pPr>
    </w:p>
    <w:p w:rsidR="00D1511D" w:rsidRDefault="00D1511D">
      <w:pPr>
        <w:pStyle w:val="BodyText"/>
        <w:rPr>
          <w:sz w:val="24"/>
        </w:rPr>
      </w:pPr>
    </w:p>
    <w:p w:rsidR="00D1511D" w:rsidRDefault="003F0CB3">
      <w:pPr>
        <w:pStyle w:val="Heading2"/>
        <w:numPr>
          <w:ilvl w:val="1"/>
          <w:numId w:val="15"/>
        </w:numPr>
        <w:tabs>
          <w:tab w:val="left" w:pos="2420"/>
          <w:tab w:val="left" w:pos="2421"/>
        </w:tabs>
        <w:spacing w:before="165"/>
        <w:ind w:left="2420" w:hanging="721"/>
      </w:pPr>
      <w:r>
        <w:rPr>
          <w:color w:val="005695"/>
          <w:spacing w:val="-3"/>
        </w:rPr>
        <w:t xml:space="preserve">Management </w:t>
      </w:r>
      <w:r>
        <w:rPr>
          <w:color w:val="005695"/>
        </w:rPr>
        <w:t xml:space="preserve">of the Great </w:t>
      </w:r>
      <w:r>
        <w:rPr>
          <w:color w:val="005695"/>
          <w:spacing w:val="-3"/>
        </w:rPr>
        <w:t xml:space="preserve">Barrier </w:t>
      </w:r>
      <w:r>
        <w:rPr>
          <w:color w:val="005695"/>
        </w:rPr>
        <w:t xml:space="preserve">Reef </w:t>
      </w:r>
      <w:r>
        <w:rPr>
          <w:color w:val="005695"/>
          <w:spacing w:val="-4"/>
        </w:rPr>
        <w:t xml:space="preserve">World </w:t>
      </w:r>
      <w:r>
        <w:rPr>
          <w:color w:val="005695"/>
        </w:rPr>
        <w:t>Heritage</w:t>
      </w:r>
      <w:r>
        <w:rPr>
          <w:color w:val="005695"/>
          <w:spacing w:val="3"/>
        </w:rPr>
        <w:t xml:space="preserve"> </w:t>
      </w:r>
      <w:r>
        <w:rPr>
          <w:color w:val="005695"/>
          <w:spacing w:val="-3"/>
        </w:rPr>
        <w:t>Area</w:t>
      </w:r>
    </w:p>
    <w:p w:rsidR="00D1511D" w:rsidRDefault="003F0CB3">
      <w:pPr>
        <w:pStyle w:val="BodyText"/>
        <w:spacing w:before="185" w:line="280" w:lineRule="auto"/>
        <w:ind w:left="1700" w:right="1321"/>
      </w:pPr>
      <w:r>
        <w:rPr>
          <w:color w:val="231F20"/>
        </w:rPr>
        <w:t xml:space="preserve">Protection and management of the Reef is achieved through multiple partnerships between government agencies, industry, community and non-government </w:t>
      </w:r>
      <w:proofErr w:type="spellStart"/>
      <w:r>
        <w:rPr>
          <w:color w:val="231F20"/>
        </w:rPr>
        <w:t>organisations</w:t>
      </w:r>
      <w:proofErr w:type="spellEnd"/>
      <w:r>
        <w:rPr>
          <w:color w:val="231F20"/>
        </w:rPr>
        <w:t xml:space="preserve">, scientists, and Traditional Owners. The Commonwealth </w:t>
      </w:r>
      <w:hyperlink r:id="rId19">
        <w:r>
          <w:rPr>
            <w:i/>
            <w:color w:val="1B5BAA"/>
            <w:u w:val="single" w:color="1B5BAA"/>
          </w:rPr>
          <w:t>Great Barrier Reef Marine Park Act 1975</w:t>
        </w:r>
      </w:hyperlink>
      <w:r>
        <w:rPr>
          <w:color w:val="231F20"/>
        </w:rPr>
        <w:t>, which established the Great Barrier Reef Marine Park Authority</w:t>
      </w:r>
    </w:p>
    <w:p w:rsidR="00D1511D" w:rsidRDefault="003F0CB3">
      <w:pPr>
        <w:pStyle w:val="BodyText"/>
        <w:spacing w:line="280" w:lineRule="auto"/>
        <w:ind w:left="1700" w:right="1410"/>
      </w:pPr>
      <w:r>
        <w:rPr>
          <w:color w:val="231F20"/>
        </w:rPr>
        <w:t xml:space="preserve">(the Marine </w:t>
      </w:r>
      <w:r>
        <w:rPr>
          <w:color w:val="231F20"/>
          <w:spacing w:val="-3"/>
        </w:rPr>
        <w:t xml:space="preserve">Park </w:t>
      </w:r>
      <w:r>
        <w:rPr>
          <w:color w:val="231F20"/>
        </w:rPr>
        <w:t>Authority), is the primary national legislation dedicated to the long-term protection of the environment,</w:t>
      </w:r>
      <w:r>
        <w:rPr>
          <w:color w:val="231F20"/>
        </w:rPr>
        <w:t xml:space="preserve"> biodiversity and heritage values of the Great Barrier Reef Region. The Commonwealth marine protected area is complemented by the Queensland Great Barrier Reef Coast Marine </w:t>
      </w:r>
      <w:r>
        <w:rPr>
          <w:color w:val="231F20"/>
          <w:spacing w:val="-3"/>
        </w:rPr>
        <w:t xml:space="preserve">Park </w:t>
      </w:r>
      <w:r>
        <w:rPr>
          <w:color w:val="231F20"/>
        </w:rPr>
        <w:t>in adjacent Queensland waters and Queensland island national parks, and the Co</w:t>
      </w:r>
      <w:r>
        <w:rPr>
          <w:color w:val="231F20"/>
        </w:rPr>
        <w:t xml:space="preserve">mmonwealth Coral Sea Marine </w:t>
      </w:r>
      <w:r>
        <w:rPr>
          <w:color w:val="231F20"/>
          <w:spacing w:val="-3"/>
        </w:rPr>
        <w:t xml:space="preserve">Park, </w:t>
      </w:r>
      <w:r>
        <w:rPr>
          <w:color w:val="231F20"/>
        </w:rPr>
        <w:t xml:space="preserve">which extends from the outer boundary of the Great Barrier Reef Marine </w:t>
      </w:r>
      <w:r>
        <w:rPr>
          <w:color w:val="231F20"/>
          <w:spacing w:val="-3"/>
        </w:rPr>
        <w:t xml:space="preserve">Park </w:t>
      </w:r>
      <w:r>
        <w:rPr>
          <w:color w:val="231F20"/>
        </w:rPr>
        <w:t xml:space="preserve">eastwards to the edge of </w:t>
      </w:r>
      <w:r>
        <w:rPr>
          <w:color w:val="231F20"/>
          <w:spacing w:val="-4"/>
        </w:rPr>
        <w:t xml:space="preserve">Australia’s </w:t>
      </w:r>
      <w:r>
        <w:rPr>
          <w:color w:val="231F20"/>
        </w:rPr>
        <w:t>Exclusive Economic Zone. Many of the islands within the property are national parks and there are also extens</w:t>
      </w:r>
      <w:r>
        <w:rPr>
          <w:color w:val="231F20"/>
        </w:rPr>
        <w:t>ive areas of national park and other protected land along the adjacent coast.</w:t>
      </w:r>
    </w:p>
    <w:p w:rsidR="00D1511D" w:rsidRDefault="003F0CB3">
      <w:pPr>
        <w:pStyle w:val="BodyText"/>
        <w:spacing w:before="162" w:line="280" w:lineRule="auto"/>
        <w:ind w:left="1700" w:right="1802"/>
      </w:pPr>
      <w:r>
        <w:rPr>
          <w:color w:val="231F20"/>
        </w:rPr>
        <w:t xml:space="preserve">The Australian and Queensland governments work in partnership through the </w:t>
      </w:r>
      <w:hyperlink r:id="rId20">
        <w:r>
          <w:rPr>
            <w:i/>
            <w:color w:val="1B5BAA"/>
            <w:u w:val="single" w:color="1B5BAA"/>
          </w:rPr>
          <w:t>Great Barrier Reef</w:t>
        </w:r>
      </w:hyperlink>
      <w:r>
        <w:rPr>
          <w:i/>
          <w:color w:val="1B5BAA"/>
        </w:rPr>
        <w:t xml:space="preserve"> </w:t>
      </w:r>
      <w:hyperlink r:id="rId21">
        <w:r>
          <w:rPr>
            <w:i/>
            <w:color w:val="1B5BAA"/>
            <w:u w:val="single" w:color="1B5BAA"/>
          </w:rPr>
          <w:t>Intergovernmental Agreement 2015</w:t>
        </w:r>
      </w:hyperlink>
      <w:r>
        <w:rPr>
          <w:i/>
          <w:color w:val="1B5BAA"/>
        </w:rPr>
        <w:t xml:space="preserve"> </w:t>
      </w:r>
      <w:r>
        <w:rPr>
          <w:color w:val="231F20"/>
        </w:rPr>
        <w:t>to protect and manage the Region. This agreement provides a transparent framework for coop</w:t>
      </w:r>
      <w:r>
        <w:rPr>
          <w:color w:val="231F20"/>
        </w:rPr>
        <w:t>erative management of the environment, biodiversity and heritage values of the World Heritage Area by the Marine Park Authority and the Queensland Parks and Wildlife Service.</w:t>
      </w: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spacing w:before="1"/>
        <w:rPr>
          <w:sz w:val="34"/>
        </w:rPr>
      </w:pPr>
    </w:p>
    <w:p w:rsidR="00D1511D" w:rsidRDefault="003F0CB3">
      <w:pPr>
        <w:ind w:left="1417"/>
        <w:rPr>
          <w:rFonts w:ascii="Myriad Pro"/>
          <w:sz w:val="16"/>
        </w:rPr>
      </w:pPr>
      <w:r>
        <w:rPr>
          <w:rFonts w:ascii="Myriad Pro"/>
          <w:color w:val="231F20"/>
          <w:sz w:val="16"/>
        </w:rPr>
        <w:t xml:space="preserve">8 / </w:t>
      </w:r>
      <w:r>
        <w:rPr>
          <w:rFonts w:ascii="Myriad Pro"/>
          <w:color w:val="005695"/>
          <w:sz w:val="16"/>
        </w:rPr>
        <w:t xml:space="preserve">State Party Report on the state of conservation of the </w:t>
      </w:r>
      <w:r>
        <w:rPr>
          <w:rFonts w:ascii="Myriad Pro"/>
          <w:b/>
          <w:color w:val="005695"/>
          <w:sz w:val="16"/>
        </w:rPr>
        <w:t>Great Barrier Reef</w:t>
      </w:r>
      <w:r>
        <w:rPr>
          <w:rFonts w:ascii="Myriad Pro"/>
          <w:b/>
          <w:color w:val="005695"/>
          <w:sz w:val="16"/>
        </w:rPr>
        <w:t xml:space="preserve"> World Heritage Area (Australia) </w:t>
      </w:r>
      <w:r>
        <w:rPr>
          <w:rFonts w:ascii="Myriad Pro"/>
          <w:color w:val="005695"/>
          <w:sz w:val="16"/>
        </w:rPr>
        <w:t>2019</w:t>
      </w:r>
    </w:p>
    <w:p w:rsidR="00D1511D" w:rsidRDefault="00D1511D">
      <w:pPr>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8"/>
        <w:rPr>
          <w:rFonts w:ascii="Myriad Pro"/>
        </w:rPr>
      </w:pPr>
    </w:p>
    <w:p w:rsidR="00D1511D" w:rsidRDefault="003F0CB3">
      <w:pPr>
        <w:pStyle w:val="BodyText"/>
        <w:spacing w:before="98" w:line="280" w:lineRule="auto"/>
        <w:ind w:left="1700" w:right="1400"/>
      </w:pPr>
      <w:r>
        <w:rPr>
          <w:color w:val="231F20"/>
        </w:rPr>
        <w:t xml:space="preserve">In response to concerns raised by the </w:t>
      </w:r>
      <w:r>
        <w:rPr>
          <w:color w:val="231F20"/>
          <w:spacing w:val="-4"/>
        </w:rPr>
        <w:t xml:space="preserve">World </w:t>
      </w:r>
      <w:r>
        <w:rPr>
          <w:color w:val="231F20"/>
        </w:rPr>
        <w:t xml:space="preserve">Heritage Committee in 2011, the Australian and Queensland governments took decisive action to improve the management and protection of the Reef. This included a strategic assessment between 2012 and 2014 of the </w:t>
      </w:r>
      <w:r>
        <w:rPr>
          <w:color w:val="231F20"/>
          <w:spacing w:val="-4"/>
        </w:rPr>
        <w:t xml:space="preserve">World </w:t>
      </w:r>
      <w:r>
        <w:rPr>
          <w:color w:val="231F20"/>
        </w:rPr>
        <w:t>Heritage Area and adjacent coastal zone</w:t>
      </w:r>
      <w:r>
        <w:rPr>
          <w:color w:val="231F20"/>
        </w:rPr>
        <w:t xml:space="preserve"> to evaluate and improve the effectiveness of the management of existing and emerging risks to the Reef. The assessment resulted in development of the Reef 2050 Plan, which was strongly affirmed by the Committee in 2015 (39 COM 7B.7). In 2017, the Committe</w:t>
      </w:r>
      <w:r>
        <w:rPr>
          <w:color w:val="231F20"/>
        </w:rPr>
        <w:t>e welcomed progress with the initial implementation of the Reef 2050 Plan and the establishment of the associated Investment Framework (41 COM 7B.24).</w:t>
      </w:r>
    </w:p>
    <w:p w:rsidR="00D1511D" w:rsidRDefault="00D1511D">
      <w:pPr>
        <w:pStyle w:val="BodyText"/>
        <w:spacing w:before="2"/>
        <w:rPr>
          <w:sz w:val="29"/>
        </w:rPr>
      </w:pPr>
    </w:p>
    <w:p w:rsidR="00D1511D" w:rsidRDefault="003F0CB3">
      <w:pPr>
        <w:pStyle w:val="Heading3"/>
        <w:numPr>
          <w:ilvl w:val="2"/>
          <w:numId w:val="15"/>
        </w:numPr>
        <w:tabs>
          <w:tab w:val="left" w:pos="2421"/>
        </w:tabs>
      </w:pPr>
      <w:r>
        <w:rPr>
          <w:color w:val="005695"/>
          <w:spacing w:val="-4"/>
        </w:rPr>
        <w:t>Governance</w:t>
      </w:r>
      <w:r>
        <w:rPr>
          <w:color w:val="005695"/>
        </w:rPr>
        <w:t xml:space="preserve"> </w:t>
      </w:r>
      <w:r>
        <w:rPr>
          <w:color w:val="005695"/>
          <w:spacing w:val="-3"/>
        </w:rPr>
        <w:t>arrangements</w:t>
      </w:r>
    </w:p>
    <w:p w:rsidR="00D1511D" w:rsidRDefault="003F0CB3">
      <w:pPr>
        <w:pStyle w:val="BodyText"/>
        <w:spacing w:before="195" w:line="280" w:lineRule="auto"/>
        <w:ind w:left="1700" w:right="1415"/>
      </w:pPr>
      <w:r>
        <w:rPr>
          <w:color w:val="231F20"/>
        </w:rPr>
        <w:t xml:space="preserve">The Reef 2050 Plan sets out what Australians, as custodians of the Reef for the </w:t>
      </w:r>
      <w:r>
        <w:rPr>
          <w:color w:val="231F20"/>
        </w:rPr>
        <w:t xml:space="preserve">international community, want the future of the Great Barrier Reef </w:t>
      </w:r>
      <w:r>
        <w:rPr>
          <w:color w:val="231F20"/>
          <w:spacing w:val="-4"/>
        </w:rPr>
        <w:t xml:space="preserve">World </w:t>
      </w:r>
      <w:r>
        <w:rPr>
          <w:color w:val="231F20"/>
        </w:rPr>
        <w:t xml:space="preserve">Heritage Area to be and how this will be achieved. The Reef 2050 </w:t>
      </w:r>
      <w:r>
        <w:rPr>
          <w:color w:val="231F20"/>
          <w:spacing w:val="-4"/>
        </w:rPr>
        <w:t xml:space="preserve">Plan </w:t>
      </w:r>
      <w:r>
        <w:rPr>
          <w:color w:val="231F20"/>
        </w:rPr>
        <w:t>is overseen by the Great Barrier Reef Ministerial Forum and is supported by strong governance arrangements that d</w:t>
      </w:r>
      <w:r>
        <w:rPr>
          <w:color w:val="231F20"/>
        </w:rPr>
        <w:t>raw on the expertise of a number of advisory bodies.</w:t>
      </w:r>
    </w:p>
    <w:p w:rsidR="00D1511D" w:rsidRDefault="003F0CB3">
      <w:pPr>
        <w:pStyle w:val="BodyText"/>
        <w:spacing w:before="167" w:line="280" w:lineRule="auto"/>
        <w:ind w:left="1700" w:right="1448"/>
        <w:jc w:val="both"/>
      </w:pPr>
      <w:r>
        <w:rPr>
          <w:color w:val="231F20"/>
        </w:rPr>
        <w:t>The</w:t>
      </w:r>
      <w:r>
        <w:rPr>
          <w:color w:val="231F20"/>
          <w:spacing w:val="-4"/>
        </w:rPr>
        <w:t xml:space="preserve"> </w:t>
      </w:r>
      <w:r>
        <w:rPr>
          <w:color w:val="231F20"/>
        </w:rPr>
        <w:t>Reef</w:t>
      </w:r>
      <w:r>
        <w:rPr>
          <w:color w:val="231F20"/>
          <w:spacing w:val="-4"/>
        </w:rPr>
        <w:t xml:space="preserve"> </w:t>
      </w:r>
      <w:r>
        <w:rPr>
          <w:color w:val="231F20"/>
        </w:rPr>
        <w:t>2050</w:t>
      </w:r>
      <w:r>
        <w:rPr>
          <w:color w:val="231F20"/>
          <w:spacing w:val="-4"/>
        </w:rPr>
        <w:t xml:space="preserve"> </w:t>
      </w:r>
      <w:r>
        <w:rPr>
          <w:color w:val="231F20"/>
        </w:rPr>
        <w:t>Independent</w:t>
      </w:r>
      <w:r>
        <w:rPr>
          <w:color w:val="231F20"/>
          <w:spacing w:val="-3"/>
        </w:rPr>
        <w:t xml:space="preserve"> </w:t>
      </w:r>
      <w:r>
        <w:rPr>
          <w:color w:val="231F20"/>
        </w:rPr>
        <w:t>Expert</w:t>
      </w:r>
      <w:r>
        <w:rPr>
          <w:color w:val="231F20"/>
          <w:spacing w:val="-4"/>
        </w:rPr>
        <w:t xml:space="preserve"> </w:t>
      </w:r>
      <w:r>
        <w:rPr>
          <w:color w:val="231F20"/>
        </w:rPr>
        <w:t>Panel</w:t>
      </w:r>
      <w:r>
        <w:rPr>
          <w:color w:val="231F20"/>
          <w:spacing w:val="-4"/>
        </w:rPr>
        <w:t xml:space="preserve"> </w:t>
      </w:r>
      <w:r>
        <w:rPr>
          <w:color w:val="231F20"/>
        </w:rPr>
        <w:t>(IEP)</w:t>
      </w:r>
      <w:r>
        <w:rPr>
          <w:color w:val="231F20"/>
          <w:spacing w:val="-4"/>
        </w:rPr>
        <w:t xml:space="preserve"> </w:t>
      </w:r>
      <w:r>
        <w:rPr>
          <w:color w:val="231F20"/>
        </w:rPr>
        <w:t>chaired</w:t>
      </w:r>
      <w:r>
        <w:rPr>
          <w:color w:val="231F20"/>
          <w:spacing w:val="-3"/>
        </w:rPr>
        <w:t xml:space="preserve"> </w:t>
      </w:r>
      <w:r>
        <w:rPr>
          <w:color w:val="231F20"/>
        </w:rPr>
        <w:t>by</w:t>
      </w:r>
      <w:r>
        <w:rPr>
          <w:color w:val="231F20"/>
          <w:spacing w:val="-4"/>
        </w:rPr>
        <w:t xml:space="preserve"> </w:t>
      </w:r>
      <w:r>
        <w:rPr>
          <w:color w:val="231F20"/>
        </w:rPr>
        <w:t>former</w:t>
      </w:r>
      <w:r>
        <w:rPr>
          <w:color w:val="231F20"/>
          <w:spacing w:val="-4"/>
        </w:rPr>
        <w:t xml:space="preserve"> </w:t>
      </w:r>
      <w:r>
        <w:rPr>
          <w:color w:val="231F20"/>
        </w:rPr>
        <w:t>Chief</w:t>
      </w:r>
      <w:r>
        <w:rPr>
          <w:color w:val="231F20"/>
          <w:spacing w:val="-3"/>
        </w:rPr>
        <w:t xml:space="preserve"> </w:t>
      </w:r>
      <w:r>
        <w:rPr>
          <w:color w:val="231F20"/>
        </w:rPr>
        <w:t>Scientist</w:t>
      </w:r>
      <w:r>
        <w:rPr>
          <w:color w:val="231F20"/>
          <w:spacing w:val="-4"/>
        </w:rPr>
        <w:t xml:space="preserve"> </w:t>
      </w:r>
      <w:r>
        <w:rPr>
          <w:color w:val="231F20"/>
        </w:rPr>
        <w:t>of</w:t>
      </w:r>
      <w:r>
        <w:rPr>
          <w:color w:val="231F20"/>
          <w:spacing w:val="-4"/>
        </w:rPr>
        <w:t xml:space="preserve"> </w:t>
      </w:r>
      <w:r>
        <w:rPr>
          <w:color w:val="231F20"/>
        </w:rPr>
        <w:t>Australia,</w:t>
      </w:r>
      <w:r>
        <w:rPr>
          <w:color w:val="231F20"/>
          <w:spacing w:val="-4"/>
        </w:rPr>
        <w:t xml:space="preserve"> </w:t>
      </w:r>
      <w:r>
        <w:rPr>
          <w:color w:val="231F20"/>
        </w:rPr>
        <w:t>Emeritus</w:t>
      </w:r>
      <w:r>
        <w:rPr>
          <w:color w:val="231F20"/>
          <w:spacing w:val="-3"/>
        </w:rPr>
        <w:t xml:space="preserve"> </w:t>
      </w:r>
      <w:r>
        <w:rPr>
          <w:color w:val="231F20"/>
        </w:rPr>
        <w:t>Professor Ian Chubb AC</w:t>
      </w:r>
      <w:r>
        <w:rPr>
          <w:color w:val="231F20"/>
          <w:position w:val="7"/>
          <w:sz w:val="11"/>
        </w:rPr>
        <w:t xml:space="preserve">2 </w:t>
      </w:r>
      <w:r>
        <w:rPr>
          <w:color w:val="231F20"/>
          <w:spacing w:val="-3"/>
        </w:rPr>
        <w:t xml:space="preserve">FAA </w:t>
      </w:r>
      <w:r>
        <w:rPr>
          <w:color w:val="231F20"/>
        </w:rPr>
        <w:t>FTSE</w:t>
      </w:r>
      <w:r>
        <w:rPr>
          <w:color w:val="231F20"/>
          <w:position w:val="7"/>
          <w:sz w:val="11"/>
        </w:rPr>
        <w:t>3</w:t>
      </w:r>
      <w:r>
        <w:rPr>
          <w:color w:val="231F20"/>
        </w:rPr>
        <w:t>, provides expert scientific advice related to the Reef. Panel membe</w:t>
      </w:r>
      <w:r>
        <w:rPr>
          <w:color w:val="231F20"/>
        </w:rPr>
        <w:t xml:space="preserve">rs have expertise in climate change, water </w:t>
      </w:r>
      <w:r>
        <w:rPr>
          <w:color w:val="231F20"/>
          <w:spacing w:val="-3"/>
        </w:rPr>
        <w:t xml:space="preserve">quality, </w:t>
      </w:r>
      <w:r>
        <w:rPr>
          <w:color w:val="231F20"/>
        </w:rPr>
        <w:t xml:space="preserve">agriculture, reef </w:t>
      </w:r>
      <w:r>
        <w:rPr>
          <w:color w:val="231F20"/>
          <w:spacing w:val="-3"/>
        </w:rPr>
        <w:t xml:space="preserve">ecology, </w:t>
      </w:r>
      <w:r>
        <w:rPr>
          <w:color w:val="231F20"/>
        </w:rPr>
        <w:t>fisheries and</w:t>
      </w:r>
      <w:r>
        <w:rPr>
          <w:color w:val="231F20"/>
          <w:spacing w:val="6"/>
        </w:rPr>
        <w:t xml:space="preserve"> </w:t>
      </w:r>
      <w:r>
        <w:rPr>
          <w:color w:val="231F20"/>
        </w:rPr>
        <w:t>economics.</w:t>
      </w:r>
    </w:p>
    <w:p w:rsidR="00D1511D" w:rsidRDefault="003F0CB3">
      <w:pPr>
        <w:pStyle w:val="BodyText"/>
        <w:spacing w:before="168" w:line="280" w:lineRule="auto"/>
        <w:ind w:left="1700" w:right="1837"/>
      </w:pPr>
      <w:r>
        <w:rPr>
          <w:color w:val="231F20"/>
        </w:rPr>
        <w:t xml:space="preserve">The Reef 2050 Advisory Committee (RAC), chaired by The Hon Penelope </w:t>
      </w:r>
      <w:proofErr w:type="spellStart"/>
      <w:r>
        <w:rPr>
          <w:color w:val="231F20"/>
          <w:spacing w:val="-3"/>
        </w:rPr>
        <w:t>Wensley</w:t>
      </w:r>
      <w:proofErr w:type="spellEnd"/>
      <w:r>
        <w:rPr>
          <w:color w:val="231F20"/>
          <w:spacing w:val="-3"/>
        </w:rPr>
        <w:t xml:space="preserve"> </w:t>
      </w:r>
      <w:r>
        <w:rPr>
          <w:color w:val="231F20"/>
        </w:rPr>
        <w:t>AC, former Governor of Queensland and former Australian Ambassador for the E</w:t>
      </w:r>
      <w:r>
        <w:rPr>
          <w:color w:val="231F20"/>
        </w:rPr>
        <w:t xml:space="preserve">nvironment, provides strategic advice on the implementation of Reef 2050 Plan actions, stakeholder priorities, and any emerging cross-sectoral </w:t>
      </w:r>
      <w:proofErr w:type="gramStart"/>
      <w:r>
        <w:rPr>
          <w:color w:val="231F20"/>
        </w:rPr>
        <w:t>issues  that</w:t>
      </w:r>
      <w:proofErr w:type="gramEnd"/>
      <w:r>
        <w:rPr>
          <w:color w:val="231F20"/>
        </w:rPr>
        <w:t xml:space="preserve"> need to be addressed. Membership includes </w:t>
      </w:r>
      <w:r>
        <w:rPr>
          <w:color w:val="231F20"/>
          <w:spacing w:val="-3"/>
        </w:rPr>
        <w:t xml:space="preserve">Traditional </w:t>
      </w:r>
      <w:r>
        <w:rPr>
          <w:color w:val="231F20"/>
        </w:rPr>
        <w:t>Owners, a range of industry sectors</w:t>
      </w:r>
      <w:r>
        <w:rPr>
          <w:color w:val="231F20"/>
          <w:spacing w:val="-21"/>
        </w:rPr>
        <w:t xml:space="preserve"> </w:t>
      </w:r>
      <w:r>
        <w:rPr>
          <w:color w:val="231F20"/>
        </w:rPr>
        <w:t>(agricultu</w:t>
      </w:r>
      <w:r>
        <w:rPr>
          <w:color w:val="231F20"/>
        </w:rPr>
        <w:t>re,</w:t>
      </w:r>
    </w:p>
    <w:p w:rsidR="00D1511D" w:rsidRDefault="003F0CB3">
      <w:pPr>
        <w:pStyle w:val="BodyText"/>
        <w:spacing w:line="280" w:lineRule="auto"/>
        <w:ind w:left="1700" w:right="1585"/>
      </w:pPr>
      <w:r>
        <w:rPr>
          <w:color w:val="231F20"/>
        </w:rPr>
        <w:t xml:space="preserve">tourism, fishing and ports) as well as local government, natural resource management, community, science and environmental non-government </w:t>
      </w:r>
      <w:proofErr w:type="spellStart"/>
      <w:r>
        <w:rPr>
          <w:color w:val="231F20"/>
        </w:rPr>
        <w:t>organisations</w:t>
      </w:r>
      <w:proofErr w:type="spellEnd"/>
      <w:r>
        <w:rPr>
          <w:color w:val="231F20"/>
        </w:rPr>
        <w:t>.</w:t>
      </w:r>
    </w:p>
    <w:p w:rsidR="00D1511D" w:rsidRDefault="00D1511D">
      <w:pPr>
        <w:pStyle w:val="BodyText"/>
        <w:spacing w:before="3"/>
        <w:rPr>
          <w:sz w:val="29"/>
        </w:rPr>
      </w:pPr>
    </w:p>
    <w:p w:rsidR="00D1511D" w:rsidRDefault="003F0CB3">
      <w:pPr>
        <w:pStyle w:val="Heading3"/>
        <w:numPr>
          <w:ilvl w:val="2"/>
          <w:numId w:val="15"/>
        </w:numPr>
        <w:tabs>
          <w:tab w:val="left" w:pos="2421"/>
        </w:tabs>
      </w:pPr>
      <w:r>
        <w:rPr>
          <w:color w:val="005695"/>
          <w:spacing w:val="-5"/>
        </w:rPr>
        <w:t xml:space="preserve">Traditional </w:t>
      </w:r>
      <w:r>
        <w:rPr>
          <w:color w:val="005695"/>
        </w:rPr>
        <w:t>Owner</w:t>
      </w:r>
      <w:r>
        <w:rPr>
          <w:color w:val="005695"/>
          <w:spacing w:val="4"/>
        </w:rPr>
        <w:t xml:space="preserve"> </w:t>
      </w:r>
      <w:r>
        <w:rPr>
          <w:color w:val="005695"/>
          <w:spacing w:val="-3"/>
        </w:rPr>
        <w:t>engagement</w:t>
      </w:r>
    </w:p>
    <w:p w:rsidR="00D1511D" w:rsidRDefault="003F0CB3">
      <w:pPr>
        <w:pStyle w:val="BodyText"/>
        <w:spacing w:before="195" w:line="280" w:lineRule="auto"/>
        <w:ind w:left="1700" w:right="1585"/>
      </w:pPr>
      <w:r>
        <w:rPr>
          <w:color w:val="231F20"/>
        </w:rPr>
        <w:t xml:space="preserve">Aboriginal and </w:t>
      </w:r>
      <w:r>
        <w:rPr>
          <w:color w:val="231F20"/>
          <w:spacing w:val="-5"/>
        </w:rPr>
        <w:t xml:space="preserve">Torres </w:t>
      </w:r>
      <w:r>
        <w:rPr>
          <w:color w:val="231F20"/>
        </w:rPr>
        <w:t xml:space="preserve">Strait Islander people are the </w:t>
      </w:r>
      <w:r>
        <w:rPr>
          <w:color w:val="231F20"/>
          <w:spacing w:val="-3"/>
        </w:rPr>
        <w:t xml:space="preserve">Traditional </w:t>
      </w:r>
      <w:r>
        <w:rPr>
          <w:color w:val="231F20"/>
        </w:rPr>
        <w:t xml:space="preserve">Owners of the Great Barrier Reef region. Evidence of their sea country connection goes back over 60,000 years. Improving involvement of Indigenous </w:t>
      </w:r>
      <w:r>
        <w:rPr>
          <w:color w:val="231F20"/>
          <w:spacing w:val="-3"/>
        </w:rPr>
        <w:t xml:space="preserve">Traditional </w:t>
      </w:r>
      <w:r>
        <w:rPr>
          <w:color w:val="231F20"/>
        </w:rPr>
        <w:t>Owners in the protection and management of the Reef is</w:t>
      </w:r>
      <w:r>
        <w:rPr>
          <w:color w:val="231F20"/>
        </w:rPr>
        <w:t xml:space="preserve"> a priority for the Australian and Queensland governments. </w:t>
      </w:r>
      <w:r>
        <w:rPr>
          <w:color w:val="231F20"/>
          <w:spacing w:val="-3"/>
        </w:rPr>
        <w:t xml:space="preserve">Traditional </w:t>
      </w:r>
      <w:r>
        <w:rPr>
          <w:color w:val="231F20"/>
        </w:rPr>
        <w:t xml:space="preserve">Owner involvement in implementing the Reef 2050 Plan has been boosted. </w:t>
      </w:r>
      <w:r>
        <w:rPr>
          <w:color w:val="231F20"/>
          <w:spacing w:val="-3"/>
        </w:rPr>
        <w:t xml:space="preserve">Twenty-three </w:t>
      </w:r>
      <w:r>
        <w:rPr>
          <w:color w:val="231F20"/>
        </w:rPr>
        <w:t xml:space="preserve">Reef 2050 Plan actions specifically relate to </w:t>
      </w:r>
      <w:r>
        <w:rPr>
          <w:color w:val="231F20"/>
          <w:spacing w:val="-3"/>
        </w:rPr>
        <w:t xml:space="preserve">Traditional </w:t>
      </w:r>
      <w:r>
        <w:rPr>
          <w:color w:val="231F20"/>
        </w:rPr>
        <w:t xml:space="preserve">Owners. In 2017, the </w:t>
      </w:r>
      <w:r>
        <w:rPr>
          <w:color w:val="231F20"/>
          <w:spacing w:val="-3"/>
        </w:rPr>
        <w:t xml:space="preserve">Australian </w:t>
      </w:r>
      <w:r>
        <w:rPr>
          <w:color w:val="231F20"/>
        </w:rPr>
        <w:t xml:space="preserve">Government </w:t>
      </w:r>
      <w:r>
        <w:rPr>
          <w:color w:val="231F20"/>
        </w:rPr>
        <w:t xml:space="preserve">engaged a consortium of Indigenous and research </w:t>
      </w:r>
      <w:proofErr w:type="spellStart"/>
      <w:r>
        <w:rPr>
          <w:color w:val="231F20"/>
        </w:rPr>
        <w:t>organisations</w:t>
      </w:r>
      <w:proofErr w:type="spellEnd"/>
      <w:r>
        <w:rPr>
          <w:color w:val="231F20"/>
        </w:rPr>
        <w:t xml:space="preserve"> to work with Great Barrier Reef </w:t>
      </w:r>
      <w:r>
        <w:rPr>
          <w:color w:val="231F20"/>
          <w:spacing w:val="-3"/>
        </w:rPr>
        <w:t xml:space="preserve">Traditional </w:t>
      </w:r>
      <w:r>
        <w:rPr>
          <w:color w:val="231F20"/>
        </w:rPr>
        <w:t>Owners to better understand and support their aspirations and commitments under the Reef</w:t>
      </w:r>
    </w:p>
    <w:p w:rsidR="00D1511D" w:rsidRDefault="003F0CB3">
      <w:pPr>
        <w:pStyle w:val="BodyText"/>
        <w:spacing w:line="234" w:lineRule="exact"/>
        <w:ind w:left="1700"/>
      </w:pPr>
      <w:r>
        <w:rPr>
          <w:color w:val="231F20"/>
        </w:rPr>
        <w:t>2050 Plan.</w:t>
      </w:r>
    </w:p>
    <w:p w:rsidR="00D1511D" w:rsidRDefault="003F0CB3">
      <w:pPr>
        <w:pStyle w:val="BodyText"/>
        <w:spacing w:before="210" w:line="280" w:lineRule="auto"/>
        <w:ind w:left="1700" w:right="1467"/>
      </w:pPr>
      <w:r>
        <w:rPr>
          <w:color w:val="231F20"/>
        </w:rPr>
        <w:t>The final report of the consortium was published i</w:t>
      </w:r>
      <w:r>
        <w:rPr>
          <w:color w:val="231F20"/>
        </w:rPr>
        <w:t xml:space="preserve">n </w:t>
      </w:r>
      <w:proofErr w:type="gramStart"/>
      <w:r>
        <w:rPr>
          <w:color w:val="231F20"/>
        </w:rPr>
        <w:t>June 2019, and</w:t>
      </w:r>
      <w:proofErr w:type="gramEnd"/>
      <w:r>
        <w:rPr>
          <w:color w:val="231F20"/>
        </w:rPr>
        <w:t xml:space="preserve"> includes advice from </w:t>
      </w:r>
      <w:r>
        <w:rPr>
          <w:color w:val="231F20"/>
          <w:spacing w:val="-3"/>
        </w:rPr>
        <w:t xml:space="preserve">Traditional </w:t>
      </w:r>
      <w:r>
        <w:rPr>
          <w:color w:val="231F20"/>
        </w:rPr>
        <w:t xml:space="preserve">Owners about their aspirations for involvement in the management and protection of the Reef. </w:t>
      </w:r>
      <w:r>
        <w:rPr>
          <w:color w:val="231F20"/>
          <w:spacing w:val="-3"/>
        </w:rPr>
        <w:t xml:space="preserve">It </w:t>
      </w:r>
      <w:r>
        <w:rPr>
          <w:color w:val="231F20"/>
        </w:rPr>
        <w:t xml:space="preserve">offers a strategic blueprint to support the fulfilment of </w:t>
      </w:r>
      <w:r>
        <w:rPr>
          <w:color w:val="231F20"/>
          <w:spacing w:val="-3"/>
        </w:rPr>
        <w:t xml:space="preserve">Traditional </w:t>
      </w:r>
      <w:r>
        <w:rPr>
          <w:color w:val="231F20"/>
        </w:rPr>
        <w:t>Owners’ custodial responsibilities and o</w:t>
      </w:r>
      <w:r>
        <w:rPr>
          <w:color w:val="231F20"/>
        </w:rPr>
        <w:t xml:space="preserve">bligations. The </w:t>
      </w:r>
      <w:r>
        <w:rPr>
          <w:color w:val="231F20"/>
          <w:spacing w:val="-5"/>
        </w:rPr>
        <w:t xml:space="preserve">report’s </w:t>
      </w:r>
      <w:r>
        <w:rPr>
          <w:color w:val="231F20"/>
        </w:rPr>
        <w:t xml:space="preserve">findings and recommendations are helping inform the comprehensive review of the Reef 2050 Plan currently underway and to be completed in 2020. Further detail on </w:t>
      </w:r>
      <w:r>
        <w:rPr>
          <w:color w:val="231F20"/>
          <w:spacing w:val="-3"/>
        </w:rPr>
        <w:t xml:space="preserve">Traditional </w:t>
      </w:r>
      <w:r>
        <w:rPr>
          <w:color w:val="231F20"/>
        </w:rPr>
        <w:t>Owner engagement is reported in section 4.3.2c.</w:t>
      </w:r>
    </w:p>
    <w:p w:rsidR="00D1511D" w:rsidRDefault="00D1511D">
      <w:pPr>
        <w:pStyle w:val="BodyText"/>
      </w:pPr>
    </w:p>
    <w:p w:rsidR="00D1511D" w:rsidRDefault="003F0CB3">
      <w:pPr>
        <w:pStyle w:val="BodyText"/>
      </w:pPr>
      <w:r>
        <w:pict>
          <v:shape id="_x0000_s1318" alt="" style="position:absolute;margin-left:85.05pt;margin-top:14.25pt;width:124.75pt;height:.1pt;z-index:-251650048;mso-wrap-edited:f;mso-width-percent:0;mso-height-percent:0;mso-wrap-distance-left:0;mso-wrap-distance-right:0;mso-position-horizontal-relative:page;mso-width-percent:0;mso-height-percent:0" coordsize="2495,1270" path="m,l2494,e" filled="f" strokecolor="#231f20" strokeweight=".5pt">
            <v:path arrowok="t" o:connecttype="custom" o:connectlocs="0,0;1583690,0" o:connectangles="0,0"/>
            <w10:wrap type="topAndBottom" anchorx="page"/>
          </v:shape>
        </w:pict>
      </w:r>
    </w:p>
    <w:p w:rsidR="00D1511D" w:rsidRDefault="003F0CB3">
      <w:pPr>
        <w:pStyle w:val="ListParagraph"/>
        <w:numPr>
          <w:ilvl w:val="0"/>
          <w:numId w:val="13"/>
        </w:numPr>
        <w:tabs>
          <w:tab w:val="left" w:pos="1861"/>
        </w:tabs>
        <w:spacing w:before="66"/>
        <w:ind w:right="1554" w:hanging="227"/>
        <w:rPr>
          <w:sz w:val="16"/>
        </w:rPr>
      </w:pPr>
      <w:r>
        <w:rPr>
          <w:color w:val="231F20"/>
          <w:sz w:val="16"/>
        </w:rPr>
        <w:t xml:space="preserve">Officer of the Order of Australia. The Order of Australia </w:t>
      </w:r>
      <w:proofErr w:type="spellStart"/>
      <w:r>
        <w:rPr>
          <w:color w:val="231F20"/>
          <w:sz w:val="16"/>
        </w:rPr>
        <w:t>recognises</w:t>
      </w:r>
      <w:proofErr w:type="spellEnd"/>
      <w:r>
        <w:rPr>
          <w:color w:val="231F20"/>
          <w:sz w:val="16"/>
        </w:rPr>
        <w:t xml:space="preserve"> Australians who have demonstrated outstanding service or</w:t>
      </w:r>
      <w:r>
        <w:rPr>
          <w:color w:val="231F20"/>
          <w:spacing w:val="-26"/>
          <w:sz w:val="16"/>
        </w:rPr>
        <w:t xml:space="preserve"> </w:t>
      </w:r>
      <w:r>
        <w:rPr>
          <w:color w:val="231F20"/>
          <w:spacing w:val="-3"/>
          <w:sz w:val="16"/>
        </w:rPr>
        <w:t xml:space="preserve">exceptional </w:t>
      </w:r>
      <w:r>
        <w:rPr>
          <w:color w:val="231F20"/>
          <w:sz w:val="16"/>
        </w:rPr>
        <w:t>achievement.</w:t>
      </w:r>
    </w:p>
    <w:p w:rsidR="00D1511D" w:rsidRDefault="003F0CB3">
      <w:pPr>
        <w:pStyle w:val="ListParagraph"/>
        <w:numPr>
          <w:ilvl w:val="0"/>
          <w:numId w:val="13"/>
        </w:numPr>
        <w:tabs>
          <w:tab w:val="left" w:pos="1861"/>
        </w:tabs>
        <w:ind w:left="1860" w:hanging="161"/>
        <w:rPr>
          <w:sz w:val="16"/>
        </w:rPr>
      </w:pPr>
      <w:r>
        <w:rPr>
          <w:color w:val="231F20"/>
          <w:sz w:val="16"/>
        </w:rPr>
        <w:t>Fellow of the Australian Academy of Science and Fellow of the Academy of Technological Services and</w:t>
      </w:r>
      <w:r>
        <w:rPr>
          <w:color w:val="231F20"/>
          <w:spacing w:val="-16"/>
          <w:sz w:val="16"/>
        </w:rPr>
        <w:t xml:space="preserve"> </w:t>
      </w:r>
      <w:r>
        <w:rPr>
          <w:color w:val="231F20"/>
          <w:sz w:val="16"/>
        </w:rPr>
        <w:t>Engin</w:t>
      </w:r>
      <w:r>
        <w:rPr>
          <w:color w:val="231F20"/>
          <w:sz w:val="16"/>
        </w:rPr>
        <w:t>eering.</w:t>
      </w:r>
    </w:p>
    <w:p w:rsidR="00D1511D" w:rsidRDefault="00D1511D">
      <w:pPr>
        <w:pStyle w:val="BodyText"/>
      </w:pPr>
    </w:p>
    <w:p w:rsidR="00D1511D" w:rsidRDefault="00D1511D">
      <w:pPr>
        <w:pStyle w:val="BodyText"/>
      </w:pPr>
    </w:p>
    <w:p w:rsidR="00D1511D" w:rsidRDefault="00D1511D">
      <w:pPr>
        <w:pStyle w:val="BodyText"/>
      </w:pPr>
    </w:p>
    <w:p w:rsidR="00D1511D" w:rsidRDefault="00D1511D">
      <w:pPr>
        <w:pStyle w:val="BodyText"/>
      </w:pPr>
    </w:p>
    <w:p w:rsidR="00D1511D" w:rsidRDefault="00D1511D">
      <w:pPr>
        <w:pStyle w:val="BodyText"/>
        <w:rPr>
          <w:sz w:val="24"/>
        </w:rPr>
      </w:pPr>
    </w:p>
    <w:p w:rsidR="00D1511D" w:rsidRDefault="003F0CB3">
      <w:pPr>
        <w:spacing w:before="101"/>
        <w:ind w:right="1415"/>
        <w:jc w:val="right"/>
        <w:rPr>
          <w:rFonts w:ascii="Myriad Pro"/>
          <w:sz w:val="16"/>
        </w:rPr>
      </w:pPr>
      <w:r>
        <w:rPr>
          <w:rFonts w:ascii="Myriad Pro"/>
          <w:color w:val="231F20"/>
          <w:sz w:val="16"/>
        </w:rPr>
        <w:t>9</w:t>
      </w:r>
    </w:p>
    <w:p w:rsidR="00D1511D" w:rsidRDefault="00D1511D">
      <w:pPr>
        <w:jc w:val="right"/>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11"/>
        <w:rPr>
          <w:rFonts w:ascii="Myriad Pro"/>
          <w:sz w:val="17"/>
        </w:rPr>
      </w:pPr>
    </w:p>
    <w:p w:rsidR="00D1511D" w:rsidRDefault="003F0CB3">
      <w:pPr>
        <w:pStyle w:val="Heading2"/>
        <w:numPr>
          <w:ilvl w:val="1"/>
          <w:numId w:val="15"/>
        </w:numPr>
        <w:tabs>
          <w:tab w:val="left" w:pos="2376"/>
          <w:tab w:val="left" w:pos="2377"/>
        </w:tabs>
        <w:spacing w:before="107"/>
        <w:ind w:left="2376"/>
      </w:pPr>
      <w:r>
        <w:rPr>
          <w:color w:val="005695"/>
          <w:spacing w:val="-4"/>
        </w:rPr>
        <w:t xml:space="preserve">Investing </w:t>
      </w:r>
      <w:r>
        <w:rPr>
          <w:color w:val="005695"/>
        </w:rPr>
        <w:t>for</w:t>
      </w:r>
      <w:r>
        <w:rPr>
          <w:color w:val="005695"/>
          <w:spacing w:val="3"/>
        </w:rPr>
        <w:t xml:space="preserve"> </w:t>
      </w:r>
      <w:r>
        <w:rPr>
          <w:color w:val="005695"/>
        </w:rPr>
        <w:t>impact</w:t>
      </w:r>
    </w:p>
    <w:p w:rsidR="00D1511D" w:rsidRDefault="003F0CB3">
      <w:pPr>
        <w:pStyle w:val="BodyText"/>
        <w:spacing w:before="185" w:line="280" w:lineRule="auto"/>
        <w:ind w:left="1696" w:right="1431"/>
      </w:pPr>
      <w:r>
        <w:rPr>
          <w:color w:val="231F20"/>
        </w:rPr>
        <w:t xml:space="preserve">The Australian and Queensland governments have made significant progress in implementing the Reef 2050 Plan. In December 2016, the </w:t>
      </w:r>
      <w:hyperlink r:id="rId22">
        <w:r>
          <w:rPr>
            <w:i/>
            <w:color w:val="1B5BAA"/>
            <w:u w:val="single" w:color="1B5BAA"/>
          </w:rPr>
          <w:t>Reef 2050 Plan Invest</w:t>
        </w:r>
        <w:r>
          <w:rPr>
            <w:i/>
            <w:color w:val="1B5BAA"/>
            <w:u w:val="single" w:color="1B5BAA"/>
          </w:rPr>
          <w:t>ment Framework</w:t>
        </w:r>
      </w:hyperlink>
      <w:r>
        <w:rPr>
          <w:i/>
          <w:color w:val="1B5BAA"/>
        </w:rPr>
        <w:t xml:space="preserve"> </w:t>
      </w:r>
      <w:r>
        <w:rPr>
          <w:color w:val="231F20"/>
        </w:rPr>
        <w:t>was released to help guide Reef investment decisions. The framework established the baseline for investments, identified investment priorities for securing</w:t>
      </w:r>
      <w:r>
        <w:rPr>
          <w:color w:val="231F20"/>
          <w:spacing w:val="-31"/>
        </w:rPr>
        <w:t xml:space="preserve"> </w:t>
      </w:r>
      <w:r>
        <w:rPr>
          <w:color w:val="231F20"/>
          <w:spacing w:val="-5"/>
        </w:rPr>
        <w:t xml:space="preserve">the </w:t>
      </w:r>
      <w:r>
        <w:rPr>
          <w:color w:val="231F20"/>
        </w:rPr>
        <w:t>future health of the Reef, and set out a strategy for boosting investment and div</w:t>
      </w:r>
      <w:r>
        <w:rPr>
          <w:color w:val="231F20"/>
        </w:rPr>
        <w:t>ersifying its sources. Since it was released, the Australian and Queensland governments have made a range of additional funding commitments, which are outlined in the Reef 2050 Plan (as updated in</w:t>
      </w:r>
      <w:r>
        <w:rPr>
          <w:color w:val="231F20"/>
          <w:spacing w:val="-1"/>
        </w:rPr>
        <w:t xml:space="preserve"> </w:t>
      </w:r>
      <w:r>
        <w:rPr>
          <w:color w:val="231F20"/>
        </w:rPr>
        <w:t>2018).</w:t>
      </w:r>
    </w:p>
    <w:p w:rsidR="00D1511D" w:rsidRDefault="003F0CB3">
      <w:pPr>
        <w:pStyle w:val="BodyText"/>
        <w:spacing w:before="166" w:line="280" w:lineRule="auto"/>
        <w:ind w:left="1696" w:right="1453"/>
        <w:jc w:val="both"/>
      </w:pPr>
      <w:r>
        <w:rPr>
          <w:color w:val="231F20"/>
        </w:rPr>
        <w:t xml:space="preserve">The Australian and Queensland governments, along with their many partners, are making substantial </w:t>
      </w:r>
      <w:r>
        <w:rPr>
          <w:color w:val="231F20"/>
          <w:spacing w:val="-3"/>
        </w:rPr>
        <w:t xml:space="preserve">investments </w:t>
      </w:r>
      <w:r>
        <w:rPr>
          <w:color w:val="231F20"/>
        </w:rPr>
        <w:t>to achieve the successful implementation of the Reef 2050 Plan. When the Reef 2050 Plan was considered by</w:t>
      </w:r>
    </w:p>
    <w:p w:rsidR="00D1511D" w:rsidRDefault="003F0CB3">
      <w:pPr>
        <w:pStyle w:val="BodyText"/>
        <w:spacing w:line="280" w:lineRule="auto"/>
        <w:ind w:left="1696" w:right="1642"/>
        <w:jc w:val="both"/>
      </w:pPr>
      <w:r>
        <w:rPr>
          <w:color w:val="231F20"/>
        </w:rPr>
        <w:t xml:space="preserve">the </w:t>
      </w:r>
      <w:r>
        <w:rPr>
          <w:color w:val="231F20"/>
          <w:spacing w:val="-4"/>
        </w:rPr>
        <w:t xml:space="preserve">World </w:t>
      </w:r>
      <w:r>
        <w:rPr>
          <w:color w:val="231F20"/>
        </w:rPr>
        <w:t>Heritage Committee in 2015, th</w:t>
      </w:r>
      <w:r>
        <w:rPr>
          <w:color w:val="231F20"/>
        </w:rPr>
        <w:t>e Reef 2050 Plan Investment Baseline projected that the Australian and Queensland governments would invest around $2 billion over the decade from 2014-15 to 2023-24 on its implementation. Investments have increased substantially since that time and the inv</w:t>
      </w:r>
      <w:r>
        <w:rPr>
          <w:color w:val="231F20"/>
        </w:rPr>
        <w:t xml:space="preserve">estment over this period </w:t>
      </w:r>
      <w:r>
        <w:rPr>
          <w:color w:val="231F20"/>
          <w:spacing w:val="-7"/>
        </w:rPr>
        <w:t xml:space="preserve">is </w:t>
      </w:r>
      <w:r>
        <w:rPr>
          <w:color w:val="231F20"/>
        </w:rPr>
        <w:t xml:space="preserve">now more than $2.7 billion </w:t>
      </w:r>
      <w:r>
        <w:rPr>
          <w:color w:val="231F20"/>
          <w:spacing w:val="-4"/>
        </w:rPr>
        <w:t xml:space="preserve">(Table </w:t>
      </w:r>
      <w:r>
        <w:rPr>
          <w:color w:val="231F20"/>
        </w:rPr>
        <w:t>1).</w:t>
      </w:r>
    </w:p>
    <w:p w:rsidR="00D1511D" w:rsidRDefault="003F0CB3">
      <w:pPr>
        <w:pStyle w:val="BodyText"/>
        <w:spacing w:before="165" w:line="280" w:lineRule="auto"/>
        <w:ind w:left="1696" w:right="1404"/>
      </w:pPr>
      <w:r>
        <w:rPr>
          <w:color w:val="231F20"/>
        </w:rPr>
        <w:t>The investment includes funding for marine park management, improving water quality, controlling coral-eating crown-of-thorns starfish, reducing marine debris, research and innovative scienc</w:t>
      </w:r>
      <w:r>
        <w:rPr>
          <w:color w:val="231F20"/>
        </w:rPr>
        <w:t>e, increasing engagement with Traditional Owners, monitoring and reporting, and the restoration and repair of coastal ecosystems. This investment continues to grow and has increased since the 2017 decision of the Committee which encouraged the acceleration</w:t>
      </w:r>
      <w:r>
        <w:rPr>
          <w:color w:val="231F20"/>
        </w:rPr>
        <w:t xml:space="preserve"> of efforts to meet the targets of the Reef 2050 Plan. Further detail about Reef investments is included at Appendix B.</w:t>
      </w:r>
    </w:p>
    <w:p w:rsidR="00D1511D" w:rsidRDefault="003F0CB3">
      <w:pPr>
        <w:pStyle w:val="BodyText"/>
        <w:spacing w:before="165" w:line="280" w:lineRule="auto"/>
        <w:ind w:left="1696" w:right="1555"/>
      </w:pPr>
      <w:r>
        <w:rPr>
          <w:color w:val="231F20"/>
        </w:rPr>
        <w:t>The Reef is a highly complex socio-ecological system. Effecting enduring positive outcomes demands not only an understanding of the Reef</w:t>
      </w:r>
      <w:r>
        <w:rPr>
          <w:color w:val="231F20"/>
        </w:rPr>
        <w:t xml:space="preserve">s’ physical processes and ecological systems, but also the importance of people in creating change. Engaging with a range of communities and </w:t>
      </w:r>
      <w:proofErr w:type="spellStart"/>
      <w:r>
        <w:rPr>
          <w:color w:val="231F20"/>
        </w:rPr>
        <w:t>utilising</w:t>
      </w:r>
      <w:proofErr w:type="spellEnd"/>
      <w:r>
        <w:rPr>
          <w:color w:val="231F20"/>
        </w:rPr>
        <w:t xml:space="preserve"> modern </w:t>
      </w:r>
      <w:proofErr w:type="spellStart"/>
      <w:r>
        <w:rPr>
          <w:color w:val="231F20"/>
        </w:rPr>
        <w:t>behavioural</w:t>
      </w:r>
      <w:proofErr w:type="spellEnd"/>
      <w:r>
        <w:rPr>
          <w:color w:val="231F20"/>
        </w:rPr>
        <w:t xml:space="preserve"> science to achieve practice change is essential to improving the long-term outlook of </w:t>
      </w:r>
      <w:r>
        <w:rPr>
          <w:color w:val="231F20"/>
        </w:rPr>
        <w:t>the Reef. Australia is driving change by empowering communities to have a positive influence on the Reef, whether it be through agricultural practice change on farms or a reduction of plastic use within households. Ensuring these changes are sustainable ov</w:t>
      </w:r>
      <w:r>
        <w:rPr>
          <w:color w:val="231F20"/>
        </w:rPr>
        <w:t>er the long-term will continue to be an important area of investment under the Reef 2050 Plan.</w:t>
      </w:r>
    </w:p>
    <w:p w:rsidR="00D1511D" w:rsidRDefault="00D1511D">
      <w:pPr>
        <w:pStyle w:val="BodyText"/>
        <w:rPr>
          <w:sz w:val="24"/>
        </w:rPr>
      </w:pPr>
    </w:p>
    <w:p w:rsidR="00D1511D" w:rsidRDefault="003F0CB3">
      <w:pPr>
        <w:pStyle w:val="Heading5"/>
        <w:spacing w:before="160"/>
        <w:ind w:left="1696"/>
        <w:jc w:val="both"/>
      </w:pPr>
      <w:r>
        <w:rPr>
          <w:color w:val="231F20"/>
        </w:rPr>
        <w:t>Table 1: Reef funding 2014-15 to 2023-24</w:t>
      </w:r>
    </w:p>
    <w:p w:rsidR="00D1511D" w:rsidRDefault="00D1511D">
      <w:pPr>
        <w:pStyle w:val="BodyText"/>
        <w:spacing w:before="3"/>
        <w:rPr>
          <w:b/>
          <w:sz w:val="16"/>
        </w:rPr>
      </w:pPr>
    </w:p>
    <w:tbl>
      <w:tblPr>
        <w:tblW w:w="0" w:type="auto"/>
        <w:tblInd w:w="1708" w:type="dxa"/>
        <w:tblBorders>
          <w:top w:val="single" w:sz="4" w:space="0" w:color="005695"/>
          <w:left w:val="single" w:sz="4" w:space="0" w:color="005695"/>
          <w:bottom w:val="single" w:sz="4" w:space="0" w:color="005695"/>
          <w:right w:val="single" w:sz="4" w:space="0" w:color="005695"/>
          <w:insideH w:val="single" w:sz="4" w:space="0" w:color="005695"/>
          <w:insideV w:val="single" w:sz="4" w:space="0" w:color="005695"/>
        </w:tblBorders>
        <w:tblLayout w:type="fixed"/>
        <w:tblCellMar>
          <w:left w:w="0" w:type="dxa"/>
          <w:right w:w="0" w:type="dxa"/>
        </w:tblCellMar>
        <w:tblLook w:val="01E0" w:firstRow="1" w:lastRow="1" w:firstColumn="1" w:lastColumn="1" w:noHBand="0" w:noVBand="0"/>
      </w:tblPr>
      <w:tblGrid>
        <w:gridCol w:w="5286"/>
        <w:gridCol w:w="2570"/>
      </w:tblGrid>
      <w:tr w:rsidR="00D1511D">
        <w:trPr>
          <w:trHeight w:val="381"/>
        </w:trPr>
        <w:tc>
          <w:tcPr>
            <w:tcW w:w="7856" w:type="dxa"/>
            <w:gridSpan w:val="2"/>
            <w:tcBorders>
              <w:top w:val="nil"/>
              <w:left w:val="nil"/>
              <w:bottom w:val="nil"/>
              <w:right w:val="nil"/>
            </w:tcBorders>
            <w:shd w:val="clear" w:color="auto" w:fill="005695"/>
          </w:tcPr>
          <w:p w:rsidR="00D1511D" w:rsidRDefault="003F0CB3">
            <w:pPr>
              <w:pStyle w:val="TableParagraph"/>
              <w:spacing w:before="78"/>
              <w:ind w:left="118"/>
              <w:rPr>
                <w:b/>
                <w:sz w:val="20"/>
              </w:rPr>
            </w:pPr>
            <w:r>
              <w:rPr>
                <w:b/>
                <w:color w:val="FFFFFF"/>
                <w:sz w:val="20"/>
              </w:rPr>
              <w:t>Australian and Queensland Government Reef funding (2014-15 to 2023-24)</w:t>
            </w:r>
          </w:p>
        </w:tc>
      </w:tr>
      <w:tr w:rsidR="00D1511D">
        <w:trPr>
          <w:trHeight w:val="386"/>
        </w:trPr>
        <w:tc>
          <w:tcPr>
            <w:tcW w:w="5286" w:type="dxa"/>
            <w:tcBorders>
              <w:top w:val="nil"/>
            </w:tcBorders>
          </w:tcPr>
          <w:p w:rsidR="00D1511D" w:rsidRDefault="003F0CB3">
            <w:pPr>
              <w:pStyle w:val="TableParagraph"/>
              <w:spacing w:before="81"/>
              <w:ind w:left="80"/>
              <w:rPr>
                <w:b/>
                <w:sz w:val="20"/>
              </w:rPr>
            </w:pPr>
            <w:r>
              <w:rPr>
                <w:b/>
                <w:color w:val="231F20"/>
                <w:sz w:val="20"/>
              </w:rPr>
              <w:t>Source</w:t>
            </w:r>
          </w:p>
        </w:tc>
        <w:tc>
          <w:tcPr>
            <w:tcW w:w="2570" w:type="dxa"/>
            <w:tcBorders>
              <w:top w:val="nil"/>
            </w:tcBorders>
          </w:tcPr>
          <w:p w:rsidR="00D1511D" w:rsidRDefault="003F0CB3">
            <w:pPr>
              <w:pStyle w:val="TableParagraph"/>
              <w:spacing w:before="81"/>
              <w:ind w:left="5"/>
              <w:rPr>
                <w:b/>
                <w:sz w:val="20"/>
              </w:rPr>
            </w:pPr>
            <w:r>
              <w:rPr>
                <w:b/>
                <w:color w:val="231F20"/>
                <w:sz w:val="20"/>
              </w:rPr>
              <w:t>All figures in AUD $m</w:t>
            </w:r>
          </w:p>
        </w:tc>
      </w:tr>
      <w:tr w:rsidR="00D1511D">
        <w:trPr>
          <w:trHeight w:val="386"/>
        </w:trPr>
        <w:tc>
          <w:tcPr>
            <w:tcW w:w="5286" w:type="dxa"/>
          </w:tcPr>
          <w:p w:rsidR="00D1511D" w:rsidRDefault="003F0CB3">
            <w:pPr>
              <w:pStyle w:val="TableParagraph"/>
              <w:spacing w:before="81"/>
              <w:ind w:left="80"/>
              <w:rPr>
                <w:sz w:val="20"/>
              </w:rPr>
            </w:pPr>
            <w:r>
              <w:rPr>
                <w:color w:val="231F20"/>
                <w:sz w:val="20"/>
              </w:rPr>
              <w:t>Australian Government Reef Programs</w:t>
            </w:r>
          </w:p>
        </w:tc>
        <w:tc>
          <w:tcPr>
            <w:tcW w:w="2570" w:type="dxa"/>
          </w:tcPr>
          <w:p w:rsidR="00D1511D" w:rsidRDefault="003F0CB3">
            <w:pPr>
              <w:pStyle w:val="TableParagraph"/>
              <w:spacing w:before="81"/>
              <w:ind w:left="5"/>
              <w:rPr>
                <w:sz w:val="20"/>
              </w:rPr>
            </w:pPr>
            <w:r>
              <w:rPr>
                <w:color w:val="231F20"/>
                <w:sz w:val="20"/>
              </w:rPr>
              <w:t>875.199</w:t>
            </w:r>
          </w:p>
        </w:tc>
      </w:tr>
      <w:tr w:rsidR="00D1511D">
        <w:trPr>
          <w:trHeight w:val="386"/>
        </w:trPr>
        <w:tc>
          <w:tcPr>
            <w:tcW w:w="5286" w:type="dxa"/>
          </w:tcPr>
          <w:p w:rsidR="00D1511D" w:rsidRDefault="003F0CB3">
            <w:pPr>
              <w:pStyle w:val="TableParagraph"/>
              <w:spacing w:before="81"/>
              <w:ind w:left="80"/>
              <w:rPr>
                <w:sz w:val="20"/>
              </w:rPr>
            </w:pPr>
            <w:r>
              <w:rPr>
                <w:color w:val="231F20"/>
                <w:sz w:val="20"/>
              </w:rPr>
              <w:t>Reef Science</w:t>
            </w:r>
          </w:p>
        </w:tc>
        <w:tc>
          <w:tcPr>
            <w:tcW w:w="2570" w:type="dxa"/>
          </w:tcPr>
          <w:p w:rsidR="00D1511D" w:rsidRDefault="003F0CB3">
            <w:pPr>
              <w:pStyle w:val="TableParagraph"/>
              <w:spacing w:before="81"/>
              <w:ind w:left="5"/>
              <w:rPr>
                <w:sz w:val="20"/>
              </w:rPr>
            </w:pPr>
            <w:r>
              <w:rPr>
                <w:color w:val="231F20"/>
                <w:sz w:val="20"/>
              </w:rPr>
              <w:t>388.606</w:t>
            </w:r>
          </w:p>
        </w:tc>
      </w:tr>
      <w:tr w:rsidR="00D1511D">
        <w:trPr>
          <w:trHeight w:val="386"/>
        </w:trPr>
        <w:tc>
          <w:tcPr>
            <w:tcW w:w="5286" w:type="dxa"/>
          </w:tcPr>
          <w:p w:rsidR="00D1511D" w:rsidRDefault="003F0CB3">
            <w:pPr>
              <w:pStyle w:val="TableParagraph"/>
              <w:spacing w:before="81"/>
              <w:ind w:left="80"/>
              <w:rPr>
                <w:sz w:val="20"/>
              </w:rPr>
            </w:pPr>
            <w:r>
              <w:rPr>
                <w:color w:val="231F20"/>
                <w:sz w:val="20"/>
              </w:rPr>
              <w:t>Great Barrier Reef Marine Park Authority</w:t>
            </w:r>
          </w:p>
        </w:tc>
        <w:tc>
          <w:tcPr>
            <w:tcW w:w="2570" w:type="dxa"/>
          </w:tcPr>
          <w:p w:rsidR="00D1511D" w:rsidRDefault="003F0CB3">
            <w:pPr>
              <w:pStyle w:val="TableParagraph"/>
              <w:spacing w:before="81"/>
              <w:ind w:left="5"/>
              <w:rPr>
                <w:sz w:val="20"/>
              </w:rPr>
            </w:pPr>
            <w:r>
              <w:rPr>
                <w:color w:val="231F20"/>
                <w:sz w:val="20"/>
              </w:rPr>
              <w:t>400.941</w:t>
            </w:r>
          </w:p>
        </w:tc>
      </w:tr>
      <w:tr w:rsidR="00D1511D">
        <w:trPr>
          <w:trHeight w:val="386"/>
        </w:trPr>
        <w:tc>
          <w:tcPr>
            <w:tcW w:w="5286" w:type="dxa"/>
          </w:tcPr>
          <w:p w:rsidR="00D1511D" w:rsidRDefault="003F0CB3">
            <w:pPr>
              <w:pStyle w:val="TableParagraph"/>
              <w:spacing w:before="81"/>
              <w:ind w:left="80"/>
              <w:rPr>
                <w:sz w:val="20"/>
              </w:rPr>
            </w:pPr>
            <w:r>
              <w:rPr>
                <w:color w:val="231F20"/>
                <w:sz w:val="20"/>
              </w:rPr>
              <w:t>Australian Maritime Safety Authority</w:t>
            </w:r>
          </w:p>
        </w:tc>
        <w:tc>
          <w:tcPr>
            <w:tcW w:w="2570" w:type="dxa"/>
          </w:tcPr>
          <w:p w:rsidR="00D1511D" w:rsidRDefault="003F0CB3">
            <w:pPr>
              <w:pStyle w:val="TableParagraph"/>
              <w:spacing w:before="81"/>
              <w:ind w:left="5"/>
              <w:rPr>
                <w:sz w:val="20"/>
              </w:rPr>
            </w:pPr>
            <w:r>
              <w:rPr>
                <w:color w:val="231F20"/>
                <w:sz w:val="20"/>
              </w:rPr>
              <w:t>270.901</w:t>
            </w:r>
          </w:p>
        </w:tc>
      </w:tr>
      <w:tr w:rsidR="00D1511D">
        <w:trPr>
          <w:trHeight w:val="386"/>
        </w:trPr>
        <w:tc>
          <w:tcPr>
            <w:tcW w:w="5286" w:type="dxa"/>
          </w:tcPr>
          <w:p w:rsidR="00D1511D" w:rsidRDefault="003F0CB3">
            <w:pPr>
              <w:pStyle w:val="TableParagraph"/>
              <w:spacing w:before="81"/>
              <w:ind w:left="80"/>
              <w:rPr>
                <w:sz w:val="20"/>
              </w:rPr>
            </w:pPr>
            <w:r>
              <w:rPr>
                <w:color w:val="231F20"/>
                <w:sz w:val="20"/>
              </w:rPr>
              <w:t>Queensland Government Reef Programs</w:t>
            </w:r>
          </w:p>
        </w:tc>
        <w:tc>
          <w:tcPr>
            <w:tcW w:w="2570" w:type="dxa"/>
          </w:tcPr>
          <w:p w:rsidR="00D1511D" w:rsidRDefault="003F0CB3">
            <w:pPr>
              <w:pStyle w:val="TableParagraph"/>
              <w:spacing w:before="81"/>
              <w:ind w:left="5"/>
              <w:rPr>
                <w:sz w:val="20"/>
              </w:rPr>
            </w:pPr>
            <w:r>
              <w:rPr>
                <w:color w:val="231F20"/>
                <w:sz w:val="20"/>
              </w:rPr>
              <w:t>498.759</w:t>
            </w:r>
          </w:p>
        </w:tc>
      </w:tr>
      <w:tr w:rsidR="00D1511D">
        <w:trPr>
          <w:trHeight w:val="386"/>
        </w:trPr>
        <w:tc>
          <w:tcPr>
            <w:tcW w:w="5286" w:type="dxa"/>
          </w:tcPr>
          <w:p w:rsidR="00D1511D" w:rsidRDefault="003F0CB3">
            <w:pPr>
              <w:pStyle w:val="TableParagraph"/>
              <w:spacing w:before="81"/>
              <w:ind w:left="80"/>
              <w:rPr>
                <w:sz w:val="20"/>
              </w:rPr>
            </w:pPr>
            <w:r>
              <w:rPr>
                <w:color w:val="231F20"/>
                <w:sz w:val="20"/>
              </w:rPr>
              <w:t>Queensland Sustainable Fisheries Programs</w:t>
            </w:r>
          </w:p>
        </w:tc>
        <w:tc>
          <w:tcPr>
            <w:tcW w:w="2570" w:type="dxa"/>
          </w:tcPr>
          <w:p w:rsidR="00D1511D" w:rsidRDefault="003F0CB3">
            <w:pPr>
              <w:pStyle w:val="TableParagraph"/>
              <w:spacing w:before="81"/>
              <w:ind w:left="5"/>
              <w:rPr>
                <w:sz w:val="20"/>
              </w:rPr>
            </w:pPr>
            <w:r>
              <w:rPr>
                <w:color w:val="231F20"/>
                <w:sz w:val="20"/>
              </w:rPr>
              <w:t>41.852</w:t>
            </w:r>
          </w:p>
        </w:tc>
      </w:tr>
      <w:tr w:rsidR="00D1511D">
        <w:trPr>
          <w:trHeight w:val="386"/>
        </w:trPr>
        <w:tc>
          <w:tcPr>
            <w:tcW w:w="5286" w:type="dxa"/>
          </w:tcPr>
          <w:p w:rsidR="00D1511D" w:rsidRDefault="003F0CB3">
            <w:pPr>
              <w:pStyle w:val="TableParagraph"/>
              <w:spacing w:before="81"/>
              <w:ind w:left="80"/>
              <w:rPr>
                <w:sz w:val="20"/>
              </w:rPr>
            </w:pPr>
            <w:r>
              <w:rPr>
                <w:color w:val="231F20"/>
                <w:sz w:val="20"/>
              </w:rPr>
              <w:t>Maritime Safety Queensland</w:t>
            </w:r>
          </w:p>
        </w:tc>
        <w:tc>
          <w:tcPr>
            <w:tcW w:w="2570" w:type="dxa"/>
          </w:tcPr>
          <w:p w:rsidR="00D1511D" w:rsidRDefault="003F0CB3">
            <w:pPr>
              <w:pStyle w:val="TableParagraph"/>
              <w:spacing w:before="81"/>
              <w:ind w:left="5"/>
              <w:rPr>
                <w:sz w:val="20"/>
              </w:rPr>
            </w:pPr>
            <w:r>
              <w:rPr>
                <w:color w:val="231F20"/>
                <w:sz w:val="20"/>
              </w:rPr>
              <w:t>280.000</w:t>
            </w:r>
          </w:p>
        </w:tc>
      </w:tr>
      <w:tr w:rsidR="00D1511D">
        <w:trPr>
          <w:trHeight w:val="386"/>
        </w:trPr>
        <w:tc>
          <w:tcPr>
            <w:tcW w:w="5286" w:type="dxa"/>
          </w:tcPr>
          <w:p w:rsidR="00D1511D" w:rsidRDefault="003F0CB3">
            <w:pPr>
              <w:pStyle w:val="TableParagraph"/>
              <w:spacing w:before="81"/>
              <w:ind w:left="80"/>
              <w:rPr>
                <w:b/>
                <w:sz w:val="20"/>
              </w:rPr>
            </w:pPr>
            <w:r>
              <w:rPr>
                <w:b/>
                <w:color w:val="231F20"/>
                <w:sz w:val="20"/>
              </w:rPr>
              <w:t>Total</w:t>
            </w:r>
          </w:p>
        </w:tc>
        <w:tc>
          <w:tcPr>
            <w:tcW w:w="2570" w:type="dxa"/>
          </w:tcPr>
          <w:p w:rsidR="00D1511D" w:rsidRDefault="003F0CB3">
            <w:pPr>
              <w:pStyle w:val="TableParagraph"/>
              <w:spacing w:before="81"/>
              <w:ind w:left="5"/>
              <w:rPr>
                <w:b/>
                <w:sz w:val="20"/>
              </w:rPr>
            </w:pPr>
            <w:r>
              <w:rPr>
                <w:b/>
                <w:color w:val="231F20"/>
                <w:sz w:val="20"/>
              </w:rPr>
              <w:t>2756.258</w:t>
            </w:r>
          </w:p>
        </w:tc>
      </w:tr>
    </w:tbl>
    <w:p w:rsidR="00D1511D" w:rsidRDefault="003F0CB3">
      <w:pPr>
        <w:pStyle w:val="BodyText"/>
        <w:spacing w:before="185"/>
        <w:ind w:left="1696"/>
        <w:jc w:val="both"/>
      </w:pPr>
      <w:r>
        <w:rPr>
          <w:color w:val="231F20"/>
        </w:rPr>
        <w:t>A full breakdown of Reef funding from 2014-15 to 2023-24 is provided at Appendix B.</w:t>
      </w: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3F0CB3">
      <w:pPr>
        <w:spacing w:before="172"/>
        <w:ind w:left="1417"/>
        <w:rPr>
          <w:rFonts w:ascii="Myriad Pro"/>
          <w:sz w:val="16"/>
        </w:rPr>
      </w:pPr>
      <w:r>
        <w:rPr>
          <w:rFonts w:ascii="Myriad Pro"/>
          <w:color w:val="231F20"/>
          <w:sz w:val="16"/>
        </w:rPr>
        <w:t xml:space="preserve">10 / </w:t>
      </w:r>
      <w:r>
        <w:rPr>
          <w:rFonts w:ascii="Myriad Pro"/>
          <w:color w:val="005695"/>
          <w:sz w:val="16"/>
        </w:rPr>
        <w:t xml:space="preserve">State Party Report on the state of conservation of the </w:t>
      </w:r>
      <w:r>
        <w:rPr>
          <w:rFonts w:ascii="Myriad Pro"/>
          <w:b/>
          <w:color w:val="005695"/>
          <w:sz w:val="16"/>
        </w:rPr>
        <w:t xml:space="preserve">Great Barrier Reef World Heritage Area (Australia) </w:t>
      </w:r>
      <w:r>
        <w:rPr>
          <w:rFonts w:ascii="Myriad Pro"/>
          <w:color w:val="005695"/>
          <w:sz w:val="16"/>
        </w:rPr>
        <w:t>2019</w:t>
      </w:r>
    </w:p>
    <w:p w:rsidR="00D1511D" w:rsidRDefault="00D1511D">
      <w:pPr>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9"/>
        <w:rPr>
          <w:rFonts w:ascii="Myriad Pro"/>
          <w:sz w:val="19"/>
        </w:rPr>
      </w:pPr>
    </w:p>
    <w:p w:rsidR="00D1511D" w:rsidRDefault="003F0CB3">
      <w:pPr>
        <w:spacing w:before="101"/>
        <w:ind w:left="1700"/>
        <w:rPr>
          <w:rFonts w:ascii="Myriad Pro"/>
          <w:sz w:val="24"/>
        </w:rPr>
      </w:pPr>
      <w:r>
        <w:rPr>
          <w:rFonts w:ascii="Myriad Pro"/>
          <w:color w:val="58595B"/>
          <w:sz w:val="24"/>
        </w:rPr>
        <w:t>Australian Government Investment</w:t>
      </w:r>
    </w:p>
    <w:p w:rsidR="00D1511D" w:rsidRDefault="003F0CB3">
      <w:pPr>
        <w:pStyle w:val="BodyText"/>
        <w:spacing w:before="205" w:line="280" w:lineRule="auto"/>
        <w:ind w:left="1700" w:right="1585"/>
      </w:pPr>
      <w:r>
        <w:rPr>
          <w:color w:val="231F20"/>
        </w:rPr>
        <w:t>The Australian Government is investing more than $1.9 billion in the Reef over 10 years. Over $875 million has been allocated to deliver Reef programs consistent with the Reef 2050 Plan. On-ground Reef protection</w:t>
      </w:r>
    </w:p>
    <w:p w:rsidR="00D1511D" w:rsidRDefault="003F0CB3">
      <w:pPr>
        <w:pStyle w:val="BodyText"/>
        <w:spacing w:line="280" w:lineRule="auto"/>
        <w:ind w:left="1700" w:right="1422"/>
      </w:pPr>
      <w:r>
        <w:rPr>
          <w:color w:val="231F20"/>
        </w:rPr>
        <w:t>through the Reef Trust has grown from an in</w:t>
      </w:r>
      <w:r>
        <w:rPr>
          <w:color w:val="231F20"/>
        </w:rPr>
        <w:t>itial multi-year investment of $40 million commencing in 2015 to a commitment of $704 million until 2022-23.</w:t>
      </w:r>
    </w:p>
    <w:p w:rsidR="00D1511D" w:rsidRDefault="003F0CB3">
      <w:pPr>
        <w:pStyle w:val="BodyText"/>
        <w:spacing w:before="167" w:line="280" w:lineRule="auto"/>
        <w:ind w:left="1700" w:right="1467"/>
      </w:pPr>
      <w:r>
        <w:rPr>
          <w:color w:val="231F20"/>
        </w:rPr>
        <w:t>The Reef 2050 Plan is underpinned by the best available science. The Australian Government invests in the science underpinning the health and resil</w:t>
      </w:r>
      <w:r>
        <w:rPr>
          <w:color w:val="231F20"/>
        </w:rPr>
        <w:t>ience of the Reef through the Australian Institute of Marine Science (AIMS). AIMS invests more than $313 million in Reef activities, including reef monitoring through programs such as the AIMS Long Term Monitoring Program; field work and experimentation in</w:t>
      </w:r>
      <w:r>
        <w:rPr>
          <w:color w:val="231F20"/>
        </w:rPr>
        <w:t xml:space="preserve"> AIMS’s world-class research aquarium facility and research and development to protect and restore the Reef from the cumulative effects of environmental stresses. The Australian Government also invests in the scientific evidence base through the National E</w:t>
      </w:r>
      <w:r>
        <w:rPr>
          <w:color w:val="231F20"/>
        </w:rPr>
        <w:t>nvironmental Science Program (NESP). Reef water quality research is a key focus for research under NESP, with total investment of more than $31 million.</w:t>
      </w:r>
    </w:p>
    <w:p w:rsidR="00D1511D" w:rsidRDefault="003F0CB3">
      <w:pPr>
        <w:pStyle w:val="BodyText"/>
        <w:spacing w:before="164" w:line="280" w:lineRule="auto"/>
        <w:ind w:left="1700" w:right="1604"/>
      </w:pPr>
      <w:r>
        <w:rPr>
          <w:color w:val="231F20"/>
        </w:rPr>
        <w:t>Australia continues to focus on reducing the impacts of shipping with $270 million invested through the</w:t>
      </w:r>
      <w:r>
        <w:rPr>
          <w:color w:val="231F20"/>
        </w:rPr>
        <w:t xml:space="preserve"> Australian Maritime Safety Authority for the protection of the marine environment, preventing and combating ship-sourced pollution, and providing infrastructure for safe navigation in Australian waters.</w:t>
      </w:r>
    </w:p>
    <w:p w:rsidR="00D1511D" w:rsidRDefault="00D1511D">
      <w:pPr>
        <w:pStyle w:val="BodyText"/>
        <w:spacing w:before="2"/>
        <w:rPr>
          <w:sz w:val="23"/>
        </w:rPr>
      </w:pPr>
    </w:p>
    <w:p w:rsidR="00D1511D" w:rsidRDefault="003F0CB3">
      <w:pPr>
        <w:pStyle w:val="Heading4"/>
      </w:pPr>
      <w:r>
        <w:rPr>
          <w:color w:val="58595B"/>
        </w:rPr>
        <w:t>Queensland Government Investment</w:t>
      </w:r>
    </w:p>
    <w:p w:rsidR="00D1511D" w:rsidRDefault="003F0CB3">
      <w:pPr>
        <w:pStyle w:val="BodyText"/>
        <w:spacing w:before="205" w:line="280" w:lineRule="auto"/>
        <w:ind w:left="1700" w:right="1951"/>
      </w:pPr>
      <w:r>
        <w:rPr>
          <w:color w:val="231F20"/>
        </w:rPr>
        <w:t>The Queensland Gov</w:t>
      </w:r>
      <w:r>
        <w:rPr>
          <w:color w:val="231F20"/>
        </w:rPr>
        <w:t xml:space="preserve">ernment is investing $820 million over 10 years to deliver a broad range of programs that benefit the Reef. Through Queensland’s Reef </w:t>
      </w:r>
      <w:r>
        <w:rPr>
          <w:color w:val="231F20"/>
          <w:spacing w:val="-4"/>
        </w:rPr>
        <w:t xml:space="preserve">Water </w:t>
      </w:r>
      <w:r>
        <w:rPr>
          <w:color w:val="231F20"/>
        </w:rPr>
        <w:t xml:space="preserve">Quality Program, a record </w:t>
      </w:r>
      <w:proofErr w:type="gramStart"/>
      <w:r>
        <w:rPr>
          <w:color w:val="231F20"/>
        </w:rPr>
        <w:t>five year</w:t>
      </w:r>
      <w:proofErr w:type="gramEnd"/>
      <w:r>
        <w:rPr>
          <w:color w:val="231F20"/>
        </w:rPr>
        <w:t xml:space="preserve"> investment of</w:t>
      </w:r>
    </w:p>
    <w:p w:rsidR="00D1511D" w:rsidRDefault="003F0CB3">
      <w:pPr>
        <w:pStyle w:val="BodyText"/>
        <w:spacing w:line="280" w:lineRule="auto"/>
        <w:ind w:left="1700" w:right="1802"/>
      </w:pPr>
      <w:r>
        <w:rPr>
          <w:color w:val="231F20"/>
        </w:rPr>
        <w:t xml:space="preserve">$261 million from 2017, the Queensland government is investing in </w:t>
      </w:r>
      <w:r>
        <w:rPr>
          <w:color w:val="231F20"/>
        </w:rPr>
        <w:t xml:space="preserve">a range of actions to reduce land-based run off. Maritime Safety Queensland is investing $280 million over 10 years to improve maritime safety in Queensland waters including the Reef, to </w:t>
      </w:r>
      <w:proofErr w:type="spellStart"/>
      <w:r>
        <w:rPr>
          <w:color w:val="231F20"/>
        </w:rPr>
        <w:t>minimise</w:t>
      </w:r>
      <w:proofErr w:type="spellEnd"/>
      <w:r>
        <w:rPr>
          <w:color w:val="231F20"/>
        </w:rPr>
        <w:t xml:space="preserve"> vessel-sourced waste and respond to marine pollution inciden</w:t>
      </w:r>
      <w:r>
        <w:rPr>
          <w:color w:val="231F20"/>
        </w:rPr>
        <w:t>ts. Queensland is investing more than $41 million to improve the sustainability of commercial and recreational fisheries.</w:t>
      </w:r>
    </w:p>
    <w:p w:rsidR="00D1511D" w:rsidRDefault="00D1511D">
      <w:pPr>
        <w:pStyle w:val="BodyText"/>
        <w:spacing w:before="11"/>
        <w:rPr>
          <w:sz w:val="22"/>
        </w:rPr>
      </w:pPr>
    </w:p>
    <w:p w:rsidR="00D1511D" w:rsidRDefault="003F0CB3">
      <w:pPr>
        <w:pStyle w:val="Heading4"/>
      </w:pPr>
      <w:r>
        <w:rPr>
          <w:color w:val="58595B"/>
        </w:rPr>
        <w:t>Local Government and the Private and Philanthropic Sectors</w:t>
      </w:r>
    </w:p>
    <w:p w:rsidR="00D1511D" w:rsidRDefault="003F0CB3">
      <w:pPr>
        <w:pStyle w:val="BodyText"/>
        <w:spacing w:before="205" w:line="280" w:lineRule="auto"/>
        <w:ind w:left="1700" w:right="1383"/>
      </w:pPr>
      <w:r>
        <w:rPr>
          <w:color w:val="231F20"/>
        </w:rPr>
        <w:t>In addition to the $2.7 billion being invested by the Australian and Queen</w:t>
      </w:r>
      <w:r>
        <w:rPr>
          <w:color w:val="231F20"/>
        </w:rPr>
        <w:t>sland governments, the Reef continues to benefit from additional investment from local governments and the private and philanthropic sectors. Local government authorities invest more than $200 million a year in urban stormwater treatment, waterways and coa</w:t>
      </w:r>
      <w:r>
        <w:rPr>
          <w:color w:val="231F20"/>
        </w:rPr>
        <w:t>stal foreshore rehabilitation, vegetation and pest management and coastal hazard adaptation strategies amongst many other actions. The private and philanthropic sectors continue to invest in Reef outcomes through awareness raising, community education, on-</w:t>
      </w:r>
      <w:r>
        <w:rPr>
          <w:color w:val="231F20"/>
        </w:rPr>
        <w:t>ground works, monitoring, planning and research.</w:t>
      </w: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spacing w:before="1"/>
        <w:rPr>
          <w:sz w:val="33"/>
        </w:rPr>
      </w:pPr>
    </w:p>
    <w:p w:rsidR="00D1511D" w:rsidRDefault="003F0CB3">
      <w:pPr>
        <w:ind w:right="1415"/>
        <w:jc w:val="right"/>
        <w:rPr>
          <w:rFonts w:ascii="Myriad Pro"/>
          <w:sz w:val="16"/>
        </w:rPr>
      </w:pPr>
      <w:r>
        <w:rPr>
          <w:rFonts w:ascii="Myriad Pro"/>
          <w:color w:val="231F20"/>
          <w:sz w:val="16"/>
        </w:rPr>
        <w:t>11</w:t>
      </w:r>
    </w:p>
    <w:p w:rsidR="00D1511D" w:rsidRDefault="00D1511D">
      <w:pPr>
        <w:jc w:val="right"/>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1"/>
        <w:rPr>
          <w:rFonts w:ascii="Myriad Pro"/>
          <w:sz w:val="15"/>
        </w:rPr>
      </w:pPr>
    </w:p>
    <w:p w:rsidR="00D1511D" w:rsidRDefault="003F0CB3">
      <w:pPr>
        <w:pStyle w:val="Heading1"/>
        <w:numPr>
          <w:ilvl w:val="0"/>
          <w:numId w:val="15"/>
        </w:numPr>
        <w:tabs>
          <w:tab w:val="left" w:pos="2420"/>
          <w:tab w:val="left" w:pos="2421"/>
        </w:tabs>
        <w:spacing w:before="106" w:line="237" w:lineRule="auto"/>
        <w:ind w:left="1700" w:right="2831" w:firstLine="0"/>
      </w:pPr>
      <w:r>
        <w:rPr>
          <w:color w:val="005695"/>
          <w:spacing w:val="-6"/>
        </w:rPr>
        <w:t xml:space="preserve">Response to </w:t>
      </w:r>
      <w:r>
        <w:rPr>
          <w:color w:val="005695"/>
          <w:spacing w:val="-5"/>
        </w:rPr>
        <w:t xml:space="preserve">the </w:t>
      </w:r>
      <w:r>
        <w:rPr>
          <w:color w:val="005695"/>
          <w:spacing w:val="-7"/>
        </w:rPr>
        <w:t xml:space="preserve">decision </w:t>
      </w:r>
      <w:r>
        <w:rPr>
          <w:color w:val="005695"/>
          <w:spacing w:val="-4"/>
        </w:rPr>
        <w:t xml:space="preserve">of </w:t>
      </w:r>
      <w:r>
        <w:rPr>
          <w:color w:val="005695"/>
          <w:spacing w:val="-5"/>
        </w:rPr>
        <w:t xml:space="preserve">the </w:t>
      </w:r>
      <w:r>
        <w:rPr>
          <w:color w:val="005695"/>
          <w:spacing w:val="-8"/>
        </w:rPr>
        <w:t xml:space="preserve">World </w:t>
      </w:r>
      <w:r>
        <w:rPr>
          <w:color w:val="005695"/>
          <w:spacing w:val="-5"/>
        </w:rPr>
        <w:t>Heritage</w:t>
      </w:r>
      <w:r>
        <w:rPr>
          <w:color w:val="005695"/>
          <w:spacing w:val="8"/>
        </w:rPr>
        <w:t xml:space="preserve"> </w:t>
      </w:r>
      <w:r>
        <w:rPr>
          <w:color w:val="005695"/>
          <w:spacing w:val="-6"/>
        </w:rPr>
        <w:t>Committee</w:t>
      </w:r>
    </w:p>
    <w:p w:rsidR="00D1511D" w:rsidRDefault="003F0CB3">
      <w:pPr>
        <w:pStyle w:val="BodyText"/>
        <w:spacing w:before="139"/>
        <w:ind w:left="1619" w:right="1575"/>
        <w:jc w:val="center"/>
      </w:pPr>
      <w:r>
        <w:rPr>
          <w:color w:val="231F20"/>
        </w:rPr>
        <w:t>This Report responds to the World Heritage Committee decision 41 COM 7B.24 (Appendix C) in three parts:</w:t>
      </w:r>
    </w:p>
    <w:p w:rsidR="00D1511D" w:rsidRDefault="003F0CB3">
      <w:pPr>
        <w:pStyle w:val="ListParagraph"/>
        <w:numPr>
          <w:ilvl w:val="0"/>
          <w:numId w:val="41"/>
        </w:numPr>
        <w:tabs>
          <w:tab w:val="left" w:pos="1928"/>
        </w:tabs>
        <w:spacing w:before="168" w:line="244" w:lineRule="auto"/>
        <w:ind w:right="1637"/>
        <w:rPr>
          <w:sz w:val="18"/>
        </w:rPr>
      </w:pPr>
      <w:r>
        <w:rPr>
          <w:color w:val="231F20"/>
          <w:sz w:val="18"/>
        </w:rPr>
        <w:t>how Australia is protecting the OUV of the Reef though an analysis of outcomes from the 2019 Outlook Report</w:t>
      </w:r>
      <w:r>
        <w:rPr>
          <w:color w:val="231F20"/>
          <w:spacing w:val="-18"/>
          <w:sz w:val="18"/>
        </w:rPr>
        <w:t xml:space="preserve"> </w:t>
      </w:r>
      <w:r>
        <w:rPr>
          <w:color w:val="231F20"/>
          <w:sz w:val="18"/>
        </w:rPr>
        <w:t xml:space="preserve">against the three pillars of </w:t>
      </w:r>
      <w:r>
        <w:rPr>
          <w:color w:val="231F20"/>
          <w:spacing w:val="-6"/>
          <w:sz w:val="18"/>
        </w:rPr>
        <w:t>OUV.</w:t>
      </w:r>
    </w:p>
    <w:p w:rsidR="00D1511D" w:rsidRDefault="003F0CB3">
      <w:pPr>
        <w:pStyle w:val="ListParagraph"/>
        <w:numPr>
          <w:ilvl w:val="0"/>
          <w:numId w:val="41"/>
        </w:numPr>
        <w:tabs>
          <w:tab w:val="left" w:pos="1928"/>
        </w:tabs>
        <w:spacing w:before="56"/>
        <w:ind w:hanging="228"/>
        <w:rPr>
          <w:sz w:val="18"/>
        </w:rPr>
      </w:pPr>
      <w:r>
        <w:rPr>
          <w:color w:val="231F20"/>
          <w:sz w:val="18"/>
        </w:rPr>
        <w:t>how the management of the Reef has been enhanced in an effort to meet the targets of the Reef 2050 Plan;</w:t>
      </w:r>
      <w:r>
        <w:rPr>
          <w:color w:val="231F20"/>
          <w:spacing w:val="-5"/>
          <w:sz w:val="18"/>
        </w:rPr>
        <w:t xml:space="preserve"> </w:t>
      </w:r>
      <w:r>
        <w:rPr>
          <w:color w:val="231F20"/>
          <w:sz w:val="18"/>
        </w:rPr>
        <w:t>and</w:t>
      </w:r>
    </w:p>
    <w:p w:rsidR="00D1511D" w:rsidRDefault="003F0CB3">
      <w:pPr>
        <w:pStyle w:val="ListParagraph"/>
        <w:numPr>
          <w:ilvl w:val="0"/>
          <w:numId w:val="41"/>
        </w:numPr>
        <w:tabs>
          <w:tab w:val="left" w:pos="1928"/>
        </w:tabs>
        <w:spacing w:before="61" w:line="244" w:lineRule="auto"/>
        <w:ind w:right="1475"/>
        <w:rPr>
          <w:sz w:val="18"/>
        </w:rPr>
      </w:pPr>
      <w:r>
        <w:rPr>
          <w:color w:val="231F20"/>
          <w:sz w:val="18"/>
        </w:rPr>
        <w:t xml:space="preserve">how effective </w:t>
      </w:r>
      <w:r>
        <w:rPr>
          <w:color w:val="231F20"/>
          <w:spacing w:val="-3"/>
          <w:sz w:val="18"/>
        </w:rPr>
        <w:t xml:space="preserve">Australia’s </w:t>
      </w:r>
      <w:r>
        <w:rPr>
          <w:color w:val="231F20"/>
          <w:sz w:val="18"/>
        </w:rPr>
        <w:t>performance has been in meeting targets established under the Reef 2050 Plan through an analysis of progress against a representative selection of these</w:t>
      </w:r>
      <w:r>
        <w:rPr>
          <w:color w:val="231F20"/>
          <w:spacing w:val="-1"/>
          <w:sz w:val="18"/>
        </w:rPr>
        <w:t xml:space="preserve"> </w:t>
      </w:r>
      <w:r>
        <w:rPr>
          <w:color w:val="231F20"/>
          <w:sz w:val="18"/>
        </w:rPr>
        <w:t>targets.</w:t>
      </w:r>
    </w:p>
    <w:p w:rsidR="00D1511D" w:rsidRDefault="00D1511D">
      <w:pPr>
        <w:pStyle w:val="BodyText"/>
        <w:rPr>
          <w:sz w:val="22"/>
        </w:rPr>
      </w:pPr>
    </w:p>
    <w:p w:rsidR="00D1511D" w:rsidRDefault="003F0CB3">
      <w:pPr>
        <w:pStyle w:val="Heading2"/>
        <w:numPr>
          <w:ilvl w:val="1"/>
          <w:numId w:val="15"/>
        </w:numPr>
        <w:tabs>
          <w:tab w:val="left" w:pos="2381"/>
          <w:tab w:val="left" w:pos="2382"/>
        </w:tabs>
        <w:spacing w:before="158" w:line="237" w:lineRule="auto"/>
        <w:ind w:right="1824"/>
      </w:pPr>
      <w:r>
        <w:rPr>
          <w:color w:val="005695"/>
          <w:spacing w:val="-3"/>
        </w:rPr>
        <w:t xml:space="preserve">Demonstrating </w:t>
      </w:r>
      <w:r>
        <w:rPr>
          <w:color w:val="005695"/>
        </w:rPr>
        <w:t>the effective and sustained protection</w:t>
      </w:r>
      <w:r>
        <w:rPr>
          <w:color w:val="005695"/>
          <w:spacing w:val="-48"/>
        </w:rPr>
        <w:t xml:space="preserve"> </w:t>
      </w:r>
      <w:r>
        <w:rPr>
          <w:color w:val="005695"/>
        </w:rPr>
        <w:t xml:space="preserve">of the property’s Outstanding </w:t>
      </w:r>
      <w:r>
        <w:rPr>
          <w:color w:val="005695"/>
          <w:spacing w:val="-3"/>
        </w:rPr>
        <w:t>Universal</w:t>
      </w:r>
      <w:r>
        <w:rPr>
          <w:color w:val="005695"/>
          <w:spacing w:val="-4"/>
        </w:rPr>
        <w:t xml:space="preserve"> </w:t>
      </w:r>
      <w:r>
        <w:rPr>
          <w:color w:val="005695"/>
          <w:spacing w:val="-5"/>
        </w:rPr>
        <w:t>Value</w:t>
      </w:r>
    </w:p>
    <w:p w:rsidR="00D1511D" w:rsidRDefault="003F0CB3">
      <w:pPr>
        <w:pStyle w:val="BodyText"/>
        <w:spacing w:before="2"/>
        <w:rPr>
          <w:rFonts w:ascii="MyriadPro-Semibold"/>
          <w:b/>
          <w:sz w:val="12"/>
        </w:rPr>
      </w:pPr>
      <w:r>
        <w:pict>
          <v:shapetype id="_x0000_t202" coordsize="21600,21600" o:spt="202" path="m,l,21600r21600,l21600,xe">
            <v:stroke joinstyle="miter"/>
            <v:path gradientshapeok="t" o:connecttype="rect"/>
          </v:shapetype>
          <v:shape id="_x0000_s1317" type="#_x0000_t202" alt="" style="position:absolute;margin-left:85.05pt;margin-top:8.55pt;width:439.4pt;height:105.6pt;z-index:-251649024;mso-wrap-style:square;mso-wrap-edited:f;mso-width-percent:0;mso-height-percent:0;mso-wrap-distance-left:0;mso-wrap-distance-right:0;mso-position-horizontal-relative:page;mso-width-percent:0;mso-height-percent:0;v-text-anchor:top" fillcolor="#cddfed" stroked="f">
            <v:textbox inset="0,0,0,0">
              <w:txbxContent>
                <w:p w:rsidR="00D1511D" w:rsidRDefault="00D1511D">
                  <w:pPr>
                    <w:pStyle w:val="BodyText"/>
                    <w:spacing w:before="3"/>
                    <w:rPr>
                      <w:rFonts w:ascii="MyriadPro-Semibold"/>
                      <w:b/>
                    </w:rPr>
                  </w:pPr>
                </w:p>
                <w:p w:rsidR="00D1511D" w:rsidRDefault="003F0CB3">
                  <w:pPr>
                    <w:spacing w:line="280" w:lineRule="auto"/>
                    <w:ind w:left="283" w:right="513"/>
                    <w:rPr>
                      <w:sz w:val="20"/>
                    </w:rPr>
                  </w:pPr>
                  <w:r>
                    <w:rPr>
                      <w:b/>
                      <w:color w:val="231F20"/>
                      <w:sz w:val="20"/>
                    </w:rPr>
                    <w:t>41 COM 7B.24 Paragraph 6</w:t>
                  </w:r>
                  <w:r>
                    <w:rPr>
                      <w:color w:val="231F20"/>
                      <w:sz w:val="20"/>
                    </w:rPr>
                    <w:t xml:space="preserve">: Reiterates its request to the State Party to submit to the </w:t>
                  </w:r>
                  <w:r>
                    <w:rPr>
                      <w:color w:val="231F20"/>
                      <w:spacing w:val="-4"/>
                      <w:sz w:val="20"/>
                    </w:rPr>
                    <w:t xml:space="preserve">World </w:t>
                  </w:r>
                  <w:r>
                    <w:rPr>
                      <w:color w:val="231F20"/>
                      <w:sz w:val="20"/>
                    </w:rPr>
                    <w:t xml:space="preserve">Heritage Centre, by 1 December 2019, an </w:t>
                  </w:r>
                  <w:r>
                    <w:rPr>
                      <w:b/>
                      <w:color w:val="231F20"/>
                      <w:sz w:val="20"/>
                    </w:rPr>
                    <w:t>overall report on the state of conservation of the property demonstrating the effective and sustained protection o</w:t>
                  </w:r>
                  <w:r>
                    <w:rPr>
                      <w:b/>
                      <w:color w:val="231F20"/>
                      <w:sz w:val="20"/>
                    </w:rPr>
                    <w:t xml:space="preserve">f the </w:t>
                  </w:r>
                  <w:r>
                    <w:rPr>
                      <w:b/>
                      <w:color w:val="231F20"/>
                      <w:spacing w:val="-3"/>
                      <w:sz w:val="20"/>
                    </w:rPr>
                    <w:t xml:space="preserve">property’s </w:t>
                  </w:r>
                  <w:r>
                    <w:rPr>
                      <w:b/>
                      <w:color w:val="231F20"/>
                      <w:sz w:val="20"/>
                    </w:rPr>
                    <w:t xml:space="preserve">Outstanding Universal </w:t>
                  </w:r>
                  <w:r>
                    <w:rPr>
                      <w:b/>
                      <w:color w:val="231F20"/>
                      <w:spacing w:val="-4"/>
                      <w:sz w:val="20"/>
                    </w:rPr>
                    <w:t xml:space="preserve">Value </w:t>
                  </w:r>
                  <w:r>
                    <w:rPr>
                      <w:color w:val="231F20"/>
                      <w:sz w:val="20"/>
                    </w:rPr>
                    <w:t xml:space="preserve">and effective performance in meeting the targets established under the Reef 2050 </w:t>
                  </w:r>
                  <w:r>
                    <w:rPr>
                      <w:color w:val="231F20"/>
                      <w:spacing w:val="-12"/>
                      <w:sz w:val="20"/>
                    </w:rPr>
                    <w:t xml:space="preserve">LTSP, </w:t>
                  </w:r>
                  <w:r>
                    <w:rPr>
                      <w:color w:val="231F20"/>
                      <w:sz w:val="20"/>
                    </w:rPr>
                    <w:t xml:space="preserve">linked </w:t>
                  </w:r>
                  <w:r>
                    <w:rPr>
                      <w:color w:val="231F20"/>
                      <w:spacing w:val="-7"/>
                      <w:sz w:val="20"/>
                    </w:rPr>
                    <w:t xml:space="preserve">to </w:t>
                  </w:r>
                  <w:r>
                    <w:rPr>
                      <w:color w:val="231F20"/>
                      <w:sz w:val="20"/>
                    </w:rPr>
                    <w:t xml:space="preserve">the findings of the 2014 and 2019 Great Barrier Reef Outlook Reports, for examination by the </w:t>
                  </w:r>
                  <w:r>
                    <w:rPr>
                      <w:color w:val="231F20"/>
                      <w:spacing w:val="-4"/>
                      <w:sz w:val="20"/>
                    </w:rPr>
                    <w:t xml:space="preserve">World </w:t>
                  </w:r>
                  <w:r>
                    <w:rPr>
                      <w:color w:val="231F20"/>
                      <w:sz w:val="20"/>
                    </w:rPr>
                    <w:t>Heritage Committee at its 44th session in 2020.</w:t>
                  </w:r>
                </w:p>
              </w:txbxContent>
            </v:textbox>
            <w10:wrap type="topAndBottom" anchorx="page"/>
          </v:shape>
        </w:pict>
      </w:r>
    </w:p>
    <w:p w:rsidR="00D1511D" w:rsidRDefault="00D1511D">
      <w:pPr>
        <w:pStyle w:val="BodyText"/>
        <w:spacing w:before="3"/>
        <w:rPr>
          <w:rFonts w:ascii="MyriadPro-Semibold"/>
          <w:b/>
          <w:sz w:val="21"/>
        </w:rPr>
      </w:pPr>
    </w:p>
    <w:p w:rsidR="00D1511D" w:rsidRDefault="003F0CB3">
      <w:pPr>
        <w:pStyle w:val="Heading3"/>
        <w:spacing w:before="101"/>
        <w:ind w:left="1700"/>
      </w:pPr>
      <w:r>
        <w:rPr>
          <w:color w:val="005695"/>
        </w:rPr>
        <w:t>State Party’s Response</w:t>
      </w:r>
    </w:p>
    <w:p w:rsidR="00D1511D" w:rsidRDefault="003F0CB3">
      <w:pPr>
        <w:pStyle w:val="BodyText"/>
        <w:spacing w:before="195" w:line="280" w:lineRule="auto"/>
        <w:ind w:left="1700" w:right="1353"/>
      </w:pPr>
      <w:r>
        <w:rPr>
          <w:color w:val="231F20"/>
        </w:rPr>
        <w:t xml:space="preserve">Every five years, the Great Barrier Reef Marine Park Authority publishes a </w:t>
      </w:r>
      <w:hyperlink r:id="rId23">
        <w:r>
          <w:rPr>
            <w:color w:val="1B5BAA"/>
            <w:u w:val="single" w:color="1B5BAA"/>
          </w:rPr>
          <w:t>Great Barrier Reef Outlook Report</w:t>
        </w:r>
      </w:hyperlink>
      <w:r>
        <w:rPr>
          <w:color w:val="1B5BAA"/>
        </w:rPr>
        <w:t xml:space="preserve"> </w:t>
      </w:r>
      <w:r>
        <w:rPr>
          <w:color w:val="231F20"/>
        </w:rPr>
        <w:t xml:space="preserve">that examines the Reef’s health, pressures, and likely future. The report is required under the </w:t>
      </w:r>
      <w:r>
        <w:rPr>
          <w:i/>
          <w:color w:val="231F20"/>
        </w:rPr>
        <w:t xml:space="preserve">Great Barrier Reef Marine Park Act 1975 </w:t>
      </w:r>
      <w:r>
        <w:rPr>
          <w:color w:val="231F20"/>
        </w:rPr>
        <w:t>and provides a regular</w:t>
      </w:r>
      <w:r>
        <w:rPr>
          <w:color w:val="231F20"/>
        </w:rPr>
        <w:t>, reliable and transparent assessment of the condition of natural and heritage values, as well as an independent assessment of management effectiveness.</w:t>
      </w:r>
    </w:p>
    <w:p w:rsidR="00D1511D" w:rsidRDefault="003F0CB3">
      <w:pPr>
        <w:pStyle w:val="BodyText"/>
        <w:spacing w:before="167" w:line="280" w:lineRule="auto"/>
        <w:ind w:left="1700" w:right="1414"/>
      </w:pPr>
      <w:r>
        <w:rPr>
          <w:color w:val="231F20"/>
        </w:rPr>
        <w:t xml:space="preserve">The </w:t>
      </w:r>
      <w:r>
        <w:rPr>
          <w:i/>
          <w:color w:val="231F20"/>
        </w:rPr>
        <w:t xml:space="preserve">Great Barrier Reef Outlook Report 2019 </w:t>
      </w:r>
      <w:r>
        <w:rPr>
          <w:color w:val="231F20"/>
        </w:rPr>
        <w:t>(2019 Outlook Report) found that key pressures on the Reef r</w:t>
      </w:r>
      <w:r>
        <w:rPr>
          <w:color w:val="231F20"/>
        </w:rPr>
        <w:t xml:space="preserve">emain largely the same as the previous 2014 assessment. Climate change (especially sea temperature </w:t>
      </w:r>
      <w:proofErr w:type="gramStart"/>
      <w:r>
        <w:rPr>
          <w:color w:val="231F20"/>
        </w:rPr>
        <w:t>rise</w:t>
      </w:r>
      <w:proofErr w:type="gramEnd"/>
      <w:r>
        <w:rPr>
          <w:color w:val="231F20"/>
        </w:rPr>
        <w:t xml:space="preserve"> and temperature extremes) remains the most serious and pervasive threat to the Reef – a threat in common with all coral reefs globally. This is consiste</w:t>
      </w:r>
      <w:r>
        <w:rPr>
          <w:color w:val="231F20"/>
        </w:rPr>
        <w:t xml:space="preserve">nt with the recently released </w:t>
      </w:r>
      <w:hyperlink r:id="rId24">
        <w:r>
          <w:rPr>
            <w:i/>
            <w:color w:val="1B5BAA"/>
            <w:u w:val="single" w:color="1B5BAA"/>
          </w:rPr>
          <w:t>IPCC Special Report on the Ocean and Cryosphere in a</w:t>
        </w:r>
      </w:hyperlink>
      <w:r>
        <w:rPr>
          <w:i/>
          <w:color w:val="1B5BAA"/>
        </w:rPr>
        <w:t xml:space="preserve"> </w:t>
      </w:r>
      <w:hyperlink r:id="rId25">
        <w:r>
          <w:rPr>
            <w:i/>
            <w:color w:val="1B5BAA"/>
            <w:u w:val="single" w:color="1B5BAA"/>
          </w:rPr>
          <w:t>Changing Environment</w:t>
        </w:r>
        <w:r>
          <w:rPr>
            <w:i/>
            <w:color w:val="1B5BAA"/>
          </w:rPr>
          <w:t xml:space="preserve"> </w:t>
        </w:r>
      </w:hyperlink>
      <w:r>
        <w:rPr>
          <w:color w:val="231F20"/>
        </w:rPr>
        <w:t>which stated “Almost all war</w:t>
      </w:r>
      <w:r>
        <w:rPr>
          <w:color w:val="231F20"/>
        </w:rPr>
        <w:t>m-water coral reefs are projected to suffer significant losses of area and local extinctions, even if global warming is limited to 1.5°C.”</w:t>
      </w:r>
      <w:r>
        <w:rPr>
          <w:color w:val="231F20"/>
          <w:position w:val="7"/>
          <w:sz w:val="11"/>
        </w:rPr>
        <w:t xml:space="preserve">4 </w:t>
      </w:r>
      <w:r>
        <w:rPr>
          <w:color w:val="231F20"/>
        </w:rPr>
        <w:t xml:space="preserve">The other key threats were associated with land-based run-off, coastal development and some aspects of direct human use such as illegal fishing. It concluded that the long-term outlook for the Reef’s ecosystem has deteriorated from </w:t>
      </w:r>
      <w:r>
        <w:rPr>
          <w:i/>
          <w:color w:val="231F20"/>
        </w:rPr>
        <w:t xml:space="preserve">poor </w:t>
      </w:r>
      <w:r>
        <w:rPr>
          <w:color w:val="231F20"/>
        </w:rPr>
        <w:t xml:space="preserve">to </w:t>
      </w:r>
      <w:r>
        <w:rPr>
          <w:i/>
          <w:color w:val="231F20"/>
        </w:rPr>
        <w:t xml:space="preserve">very poor </w:t>
      </w:r>
      <w:r>
        <w:rPr>
          <w:color w:val="231F20"/>
        </w:rPr>
        <w:t>and in</w:t>
      </w:r>
      <w:r>
        <w:rPr>
          <w:color w:val="231F20"/>
        </w:rPr>
        <w:t>dicated that accelerated action to mitigate climate change and improve water quality is essential to turn around this outlook.</w:t>
      </w:r>
    </w:p>
    <w:p w:rsidR="00D1511D" w:rsidRDefault="003F0CB3">
      <w:pPr>
        <w:pStyle w:val="BodyText"/>
        <w:spacing w:before="162" w:line="280" w:lineRule="auto"/>
        <w:ind w:left="1700" w:right="1463"/>
      </w:pPr>
      <w:r>
        <w:rPr>
          <w:color w:val="231F20"/>
        </w:rPr>
        <w:t>Concerted global action to limit global warming is needed to turn around the deteriorating outlook for the Great Barrier Reef – a</w:t>
      </w:r>
      <w:r>
        <w:rPr>
          <w:color w:val="231F20"/>
        </w:rPr>
        <w:t>nd all other coral reefs. This is the context in which Australia manages the Reef and is the context in which this State Party Report has been prepared. We are actively managing the pressures over which we have direct control through investment and regulat</w:t>
      </w:r>
      <w:r>
        <w:rPr>
          <w:color w:val="231F20"/>
        </w:rPr>
        <w:t>ion based on the best available science.</w:t>
      </w:r>
    </w:p>
    <w:p w:rsidR="00D1511D" w:rsidRDefault="003F0CB3">
      <w:pPr>
        <w:pStyle w:val="BodyText"/>
        <w:spacing w:before="167" w:line="280" w:lineRule="auto"/>
        <w:ind w:left="1700" w:right="1359"/>
      </w:pPr>
      <w:r>
        <w:rPr>
          <w:color w:val="231F20"/>
        </w:rPr>
        <w:t>The 2019 Outlook Report included nine assessments covering biodiversity, ecosystem health, heritage values, commercial and non-commercial use, factors influencing the Reef’s values, existing protection and management, resilience, risks and a long-term outl</w:t>
      </w:r>
      <w:r>
        <w:rPr>
          <w:color w:val="231F20"/>
        </w:rPr>
        <w:t>ook for both the ecosystem and heritage values. To do this, the report assessed</w:t>
      </w:r>
    </w:p>
    <w:p w:rsidR="00D1511D" w:rsidRDefault="003F0CB3">
      <w:pPr>
        <w:pStyle w:val="BodyText"/>
        <w:spacing w:before="9"/>
      </w:pPr>
      <w:r>
        <w:pict>
          <v:shape id="_x0000_s1316" alt="" style="position:absolute;margin-left:85.05pt;margin-top:14.65pt;width:124.75pt;height:.1pt;z-index:-251648000;mso-wrap-edited:f;mso-width-percent:0;mso-height-percent:0;mso-wrap-distance-left:0;mso-wrap-distance-right:0;mso-position-horizontal-relative:page;mso-width-percent:0;mso-height-percent:0" coordsize="2495,1270" path="m,l2494,e" filled="f" strokecolor="#231f20" strokeweight=".5pt">
            <v:path arrowok="t" o:connecttype="custom" o:connectlocs="0,0;1583690,0" o:connectangles="0,0"/>
            <w10:wrap type="topAndBottom" anchorx="page"/>
          </v:shape>
        </w:pict>
      </w:r>
    </w:p>
    <w:p w:rsidR="00D1511D" w:rsidRDefault="003F0CB3">
      <w:pPr>
        <w:spacing w:before="66"/>
        <w:ind w:left="1700"/>
        <w:rPr>
          <w:sz w:val="16"/>
        </w:rPr>
      </w:pPr>
      <w:r>
        <w:rPr>
          <w:color w:val="231F20"/>
          <w:sz w:val="16"/>
        </w:rPr>
        <w:t xml:space="preserve">4 IPCC Special Report on the Ocean and Cryosphere in a Changing Environment, 25 September 2019. </w:t>
      </w:r>
      <w:proofErr w:type="spellStart"/>
      <w:r>
        <w:rPr>
          <w:color w:val="231F20"/>
          <w:sz w:val="16"/>
        </w:rPr>
        <w:t>Pg</w:t>
      </w:r>
      <w:proofErr w:type="spellEnd"/>
      <w:r>
        <w:rPr>
          <w:color w:val="231F20"/>
          <w:sz w:val="16"/>
        </w:rPr>
        <w:t xml:space="preserve"> 34.</w:t>
      </w:r>
    </w:p>
    <w:p w:rsidR="00D1511D" w:rsidRDefault="00D1511D">
      <w:pPr>
        <w:pStyle w:val="BodyText"/>
        <w:spacing w:before="9"/>
        <w:rPr>
          <w:sz w:val="29"/>
        </w:rPr>
      </w:pPr>
    </w:p>
    <w:p w:rsidR="00D1511D" w:rsidRDefault="003F0CB3">
      <w:pPr>
        <w:ind w:left="1417"/>
        <w:rPr>
          <w:rFonts w:ascii="Myriad Pro"/>
          <w:sz w:val="16"/>
        </w:rPr>
      </w:pPr>
      <w:r>
        <w:rPr>
          <w:rFonts w:ascii="Myriad Pro"/>
          <w:color w:val="231F20"/>
          <w:sz w:val="16"/>
        </w:rPr>
        <w:t xml:space="preserve">12 / </w:t>
      </w:r>
      <w:r>
        <w:rPr>
          <w:rFonts w:ascii="Myriad Pro"/>
          <w:color w:val="005695"/>
          <w:sz w:val="16"/>
        </w:rPr>
        <w:t xml:space="preserve">State Party Report on the state of conservation of the </w:t>
      </w:r>
      <w:r>
        <w:rPr>
          <w:rFonts w:ascii="Myriad Pro"/>
          <w:b/>
          <w:color w:val="005695"/>
          <w:sz w:val="16"/>
        </w:rPr>
        <w:t>Great Barr</w:t>
      </w:r>
      <w:r>
        <w:rPr>
          <w:rFonts w:ascii="Myriad Pro"/>
          <w:b/>
          <w:color w:val="005695"/>
          <w:sz w:val="16"/>
        </w:rPr>
        <w:t xml:space="preserve">ier Reef World Heritage Area (Australia) </w:t>
      </w:r>
      <w:r>
        <w:rPr>
          <w:rFonts w:ascii="Myriad Pro"/>
          <w:color w:val="005695"/>
          <w:sz w:val="16"/>
        </w:rPr>
        <w:t>2019</w:t>
      </w:r>
    </w:p>
    <w:p w:rsidR="00D1511D" w:rsidRDefault="00D1511D">
      <w:pPr>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9"/>
        <w:rPr>
          <w:rFonts w:ascii="Myriad Pro"/>
          <w:sz w:val="21"/>
        </w:rPr>
      </w:pPr>
    </w:p>
    <w:p w:rsidR="00D1511D" w:rsidRDefault="003F0CB3">
      <w:pPr>
        <w:pStyle w:val="BodyText"/>
        <w:spacing w:line="280" w:lineRule="auto"/>
        <w:ind w:left="1700" w:right="1585"/>
      </w:pPr>
      <w:r>
        <w:rPr>
          <w:color w:val="231F20"/>
        </w:rPr>
        <w:t>87 components of which 38 were then mapped to the OUV of the property, enabling an assessment of current state and future trends.</w:t>
      </w:r>
    </w:p>
    <w:p w:rsidR="00D1511D" w:rsidRDefault="003F0CB3">
      <w:pPr>
        <w:pStyle w:val="BodyText"/>
        <w:spacing w:before="169" w:line="280" w:lineRule="auto"/>
        <w:ind w:left="1700" w:right="1415"/>
        <w:jc w:val="both"/>
      </w:pPr>
      <w:r>
        <w:rPr>
          <w:color w:val="231F20"/>
        </w:rPr>
        <w:t>The 2019 Outlook Report concluded that the OUV of the Ree</w:t>
      </w:r>
      <w:r>
        <w:rPr>
          <w:color w:val="231F20"/>
        </w:rPr>
        <w:t xml:space="preserve">f remains whole and intact and maintains many of the elements that make up its </w:t>
      </w:r>
      <w:r>
        <w:rPr>
          <w:color w:val="231F20"/>
          <w:spacing w:val="-6"/>
        </w:rPr>
        <w:t xml:space="preserve">OUV, </w:t>
      </w:r>
      <w:r>
        <w:rPr>
          <w:color w:val="231F20"/>
          <w:spacing w:val="-3"/>
        </w:rPr>
        <w:t xml:space="preserve">however, </w:t>
      </w:r>
      <w:r>
        <w:rPr>
          <w:color w:val="231F20"/>
        </w:rPr>
        <w:t xml:space="preserve">components that underpin all four natural criteria have deteriorated since the Reef’s inscription on the </w:t>
      </w:r>
      <w:r>
        <w:rPr>
          <w:color w:val="231F20"/>
          <w:spacing w:val="-4"/>
        </w:rPr>
        <w:t xml:space="preserve">World </w:t>
      </w:r>
      <w:r>
        <w:rPr>
          <w:color w:val="231F20"/>
        </w:rPr>
        <w:t xml:space="preserve">Heritage List. The size of the property is becoming </w:t>
      </w:r>
      <w:r>
        <w:rPr>
          <w:color w:val="231F20"/>
        </w:rPr>
        <w:t>a less effective buffer to broadscale and cumulative threats, primarily due to climate change.</w:t>
      </w:r>
    </w:p>
    <w:p w:rsidR="00D1511D" w:rsidRDefault="003F0CB3">
      <w:pPr>
        <w:pStyle w:val="BodyText"/>
        <w:spacing w:before="166" w:line="280" w:lineRule="auto"/>
        <w:ind w:left="1700" w:right="1585"/>
      </w:pPr>
      <w:r>
        <w:rPr>
          <w:color w:val="231F20"/>
        </w:rPr>
        <w:t xml:space="preserve">An overall summary of the World Heritage attributes from the 2019 Outlook Report and an assessment of the linkages between the Outlook Report and the Reef’s OUV </w:t>
      </w:r>
      <w:r>
        <w:rPr>
          <w:color w:val="231F20"/>
        </w:rPr>
        <w:t>are provided at Appendix D.</w:t>
      </w:r>
    </w:p>
    <w:p w:rsidR="00D1511D" w:rsidRDefault="00D1511D">
      <w:pPr>
        <w:pStyle w:val="BodyText"/>
        <w:spacing w:before="7"/>
        <w:rPr>
          <w:sz w:val="29"/>
        </w:rPr>
      </w:pPr>
    </w:p>
    <w:p w:rsidR="00D1511D" w:rsidRDefault="003F0CB3">
      <w:pPr>
        <w:pStyle w:val="Heading3"/>
        <w:numPr>
          <w:ilvl w:val="2"/>
          <w:numId w:val="15"/>
        </w:numPr>
        <w:tabs>
          <w:tab w:val="left" w:pos="2420"/>
          <w:tab w:val="left" w:pos="2421"/>
        </w:tabs>
      </w:pPr>
      <w:r>
        <w:rPr>
          <w:color w:val="005695"/>
          <w:spacing w:val="-4"/>
        </w:rPr>
        <w:t xml:space="preserve">Pillar </w:t>
      </w:r>
      <w:r>
        <w:rPr>
          <w:color w:val="005695"/>
          <w:spacing w:val="-10"/>
        </w:rPr>
        <w:t xml:space="preserve">1: </w:t>
      </w:r>
      <w:r>
        <w:rPr>
          <w:color w:val="005695"/>
        </w:rPr>
        <w:t xml:space="preserve">The </w:t>
      </w:r>
      <w:r>
        <w:rPr>
          <w:color w:val="005695"/>
          <w:spacing w:val="-4"/>
        </w:rPr>
        <w:t xml:space="preserve">World </w:t>
      </w:r>
      <w:r>
        <w:rPr>
          <w:color w:val="005695"/>
        </w:rPr>
        <w:t>Heritage</w:t>
      </w:r>
      <w:r>
        <w:rPr>
          <w:color w:val="005695"/>
          <w:spacing w:val="17"/>
        </w:rPr>
        <w:t xml:space="preserve"> </w:t>
      </w:r>
      <w:r>
        <w:rPr>
          <w:color w:val="005695"/>
          <w:spacing w:val="-3"/>
        </w:rPr>
        <w:t>criteria</w:t>
      </w:r>
    </w:p>
    <w:p w:rsidR="00D1511D" w:rsidRDefault="003F0CB3">
      <w:pPr>
        <w:pStyle w:val="BodyText"/>
        <w:spacing w:before="195" w:line="280" w:lineRule="auto"/>
        <w:ind w:left="1700" w:right="1608"/>
      </w:pPr>
      <w:r>
        <w:rPr>
          <w:color w:val="231F20"/>
        </w:rPr>
        <w:t xml:space="preserve">The Reef is inscribed on the World Heritage List under four natural world heritage criteria. The 2019 Outlook Report (chapter 4) provides assessments under each of these criteria, </w:t>
      </w:r>
      <w:proofErr w:type="spellStart"/>
      <w:r>
        <w:rPr>
          <w:color w:val="231F20"/>
        </w:rPr>
        <w:t>summarised</w:t>
      </w:r>
      <w:proofErr w:type="spellEnd"/>
      <w:r>
        <w:rPr>
          <w:color w:val="231F20"/>
        </w:rPr>
        <w:t xml:space="preserve"> below.</w:t>
      </w:r>
    </w:p>
    <w:p w:rsidR="00D1511D" w:rsidRDefault="003F0CB3">
      <w:pPr>
        <w:pStyle w:val="ListParagraph"/>
        <w:numPr>
          <w:ilvl w:val="0"/>
          <w:numId w:val="40"/>
        </w:numPr>
        <w:tabs>
          <w:tab w:val="left" w:pos="2060"/>
          <w:tab w:val="left" w:pos="2061"/>
        </w:tabs>
        <w:spacing w:before="168" w:line="280" w:lineRule="auto"/>
        <w:ind w:right="1913"/>
        <w:rPr>
          <w:color w:val="231F20"/>
          <w:sz w:val="20"/>
        </w:rPr>
      </w:pPr>
      <w:r>
        <w:rPr>
          <w:b/>
          <w:color w:val="231F20"/>
          <w:sz w:val="20"/>
        </w:rPr>
        <w:t xml:space="preserve">Natural beauty and natural phenomena </w:t>
      </w:r>
      <w:r>
        <w:rPr>
          <w:color w:val="231F20"/>
          <w:sz w:val="20"/>
        </w:rPr>
        <w:t>(criterion vii) – the</w:t>
      </w:r>
      <w:r>
        <w:rPr>
          <w:color w:val="231F20"/>
          <w:sz w:val="20"/>
        </w:rPr>
        <w:t xml:space="preserve"> natural beauty and natural phenomena of the Reef endure. </w:t>
      </w:r>
      <w:r>
        <w:rPr>
          <w:color w:val="231F20"/>
          <w:spacing w:val="-3"/>
          <w:sz w:val="20"/>
        </w:rPr>
        <w:t xml:space="preserve">However, </w:t>
      </w:r>
      <w:r>
        <w:rPr>
          <w:color w:val="231F20"/>
          <w:sz w:val="20"/>
        </w:rPr>
        <w:t>it is clear that coral mortality (resulting from sea temperature extremes</w:t>
      </w:r>
      <w:r>
        <w:rPr>
          <w:color w:val="231F20"/>
          <w:spacing w:val="-12"/>
          <w:sz w:val="20"/>
        </w:rPr>
        <w:t xml:space="preserve"> </w:t>
      </w:r>
      <w:r>
        <w:rPr>
          <w:color w:val="231F20"/>
          <w:sz w:val="20"/>
        </w:rPr>
        <w:t>in</w:t>
      </w:r>
    </w:p>
    <w:p w:rsidR="00D1511D" w:rsidRDefault="003F0CB3">
      <w:pPr>
        <w:pStyle w:val="BodyText"/>
        <w:spacing w:line="280" w:lineRule="auto"/>
        <w:ind w:left="2060" w:right="1585"/>
      </w:pPr>
      <w:r>
        <w:rPr>
          <w:color w:val="231F20"/>
        </w:rPr>
        <w:t>combination</w:t>
      </w:r>
      <w:r>
        <w:rPr>
          <w:color w:val="231F20"/>
          <w:spacing w:val="-4"/>
        </w:rPr>
        <w:t xml:space="preserve"> </w:t>
      </w:r>
      <w:r>
        <w:rPr>
          <w:color w:val="231F20"/>
        </w:rPr>
        <w:t>with</w:t>
      </w:r>
      <w:r>
        <w:rPr>
          <w:color w:val="231F20"/>
          <w:spacing w:val="-3"/>
        </w:rPr>
        <w:t xml:space="preserve"> </w:t>
      </w:r>
      <w:r>
        <w:rPr>
          <w:color w:val="231F20"/>
        </w:rPr>
        <w:t>predation</w:t>
      </w:r>
      <w:r>
        <w:rPr>
          <w:color w:val="231F20"/>
          <w:spacing w:val="-3"/>
        </w:rPr>
        <w:t xml:space="preserve"> </w:t>
      </w:r>
      <w:r>
        <w:rPr>
          <w:color w:val="231F20"/>
        </w:rPr>
        <w:t>from</w:t>
      </w:r>
      <w:r>
        <w:rPr>
          <w:color w:val="231F20"/>
          <w:spacing w:val="-3"/>
        </w:rPr>
        <w:t xml:space="preserve"> </w:t>
      </w:r>
      <w:r>
        <w:rPr>
          <w:color w:val="231F20"/>
        </w:rPr>
        <w:t>crown-of-thorns</w:t>
      </w:r>
      <w:r>
        <w:rPr>
          <w:color w:val="231F20"/>
          <w:spacing w:val="-3"/>
        </w:rPr>
        <w:t xml:space="preserve"> </w:t>
      </w:r>
      <w:r>
        <w:rPr>
          <w:color w:val="231F20"/>
        </w:rPr>
        <w:t>starfish)</w:t>
      </w:r>
      <w:r>
        <w:rPr>
          <w:color w:val="231F20"/>
          <w:spacing w:val="-4"/>
        </w:rPr>
        <w:t xml:space="preserve"> </w:t>
      </w:r>
      <w:r>
        <w:rPr>
          <w:color w:val="231F20"/>
        </w:rPr>
        <w:t>and</w:t>
      </w:r>
      <w:r>
        <w:rPr>
          <w:color w:val="231F20"/>
          <w:spacing w:val="-3"/>
        </w:rPr>
        <w:t xml:space="preserve"> </w:t>
      </w:r>
      <w:r>
        <w:rPr>
          <w:color w:val="231F20"/>
        </w:rPr>
        <w:t>impacts</w:t>
      </w:r>
      <w:r>
        <w:rPr>
          <w:color w:val="231F20"/>
          <w:spacing w:val="-3"/>
        </w:rPr>
        <w:t xml:space="preserve"> </w:t>
      </w:r>
      <w:r>
        <w:rPr>
          <w:color w:val="231F20"/>
        </w:rPr>
        <w:t>from</w:t>
      </w:r>
      <w:r>
        <w:rPr>
          <w:color w:val="231F20"/>
          <w:spacing w:val="-3"/>
        </w:rPr>
        <w:t xml:space="preserve"> </w:t>
      </w:r>
      <w:r>
        <w:rPr>
          <w:color w:val="231F20"/>
        </w:rPr>
        <w:t>severe</w:t>
      </w:r>
      <w:r>
        <w:rPr>
          <w:color w:val="231F20"/>
          <w:spacing w:val="-3"/>
        </w:rPr>
        <w:t xml:space="preserve"> </w:t>
      </w:r>
      <w:r>
        <w:rPr>
          <w:color w:val="231F20"/>
        </w:rPr>
        <w:t>cyclones</w:t>
      </w:r>
      <w:r>
        <w:rPr>
          <w:color w:val="231F20"/>
          <w:spacing w:val="-4"/>
        </w:rPr>
        <w:t xml:space="preserve"> </w:t>
      </w:r>
      <w:r>
        <w:rPr>
          <w:color w:val="231F20"/>
        </w:rPr>
        <w:t>has</w:t>
      </w:r>
      <w:r>
        <w:rPr>
          <w:color w:val="231F20"/>
          <w:spacing w:val="-3"/>
        </w:rPr>
        <w:t xml:space="preserve"> </w:t>
      </w:r>
      <w:r>
        <w:rPr>
          <w:color w:val="231F20"/>
        </w:rPr>
        <w:t xml:space="preserve">affected aspects </w:t>
      </w:r>
      <w:r>
        <w:rPr>
          <w:color w:val="231F20"/>
        </w:rPr>
        <w:t>of the Reef’s natural beauty and natural phenomena.</w:t>
      </w:r>
    </w:p>
    <w:p w:rsidR="00D1511D" w:rsidRDefault="003F0CB3">
      <w:pPr>
        <w:pStyle w:val="ListParagraph"/>
        <w:numPr>
          <w:ilvl w:val="0"/>
          <w:numId w:val="40"/>
        </w:numPr>
        <w:tabs>
          <w:tab w:val="left" w:pos="2060"/>
          <w:tab w:val="left" w:pos="2061"/>
        </w:tabs>
        <w:spacing w:before="167" w:line="280" w:lineRule="auto"/>
        <w:ind w:right="1428"/>
        <w:rPr>
          <w:color w:val="231F20"/>
          <w:sz w:val="20"/>
        </w:rPr>
      </w:pPr>
      <w:r>
        <w:rPr>
          <w:b/>
          <w:color w:val="231F20"/>
          <w:sz w:val="20"/>
        </w:rPr>
        <w:t xml:space="preserve">Major stages of the </w:t>
      </w:r>
      <w:r>
        <w:rPr>
          <w:b/>
          <w:color w:val="231F20"/>
          <w:spacing w:val="-5"/>
          <w:sz w:val="20"/>
        </w:rPr>
        <w:t xml:space="preserve">Earth’s </w:t>
      </w:r>
      <w:r>
        <w:rPr>
          <w:b/>
          <w:color w:val="231F20"/>
          <w:sz w:val="20"/>
        </w:rPr>
        <w:t xml:space="preserve">evolutionary history </w:t>
      </w:r>
      <w:r>
        <w:rPr>
          <w:color w:val="231F20"/>
          <w:sz w:val="20"/>
        </w:rPr>
        <w:t xml:space="preserve">(criterion viii) – the Reef continues to provide outstanding examples of the </w:t>
      </w:r>
      <w:r>
        <w:rPr>
          <w:color w:val="231F20"/>
          <w:spacing w:val="-5"/>
          <w:sz w:val="20"/>
        </w:rPr>
        <w:t xml:space="preserve">earth’s </w:t>
      </w:r>
      <w:r>
        <w:rPr>
          <w:color w:val="231F20"/>
          <w:sz w:val="20"/>
        </w:rPr>
        <w:t>evolutional history and geomorphological diversity, though Reef distur</w:t>
      </w:r>
      <w:r>
        <w:rPr>
          <w:color w:val="231F20"/>
          <w:sz w:val="20"/>
        </w:rPr>
        <w:t>bances will have some long-lasting</w:t>
      </w:r>
      <w:r>
        <w:rPr>
          <w:color w:val="231F20"/>
          <w:spacing w:val="-1"/>
          <w:sz w:val="20"/>
        </w:rPr>
        <w:t xml:space="preserve"> </w:t>
      </w:r>
      <w:r>
        <w:rPr>
          <w:color w:val="231F20"/>
          <w:sz w:val="20"/>
        </w:rPr>
        <w:t>effects.</w:t>
      </w:r>
    </w:p>
    <w:p w:rsidR="00D1511D" w:rsidRDefault="003F0CB3">
      <w:pPr>
        <w:pStyle w:val="ListParagraph"/>
        <w:numPr>
          <w:ilvl w:val="0"/>
          <w:numId w:val="40"/>
        </w:numPr>
        <w:tabs>
          <w:tab w:val="left" w:pos="2060"/>
          <w:tab w:val="left" w:pos="2061"/>
        </w:tabs>
        <w:spacing w:before="168" w:line="280" w:lineRule="auto"/>
        <w:ind w:right="1556"/>
        <w:rPr>
          <w:color w:val="231F20"/>
          <w:sz w:val="20"/>
        </w:rPr>
      </w:pPr>
      <w:r>
        <w:rPr>
          <w:b/>
          <w:color w:val="231F20"/>
          <w:sz w:val="20"/>
        </w:rPr>
        <w:t xml:space="preserve">Ecological and biological processes </w:t>
      </w:r>
      <w:r>
        <w:rPr>
          <w:color w:val="231F20"/>
          <w:sz w:val="20"/>
        </w:rPr>
        <w:t xml:space="preserve">(criterion ix) – ecosystem processes continue to operate, with ecological and biological processes, such as primary production, microbial process and herbivory, </w:t>
      </w:r>
      <w:r>
        <w:rPr>
          <w:color w:val="231F20"/>
          <w:spacing w:val="-3"/>
          <w:sz w:val="20"/>
        </w:rPr>
        <w:t xml:space="preserve">remaining </w:t>
      </w:r>
      <w:r>
        <w:rPr>
          <w:color w:val="231F20"/>
          <w:sz w:val="20"/>
        </w:rPr>
        <w:t>in ve</w:t>
      </w:r>
      <w:r>
        <w:rPr>
          <w:color w:val="231F20"/>
          <w:sz w:val="20"/>
        </w:rPr>
        <w:t xml:space="preserve">ry good to good condition. </w:t>
      </w:r>
      <w:r>
        <w:rPr>
          <w:color w:val="231F20"/>
          <w:spacing w:val="-3"/>
          <w:sz w:val="20"/>
        </w:rPr>
        <w:t xml:space="preserve">However, </w:t>
      </w:r>
      <w:r>
        <w:rPr>
          <w:color w:val="231F20"/>
          <w:sz w:val="20"/>
        </w:rPr>
        <w:t>climate change is having a detrimental impact on some</w:t>
      </w:r>
      <w:r>
        <w:rPr>
          <w:color w:val="231F20"/>
          <w:spacing w:val="4"/>
          <w:sz w:val="20"/>
        </w:rPr>
        <w:t xml:space="preserve"> </w:t>
      </w:r>
      <w:r>
        <w:rPr>
          <w:color w:val="231F20"/>
          <w:sz w:val="20"/>
        </w:rPr>
        <w:t>critical</w:t>
      </w:r>
    </w:p>
    <w:p w:rsidR="00D1511D" w:rsidRDefault="003F0CB3">
      <w:pPr>
        <w:pStyle w:val="BodyText"/>
        <w:spacing w:line="280" w:lineRule="auto"/>
        <w:ind w:left="2060" w:right="1420"/>
      </w:pPr>
      <w:r>
        <w:rPr>
          <w:color w:val="231F20"/>
        </w:rPr>
        <w:t xml:space="preserve">regulating processes such as sea temperature, reef building and recruitment (the addition of new young to </w:t>
      </w:r>
      <w:r>
        <w:rPr>
          <w:color w:val="231F20"/>
          <w:spacing w:val="-4"/>
        </w:rPr>
        <w:t xml:space="preserve">the </w:t>
      </w:r>
      <w:r>
        <w:rPr>
          <w:color w:val="231F20"/>
        </w:rPr>
        <w:t>population) which means the ability of the system to ‘bounce back’ is</w:t>
      </w:r>
      <w:r>
        <w:rPr>
          <w:color w:val="231F20"/>
          <w:spacing w:val="-3"/>
        </w:rPr>
        <w:t xml:space="preserve"> </w:t>
      </w:r>
      <w:r>
        <w:rPr>
          <w:color w:val="231F20"/>
        </w:rPr>
        <w:t>weakening.</w:t>
      </w:r>
    </w:p>
    <w:p w:rsidR="00D1511D" w:rsidRDefault="003F0CB3">
      <w:pPr>
        <w:pStyle w:val="ListParagraph"/>
        <w:numPr>
          <w:ilvl w:val="0"/>
          <w:numId w:val="40"/>
        </w:numPr>
        <w:tabs>
          <w:tab w:val="left" w:pos="2060"/>
          <w:tab w:val="left" w:pos="2061"/>
        </w:tabs>
        <w:spacing w:before="166" w:line="280" w:lineRule="auto"/>
        <w:ind w:right="1544"/>
        <w:rPr>
          <w:color w:val="231F20"/>
          <w:sz w:val="20"/>
        </w:rPr>
      </w:pPr>
      <w:r>
        <w:rPr>
          <w:b/>
          <w:color w:val="231F20"/>
          <w:sz w:val="20"/>
        </w:rPr>
        <w:t xml:space="preserve">Habitats for conservation of biodiversity </w:t>
      </w:r>
      <w:r>
        <w:rPr>
          <w:color w:val="231F20"/>
          <w:sz w:val="20"/>
        </w:rPr>
        <w:t>(criterion x) – the Ree</w:t>
      </w:r>
      <w:r>
        <w:rPr>
          <w:color w:val="231F20"/>
          <w:sz w:val="20"/>
        </w:rPr>
        <w:t xml:space="preserve">f continues to be one of the richest and most complex natural ecosystems on earth, and one of the most significant for biodiversity conservation. Large habitats, such as the lagoon </w:t>
      </w:r>
      <w:r>
        <w:rPr>
          <w:color w:val="231F20"/>
          <w:spacing w:val="-3"/>
          <w:sz w:val="20"/>
        </w:rPr>
        <w:t xml:space="preserve">floor, </w:t>
      </w:r>
      <w:r>
        <w:rPr>
          <w:color w:val="231F20"/>
          <w:sz w:val="20"/>
        </w:rPr>
        <w:t>are considered to be in good condition, whereas coral reef habitat h</w:t>
      </w:r>
      <w:r>
        <w:rPr>
          <w:color w:val="231F20"/>
          <w:sz w:val="20"/>
        </w:rPr>
        <w:t>as deteriorated and is considered to be in very poor condition. Threats from a changing climate and other human impacts have led to habitat loss and degradation in a number of areas, which is having a detrimental impact on habitats for conservation of</w:t>
      </w:r>
      <w:r>
        <w:rPr>
          <w:color w:val="231F20"/>
          <w:spacing w:val="-2"/>
          <w:sz w:val="20"/>
        </w:rPr>
        <w:t xml:space="preserve"> </w:t>
      </w:r>
      <w:r>
        <w:rPr>
          <w:color w:val="231F20"/>
          <w:sz w:val="20"/>
        </w:rPr>
        <w:t>biod</w:t>
      </w:r>
      <w:r>
        <w:rPr>
          <w:color w:val="231F20"/>
          <w:sz w:val="20"/>
        </w:rPr>
        <w:t>iversity.</w:t>
      </w:r>
    </w:p>
    <w:p w:rsidR="00D1511D" w:rsidRDefault="003F0CB3">
      <w:pPr>
        <w:pStyle w:val="BodyText"/>
        <w:spacing w:before="165" w:line="280" w:lineRule="auto"/>
        <w:ind w:left="1700" w:right="1429"/>
        <w:jc w:val="both"/>
      </w:pPr>
      <w:r>
        <w:rPr>
          <w:color w:val="231F20"/>
        </w:rPr>
        <w:t xml:space="preserve">Additional detail on the condition of a wide range of the elements that make up the Reef ecosystem is provided </w:t>
      </w:r>
      <w:r>
        <w:rPr>
          <w:color w:val="231F20"/>
          <w:spacing w:val="-8"/>
        </w:rPr>
        <w:t xml:space="preserve">in </w:t>
      </w:r>
      <w:r>
        <w:rPr>
          <w:color w:val="231F20"/>
        </w:rPr>
        <w:t>the assessment of progress against Reef 2050 Plan targets in section 4.3.</w:t>
      </w: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spacing w:before="5"/>
        <w:rPr>
          <w:sz w:val="18"/>
        </w:rPr>
      </w:pPr>
    </w:p>
    <w:p w:rsidR="00D1511D" w:rsidRDefault="003F0CB3">
      <w:pPr>
        <w:ind w:right="1415"/>
        <w:jc w:val="right"/>
        <w:rPr>
          <w:rFonts w:ascii="Myriad Pro"/>
          <w:sz w:val="16"/>
        </w:rPr>
      </w:pPr>
      <w:r>
        <w:rPr>
          <w:rFonts w:ascii="Myriad Pro"/>
          <w:color w:val="231F20"/>
          <w:sz w:val="16"/>
        </w:rPr>
        <w:t>13</w:t>
      </w:r>
    </w:p>
    <w:p w:rsidR="00D1511D" w:rsidRDefault="00D1511D">
      <w:pPr>
        <w:jc w:val="right"/>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1"/>
        <w:rPr>
          <w:rFonts w:ascii="Myriad Pro"/>
          <w:sz w:val="19"/>
        </w:rPr>
      </w:pPr>
    </w:p>
    <w:p w:rsidR="00D1511D" w:rsidRDefault="003F0CB3">
      <w:pPr>
        <w:pStyle w:val="Heading3"/>
        <w:numPr>
          <w:ilvl w:val="2"/>
          <w:numId w:val="15"/>
        </w:numPr>
        <w:tabs>
          <w:tab w:val="left" w:pos="2420"/>
          <w:tab w:val="left" w:pos="2421"/>
        </w:tabs>
        <w:spacing w:before="101"/>
      </w:pPr>
      <w:r>
        <w:rPr>
          <w:color w:val="005695"/>
          <w:spacing w:val="-4"/>
        </w:rPr>
        <w:t xml:space="preserve">Pillar </w:t>
      </w:r>
      <w:r>
        <w:rPr>
          <w:color w:val="005695"/>
          <w:spacing w:val="-3"/>
        </w:rPr>
        <w:t xml:space="preserve">2: </w:t>
      </w:r>
      <w:r>
        <w:rPr>
          <w:color w:val="005695"/>
        </w:rPr>
        <w:t xml:space="preserve">Meeting </w:t>
      </w:r>
      <w:r>
        <w:rPr>
          <w:color w:val="005695"/>
          <w:spacing w:val="-2"/>
        </w:rPr>
        <w:t xml:space="preserve">the </w:t>
      </w:r>
      <w:r>
        <w:rPr>
          <w:color w:val="005695"/>
          <w:spacing w:val="-3"/>
        </w:rPr>
        <w:t xml:space="preserve">condition </w:t>
      </w:r>
      <w:r>
        <w:rPr>
          <w:color w:val="005695"/>
        </w:rPr>
        <w:t xml:space="preserve">of </w:t>
      </w:r>
      <w:r>
        <w:rPr>
          <w:color w:val="005695"/>
          <w:spacing w:val="-3"/>
        </w:rPr>
        <w:t xml:space="preserve">integrity (wholeness </w:t>
      </w:r>
      <w:r>
        <w:rPr>
          <w:color w:val="005695"/>
          <w:spacing w:val="-2"/>
        </w:rPr>
        <w:t>and</w:t>
      </w:r>
      <w:r>
        <w:rPr>
          <w:color w:val="005695"/>
          <w:spacing w:val="22"/>
        </w:rPr>
        <w:t xml:space="preserve"> </w:t>
      </w:r>
      <w:r>
        <w:rPr>
          <w:color w:val="005695"/>
          <w:spacing w:val="-4"/>
        </w:rPr>
        <w:t>intactness)</w:t>
      </w:r>
    </w:p>
    <w:p w:rsidR="00D1511D" w:rsidRDefault="003F0CB3">
      <w:pPr>
        <w:pStyle w:val="BodyText"/>
        <w:spacing w:before="195" w:line="280" w:lineRule="auto"/>
        <w:ind w:left="1700" w:right="1467"/>
      </w:pPr>
      <w:r>
        <w:rPr>
          <w:color w:val="231F20"/>
        </w:rPr>
        <w:t xml:space="preserve">Since the last State Party Report was submitted in 2015, the Reef – like many coral reefs globally – has been impacted by unprecedented temperature-driven mass coral bleaching events in 2016 and 2017. </w:t>
      </w:r>
      <w:proofErr w:type="gramStart"/>
      <w:r>
        <w:rPr>
          <w:color w:val="231F20"/>
        </w:rPr>
        <w:t>Additionally</w:t>
      </w:r>
      <w:proofErr w:type="gramEnd"/>
      <w:r>
        <w:rPr>
          <w:color w:val="231F20"/>
        </w:rPr>
        <w:t xml:space="preserve"> six tropical cyclones have made landfall. </w:t>
      </w:r>
      <w:r>
        <w:rPr>
          <w:color w:val="231F20"/>
        </w:rPr>
        <w:t>While these events were large scale and significant, particularly in terms</w:t>
      </w:r>
    </w:p>
    <w:p w:rsidR="00D1511D" w:rsidRDefault="003F0CB3">
      <w:pPr>
        <w:pStyle w:val="BodyText"/>
        <w:spacing w:line="280" w:lineRule="auto"/>
        <w:ind w:left="1700" w:right="1421"/>
      </w:pPr>
      <w:r>
        <w:rPr>
          <w:color w:val="231F20"/>
        </w:rPr>
        <w:t>of coral loss, integrity is intact, but borderline in two of the six integrity criteria (see Appendix E for the 2019 Outlook Report Integrity Test). While the Reef exists in a dynam</w:t>
      </w:r>
      <w:r>
        <w:rPr>
          <w:color w:val="231F20"/>
        </w:rPr>
        <w:t>ic state, the spatial extent of the World Heritage Area has remained generally unchanged since the time of inscription and the property remains whole and intact (2019 Outlook Report, page 90).</w:t>
      </w:r>
    </w:p>
    <w:p w:rsidR="00D1511D" w:rsidRDefault="003F0CB3">
      <w:pPr>
        <w:pStyle w:val="BodyText"/>
        <w:spacing w:before="165" w:line="280" w:lineRule="auto"/>
        <w:ind w:left="1700" w:right="1802"/>
      </w:pPr>
      <w:r>
        <w:rPr>
          <w:color w:val="231F20"/>
        </w:rPr>
        <w:t>The 2019 Outlook Report notes that the property’s size, at leas</w:t>
      </w:r>
      <w:r>
        <w:rPr>
          <w:color w:val="231F20"/>
        </w:rPr>
        <w:t>t for some of its habitats, is becoming a less effective buffer against ongoing and increasing reef wide disturbances. The widespread loss of coral habitat, warming seas and intensifying external pressures such as ocean acidification, altered weather patte</w:t>
      </w:r>
      <w:r>
        <w:rPr>
          <w:color w:val="231F20"/>
        </w:rPr>
        <w:t>rns, and modification of coastal habitats are affecting the property’s intactness.</w:t>
      </w:r>
    </w:p>
    <w:p w:rsidR="00D1511D" w:rsidRDefault="00D1511D">
      <w:pPr>
        <w:pStyle w:val="BodyText"/>
        <w:spacing w:before="4"/>
        <w:rPr>
          <w:sz w:val="29"/>
        </w:rPr>
      </w:pPr>
    </w:p>
    <w:p w:rsidR="00D1511D" w:rsidRDefault="003F0CB3">
      <w:pPr>
        <w:pStyle w:val="Heading3"/>
        <w:numPr>
          <w:ilvl w:val="2"/>
          <w:numId w:val="15"/>
        </w:numPr>
        <w:tabs>
          <w:tab w:val="left" w:pos="2420"/>
          <w:tab w:val="left" w:pos="2421"/>
        </w:tabs>
      </w:pPr>
      <w:r>
        <w:rPr>
          <w:color w:val="005695"/>
          <w:spacing w:val="-4"/>
        </w:rPr>
        <w:t xml:space="preserve">Pillar 3: </w:t>
      </w:r>
      <w:r>
        <w:rPr>
          <w:color w:val="005695"/>
          <w:spacing w:val="-3"/>
        </w:rPr>
        <w:t xml:space="preserve">Adequate systems </w:t>
      </w:r>
      <w:r>
        <w:rPr>
          <w:color w:val="005695"/>
        </w:rPr>
        <w:t xml:space="preserve">of </w:t>
      </w:r>
      <w:r>
        <w:rPr>
          <w:color w:val="005695"/>
          <w:spacing w:val="-3"/>
        </w:rPr>
        <w:t xml:space="preserve">protection </w:t>
      </w:r>
      <w:r>
        <w:rPr>
          <w:color w:val="005695"/>
          <w:spacing w:val="-2"/>
        </w:rPr>
        <w:t>and</w:t>
      </w:r>
      <w:r>
        <w:rPr>
          <w:color w:val="005695"/>
          <w:spacing w:val="18"/>
        </w:rPr>
        <w:t xml:space="preserve"> </w:t>
      </w:r>
      <w:r>
        <w:rPr>
          <w:color w:val="005695"/>
          <w:spacing w:val="-3"/>
        </w:rPr>
        <w:t>management</w:t>
      </w:r>
    </w:p>
    <w:p w:rsidR="00D1511D" w:rsidRDefault="003F0CB3">
      <w:pPr>
        <w:pStyle w:val="BodyText"/>
        <w:spacing w:before="195" w:line="280" w:lineRule="auto"/>
        <w:ind w:left="1700" w:right="1474"/>
      </w:pPr>
      <w:r>
        <w:rPr>
          <w:color w:val="231F20"/>
        </w:rPr>
        <w:t xml:space="preserve">Australia established the </w:t>
      </w:r>
      <w:r>
        <w:rPr>
          <w:i/>
          <w:color w:val="231F20"/>
        </w:rPr>
        <w:t xml:space="preserve">Great Barrier Reef Marine </w:t>
      </w:r>
      <w:r>
        <w:rPr>
          <w:i/>
          <w:color w:val="231F20"/>
          <w:spacing w:val="-4"/>
        </w:rPr>
        <w:t xml:space="preserve">Park </w:t>
      </w:r>
      <w:r>
        <w:rPr>
          <w:i/>
          <w:color w:val="231F20"/>
        </w:rPr>
        <w:t xml:space="preserve">Act </w:t>
      </w:r>
      <w:r>
        <w:rPr>
          <w:color w:val="231F20"/>
        </w:rPr>
        <w:t xml:space="preserve">and the Great Barrier Reef Marine </w:t>
      </w:r>
      <w:r>
        <w:rPr>
          <w:color w:val="231F20"/>
          <w:spacing w:val="-3"/>
        </w:rPr>
        <w:t xml:space="preserve">Park </w:t>
      </w:r>
      <w:r>
        <w:rPr>
          <w:color w:val="231F20"/>
        </w:rPr>
        <w:t xml:space="preserve">Authority in 1975. Over the succeeding 40 years, the Marine </w:t>
      </w:r>
      <w:r>
        <w:rPr>
          <w:color w:val="231F20"/>
          <w:spacing w:val="-3"/>
        </w:rPr>
        <w:t xml:space="preserve">Park </w:t>
      </w:r>
      <w:r>
        <w:rPr>
          <w:color w:val="231F20"/>
        </w:rPr>
        <w:t xml:space="preserve">Authority has developed world-class expertise in tropical marine ecosystem management. Under Queensland’s </w:t>
      </w:r>
      <w:r>
        <w:rPr>
          <w:i/>
          <w:color w:val="231F20"/>
        </w:rPr>
        <w:t xml:space="preserve">Marine </w:t>
      </w:r>
      <w:r>
        <w:rPr>
          <w:i/>
          <w:color w:val="231F20"/>
          <w:spacing w:val="-3"/>
        </w:rPr>
        <w:t xml:space="preserve">Parks </w:t>
      </w:r>
      <w:r>
        <w:rPr>
          <w:i/>
          <w:color w:val="231F20"/>
        </w:rPr>
        <w:t>Act 2004</w:t>
      </w:r>
      <w:r>
        <w:rPr>
          <w:color w:val="231F20"/>
        </w:rPr>
        <w:t>, protection extends into</w:t>
      </w:r>
      <w:r>
        <w:rPr>
          <w:color w:val="231F20"/>
        </w:rPr>
        <w:t xml:space="preserve"> coastal and inland tidal waters. Many of the islands within the property are national parks and there are also extensive areas of national park and other protected land along the adjacent coast. The Great Barrier Reef Marine </w:t>
      </w:r>
      <w:r>
        <w:rPr>
          <w:color w:val="231F20"/>
          <w:spacing w:val="-3"/>
        </w:rPr>
        <w:t xml:space="preserve">Park </w:t>
      </w:r>
      <w:r>
        <w:rPr>
          <w:color w:val="231F20"/>
        </w:rPr>
        <w:t>and the Great Barrier Ree</w:t>
      </w:r>
      <w:r>
        <w:rPr>
          <w:color w:val="231F20"/>
        </w:rPr>
        <w:t xml:space="preserve">f Coastal Marine </w:t>
      </w:r>
      <w:r>
        <w:rPr>
          <w:color w:val="231F20"/>
          <w:spacing w:val="-3"/>
        </w:rPr>
        <w:t xml:space="preserve">Park </w:t>
      </w:r>
      <w:r>
        <w:rPr>
          <w:color w:val="231F20"/>
        </w:rPr>
        <w:t xml:space="preserve">together comprise about 99 per cent of the </w:t>
      </w:r>
      <w:r>
        <w:rPr>
          <w:color w:val="231F20"/>
          <w:spacing w:val="-4"/>
        </w:rPr>
        <w:t xml:space="preserve">World </w:t>
      </w:r>
      <w:r>
        <w:rPr>
          <w:color w:val="231F20"/>
        </w:rPr>
        <w:t xml:space="preserve">Heritage Area. The Great Barrier Reef Marine </w:t>
      </w:r>
      <w:r>
        <w:rPr>
          <w:color w:val="231F20"/>
          <w:spacing w:val="-3"/>
        </w:rPr>
        <w:t xml:space="preserve">Park </w:t>
      </w:r>
      <w:r>
        <w:rPr>
          <w:color w:val="231F20"/>
        </w:rPr>
        <w:t xml:space="preserve">is protected as a matter of national environmental significance under the national </w:t>
      </w:r>
      <w:r>
        <w:rPr>
          <w:i/>
          <w:color w:val="231F20"/>
        </w:rPr>
        <w:t>Environment Protection and Biodiversity Conservation</w:t>
      </w:r>
      <w:r>
        <w:rPr>
          <w:i/>
          <w:color w:val="231F20"/>
        </w:rPr>
        <w:t xml:space="preserve"> Act 1999</w:t>
      </w:r>
      <w:r>
        <w:rPr>
          <w:color w:val="231F20"/>
        </w:rPr>
        <w:t>.</w:t>
      </w:r>
    </w:p>
    <w:p w:rsidR="00D1511D" w:rsidRDefault="003F0CB3">
      <w:pPr>
        <w:spacing w:before="164" w:line="280" w:lineRule="auto"/>
        <w:ind w:left="1700" w:right="1802"/>
        <w:rPr>
          <w:i/>
          <w:sz w:val="20"/>
        </w:rPr>
      </w:pPr>
      <w:r>
        <w:rPr>
          <w:color w:val="231F20"/>
          <w:sz w:val="20"/>
        </w:rPr>
        <w:t xml:space="preserve">In assessing the effectiveness of current protection and management of the Reef, the 2019 Outlook Report drew on two independent assessment reports: the </w:t>
      </w:r>
      <w:hyperlink r:id="rId26">
        <w:r>
          <w:rPr>
            <w:i/>
            <w:color w:val="1B5BAA"/>
            <w:sz w:val="20"/>
            <w:u w:val="single" w:color="1B5BAA"/>
          </w:rPr>
          <w:t xml:space="preserve">Reef 2050 Insights </w:t>
        </w:r>
        <w:r>
          <w:rPr>
            <w:i/>
            <w:color w:val="1B5BAA"/>
            <w:sz w:val="20"/>
            <w:u w:val="single" w:color="1B5BAA"/>
          </w:rPr>
          <w:t>Report</w:t>
        </w:r>
      </w:hyperlink>
      <w:r>
        <w:rPr>
          <w:i/>
          <w:color w:val="1B5BAA"/>
          <w:sz w:val="20"/>
        </w:rPr>
        <w:t xml:space="preserve"> </w:t>
      </w:r>
      <w:r>
        <w:rPr>
          <w:color w:val="231F20"/>
          <w:sz w:val="20"/>
        </w:rPr>
        <w:t xml:space="preserve">and the </w:t>
      </w:r>
      <w:hyperlink r:id="rId27">
        <w:r>
          <w:rPr>
            <w:i/>
            <w:color w:val="1B5BAA"/>
            <w:sz w:val="20"/>
            <w:u w:val="single" w:color="1B5BAA"/>
          </w:rPr>
          <w:t xml:space="preserve">Independent assessment of </w:t>
        </w:r>
      </w:hyperlink>
    </w:p>
    <w:p w:rsidR="00D1511D" w:rsidRDefault="003F0CB3">
      <w:pPr>
        <w:spacing w:line="280" w:lineRule="auto"/>
        <w:ind w:left="1700" w:right="1454"/>
        <w:rPr>
          <w:sz w:val="20"/>
        </w:rPr>
      </w:pPr>
      <w:hyperlink r:id="rId28">
        <w:r>
          <w:rPr>
            <w:i/>
            <w:color w:val="1B5BAA"/>
            <w:sz w:val="20"/>
            <w:u w:val="single" w:color="1B5BAA"/>
          </w:rPr>
          <w:t>management effectiveness for the Great Barrier Reef Outlook Report 2019</w:t>
        </w:r>
      </w:hyperlink>
      <w:r>
        <w:rPr>
          <w:color w:val="231F20"/>
          <w:sz w:val="20"/>
        </w:rPr>
        <w:t xml:space="preserve">. The </w:t>
      </w:r>
      <w:r>
        <w:rPr>
          <w:i/>
          <w:color w:val="231F20"/>
          <w:sz w:val="20"/>
        </w:rPr>
        <w:t>Reef 2050 Plan Insights Report</w:t>
      </w:r>
      <w:r>
        <w:rPr>
          <w:color w:val="231F20"/>
          <w:sz w:val="20"/>
        </w:rPr>
        <w:t>, which drew from the main independent assessment, used a management effective</w:t>
      </w:r>
      <w:r>
        <w:rPr>
          <w:color w:val="231F20"/>
          <w:sz w:val="20"/>
        </w:rPr>
        <w:t>ness evaluation approach (based</w:t>
      </w:r>
    </w:p>
    <w:p w:rsidR="00D1511D" w:rsidRDefault="003F0CB3">
      <w:pPr>
        <w:pStyle w:val="BodyText"/>
        <w:spacing w:line="280" w:lineRule="auto"/>
        <w:ind w:left="1700" w:right="1359"/>
      </w:pPr>
      <w:r>
        <w:rPr>
          <w:color w:val="231F20"/>
        </w:rPr>
        <w:t xml:space="preserve">on the framework developed by the IUCN World Commission on Protected Areas). The report considered whether the Reef 2050 Plan was </w:t>
      </w:r>
      <w:r>
        <w:rPr>
          <w:i/>
          <w:color w:val="231F20"/>
        </w:rPr>
        <w:t xml:space="preserve">appropriate </w:t>
      </w:r>
      <w:r>
        <w:rPr>
          <w:color w:val="231F20"/>
        </w:rPr>
        <w:t xml:space="preserve">and </w:t>
      </w:r>
      <w:r>
        <w:rPr>
          <w:i/>
          <w:color w:val="231F20"/>
        </w:rPr>
        <w:t xml:space="preserve">effective </w:t>
      </w:r>
      <w:r>
        <w:rPr>
          <w:color w:val="231F20"/>
        </w:rPr>
        <w:t>in achieving its vision, based on its goals, objectives and targets,</w:t>
      </w:r>
      <w:r>
        <w:rPr>
          <w:color w:val="231F20"/>
        </w:rPr>
        <w:t xml:space="preserve"> and looked at evidence of improvements achieved to date. The independent management effectiveness assessment considered the activities of all Australian and Queensland government agencies and other partners that contribute to protection and management of </w:t>
      </w:r>
      <w:r>
        <w:rPr>
          <w:color w:val="231F20"/>
        </w:rPr>
        <w:t>the Region. This framework has been consistently applied across all Outlook reports.</w:t>
      </w:r>
    </w:p>
    <w:p w:rsidR="00D1511D" w:rsidRDefault="003F0CB3">
      <w:pPr>
        <w:pStyle w:val="BodyText"/>
        <w:spacing w:before="162" w:line="280" w:lineRule="auto"/>
        <w:ind w:left="1700" w:right="1467"/>
      </w:pPr>
      <w:r>
        <w:rPr>
          <w:color w:val="231F20"/>
        </w:rPr>
        <w:t>Management actions inside and outside the Region were examined to the extent they are relevant to, and influence protection and management of, the Region’s ecosystem and h</w:t>
      </w:r>
      <w:r>
        <w:rPr>
          <w:color w:val="231F20"/>
        </w:rPr>
        <w:t>eritage values. In relation to the global issue of climate change, the assessment primarily considered measures undertaken by managing agencies specifically to protect and manage the Region. Given the unprecedented back-to-back coral bleaching events and o</w:t>
      </w:r>
      <w:r>
        <w:rPr>
          <w:color w:val="231F20"/>
        </w:rPr>
        <w:t>ther climate change driven pressures, this assessment also broadly considered state, national and global climate change initiatives that are relevant to the values of the Region.</w:t>
      </w:r>
    </w:p>
    <w:p w:rsidR="00D1511D" w:rsidRDefault="003F0CB3">
      <w:pPr>
        <w:pStyle w:val="BodyText"/>
        <w:spacing w:before="165" w:line="280" w:lineRule="auto"/>
        <w:ind w:left="1700" w:right="1359"/>
      </w:pPr>
      <w:r>
        <w:rPr>
          <w:color w:val="231F20"/>
        </w:rPr>
        <w:t xml:space="preserve">The </w:t>
      </w:r>
      <w:r>
        <w:rPr>
          <w:i/>
          <w:color w:val="231F20"/>
        </w:rPr>
        <w:t xml:space="preserve">Reef 2050 Plan Insights Report </w:t>
      </w:r>
      <w:r>
        <w:rPr>
          <w:color w:val="231F20"/>
        </w:rPr>
        <w:t>concluded that the Reef 2050 Plan has prov</w:t>
      </w:r>
      <w:r>
        <w:rPr>
          <w:color w:val="231F20"/>
        </w:rPr>
        <w:t>ided a “very sound framework for improving the effective management of the Reef’s values through improved governance, planning and resourcing” (page 5). The independent management effectiveness assessment found improvements in management were</w:t>
      </w:r>
    </w:p>
    <w:p w:rsidR="00D1511D" w:rsidRDefault="003F0CB3">
      <w:pPr>
        <w:pStyle w:val="BodyText"/>
        <w:spacing w:line="280" w:lineRule="auto"/>
        <w:ind w:left="1700" w:right="1467"/>
      </w:pPr>
      <w:r>
        <w:rPr>
          <w:color w:val="231F20"/>
        </w:rPr>
        <w:t xml:space="preserve">most notable </w:t>
      </w:r>
      <w:r>
        <w:rPr>
          <w:color w:val="231F20"/>
        </w:rPr>
        <w:t>for ports, heritage values and fishing activities and that many of the improvements in management effectiveness are the result of the Reef 2050 Plan, which has improved consistency of priority-setting between</w:t>
      </w: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3F0CB3">
      <w:pPr>
        <w:spacing w:before="209"/>
        <w:ind w:left="1417"/>
        <w:rPr>
          <w:rFonts w:ascii="Myriad Pro"/>
          <w:sz w:val="16"/>
        </w:rPr>
      </w:pPr>
      <w:r>
        <w:rPr>
          <w:rFonts w:ascii="Myriad Pro"/>
          <w:color w:val="231F20"/>
          <w:sz w:val="16"/>
        </w:rPr>
        <w:t xml:space="preserve">14 / </w:t>
      </w:r>
      <w:r>
        <w:rPr>
          <w:rFonts w:ascii="Myriad Pro"/>
          <w:color w:val="005695"/>
          <w:sz w:val="16"/>
        </w:rPr>
        <w:t>State Party Report on the state of cons</w:t>
      </w:r>
      <w:r>
        <w:rPr>
          <w:rFonts w:ascii="Myriad Pro"/>
          <w:color w:val="005695"/>
          <w:sz w:val="16"/>
        </w:rPr>
        <w:t xml:space="preserve">ervation of the </w:t>
      </w:r>
      <w:r>
        <w:rPr>
          <w:rFonts w:ascii="Myriad Pro"/>
          <w:b/>
          <w:color w:val="005695"/>
          <w:sz w:val="16"/>
        </w:rPr>
        <w:t xml:space="preserve">Great Barrier Reef World Heritage Area (Australia) </w:t>
      </w:r>
      <w:r>
        <w:rPr>
          <w:rFonts w:ascii="Myriad Pro"/>
          <w:color w:val="005695"/>
          <w:sz w:val="16"/>
        </w:rPr>
        <w:t>2019</w:t>
      </w:r>
    </w:p>
    <w:p w:rsidR="00D1511D" w:rsidRDefault="00D1511D">
      <w:pPr>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8"/>
        <w:rPr>
          <w:rFonts w:ascii="Myriad Pro"/>
        </w:rPr>
      </w:pPr>
    </w:p>
    <w:p w:rsidR="00D1511D" w:rsidRDefault="003F0CB3">
      <w:pPr>
        <w:pStyle w:val="BodyText"/>
        <w:spacing w:before="98" w:line="280" w:lineRule="auto"/>
        <w:ind w:left="1700" w:right="1585"/>
      </w:pPr>
      <w:r>
        <w:rPr>
          <w:color w:val="231F20"/>
        </w:rPr>
        <w:t>the Australian and Queensland governments and enabled better coordination of a range of actions, targets and objectives to address the key threats to the Region.</w:t>
      </w:r>
    </w:p>
    <w:p w:rsidR="00D1511D" w:rsidRDefault="003F0CB3">
      <w:pPr>
        <w:pStyle w:val="BodyText"/>
        <w:spacing w:before="169" w:line="280" w:lineRule="auto"/>
        <w:ind w:left="1700" w:right="1585"/>
      </w:pPr>
      <w:r>
        <w:rPr>
          <w:color w:val="231F20"/>
        </w:rPr>
        <w:t xml:space="preserve">It also noted that the </w:t>
      </w:r>
      <w:r>
        <w:rPr>
          <w:i/>
          <w:color w:val="231F20"/>
        </w:rPr>
        <w:t xml:space="preserve">Reef 2050 Water Quality Improvement Plan </w:t>
      </w:r>
      <w:r>
        <w:rPr>
          <w:color w:val="231F20"/>
        </w:rPr>
        <w:t xml:space="preserve">consolidates water quality </w:t>
      </w:r>
      <w:proofErr w:type="gramStart"/>
      <w:r>
        <w:rPr>
          <w:color w:val="231F20"/>
        </w:rPr>
        <w:t>pla</w:t>
      </w:r>
      <w:r>
        <w:rPr>
          <w:color w:val="231F20"/>
        </w:rPr>
        <w:t>nning, and</w:t>
      </w:r>
      <w:proofErr w:type="gramEnd"/>
      <w:r>
        <w:rPr>
          <w:color w:val="231F20"/>
        </w:rPr>
        <w:t xml:space="preserve"> reduces duplication by providing a single framework for addressing water quality issues. However, it concluded that achieving outcomes on the ground continues to be difficult for complex and spatially broad topics, such as</w:t>
      </w:r>
    </w:p>
    <w:p w:rsidR="00D1511D" w:rsidRDefault="003F0CB3">
      <w:pPr>
        <w:pStyle w:val="BodyText"/>
        <w:spacing w:line="280" w:lineRule="auto"/>
        <w:ind w:left="1700" w:right="1359"/>
      </w:pPr>
      <w:r>
        <w:rPr>
          <w:color w:val="231F20"/>
        </w:rPr>
        <w:t>land-based run off. Th</w:t>
      </w:r>
      <w:r>
        <w:rPr>
          <w:color w:val="231F20"/>
        </w:rPr>
        <w:t>e 2019 Outlook Report observed that there are significant time lags between actions on the ground and observable improvements in water quality.</w:t>
      </w:r>
    </w:p>
    <w:p w:rsidR="00D1511D" w:rsidRDefault="003F0CB3">
      <w:pPr>
        <w:pStyle w:val="BodyText"/>
        <w:spacing w:before="166" w:line="280" w:lineRule="auto"/>
        <w:ind w:left="1700" w:right="1422"/>
      </w:pPr>
      <w:r>
        <w:rPr>
          <w:color w:val="231F20"/>
        </w:rPr>
        <w:t xml:space="preserve">The 2019 Outlook Report includes a chapter on Existing Protection and Management (Chapter 7) which </w:t>
      </w:r>
      <w:proofErr w:type="spellStart"/>
      <w:r>
        <w:rPr>
          <w:color w:val="231F20"/>
        </w:rPr>
        <w:t>summarises</w:t>
      </w:r>
      <w:proofErr w:type="spellEnd"/>
      <w:r>
        <w:rPr>
          <w:color w:val="231F20"/>
        </w:rPr>
        <w:t xml:space="preserve"> th</w:t>
      </w:r>
      <w:r>
        <w:rPr>
          <w:color w:val="231F20"/>
        </w:rPr>
        <w:t xml:space="preserve">e findings from the independent management effectiveness assessments referred to above. Table 2 below is taken from the 2019 Outlook Report (page 222) and </w:t>
      </w:r>
      <w:proofErr w:type="spellStart"/>
      <w:r>
        <w:rPr>
          <w:color w:val="231F20"/>
        </w:rPr>
        <w:t>summarises</w:t>
      </w:r>
      <w:proofErr w:type="spellEnd"/>
      <w:r>
        <w:rPr>
          <w:color w:val="231F20"/>
        </w:rPr>
        <w:t xml:space="preserve"> these findings. It demonstrates that across almost all management topics (those addressed </w:t>
      </w:r>
      <w:r>
        <w:rPr>
          <w:color w:val="231F20"/>
        </w:rPr>
        <w:t xml:space="preserve">directly by the Reef 2050 Plan and existing </w:t>
      </w:r>
      <w:proofErr w:type="gramStart"/>
      <w:r>
        <w:rPr>
          <w:color w:val="231F20"/>
        </w:rPr>
        <w:t>well established</w:t>
      </w:r>
      <w:proofErr w:type="gramEnd"/>
      <w:r>
        <w:rPr>
          <w:color w:val="231F20"/>
        </w:rPr>
        <w:t xml:space="preserve"> management frameworks), the effectiveness of existing measures is rated as good or very good, and stable or improving. Nonetheless, the extensive investment, management action, and policy and reg</w:t>
      </w:r>
      <w:r>
        <w:rPr>
          <w:color w:val="231F20"/>
        </w:rPr>
        <w:t>ulatory changes delivered under the Reef 2050 Plan are yet to translate into measurable improvement in outcomes against some management topics that are more complex and where outcomes take long periods to achieve. The independent management effectiveness r</w:t>
      </w:r>
      <w:r>
        <w:rPr>
          <w:color w:val="231F20"/>
        </w:rPr>
        <w:t xml:space="preserve">eview observed that “achieving outcomes on the ground continues to be difficult for complex and spatially broad topics such as climate change, </w:t>
      </w:r>
      <w:proofErr w:type="gramStart"/>
      <w:r>
        <w:rPr>
          <w:color w:val="231F20"/>
        </w:rPr>
        <w:t>land based</w:t>
      </w:r>
      <w:proofErr w:type="gramEnd"/>
      <w:r>
        <w:rPr>
          <w:color w:val="231F20"/>
        </w:rPr>
        <w:t xml:space="preserve"> run-off and biodiversity” (2019 Outlook Report, page 221).</w:t>
      </w:r>
    </w:p>
    <w:p w:rsidR="00D1511D" w:rsidRDefault="00D1511D">
      <w:pPr>
        <w:pStyle w:val="BodyText"/>
        <w:spacing w:before="7"/>
        <w:rPr>
          <w:sz w:val="22"/>
        </w:rPr>
      </w:pPr>
    </w:p>
    <w:p w:rsidR="00D1511D" w:rsidRDefault="003F0CB3">
      <w:pPr>
        <w:pStyle w:val="Heading4"/>
      </w:pPr>
      <w:r>
        <w:rPr>
          <w:color w:val="58595B"/>
        </w:rPr>
        <w:t>Improvements to Reef governance</w:t>
      </w:r>
    </w:p>
    <w:p w:rsidR="00D1511D" w:rsidRDefault="003F0CB3">
      <w:pPr>
        <w:pStyle w:val="BodyText"/>
        <w:spacing w:before="205" w:line="280" w:lineRule="auto"/>
        <w:ind w:left="1700" w:right="1790"/>
      </w:pPr>
      <w:r>
        <w:rPr>
          <w:color w:val="231F20"/>
        </w:rPr>
        <w:t>In March 2</w:t>
      </w:r>
      <w:r>
        <w:rPr>
          <w:color w:val="231F20"/>
        </w:rPr>
        <w:t xml:space="preserve">017, the Australian Government commissioned an independent review into the governance of the Marine </w:t>
      </w:r>
      <w:r>
        <w:rPr>
          <w:color w:val="231F20"/>
          <w:spacing w:val="-3"/>
        </w:rPr>
        <w:t xml:space="preserve">Park Authority, </w:t>
      </w:r>
      <w:r>
        <w:rPr>
          <w:color w:val="231F20"/>
        </w:rPr>
        <w:t xml:space="preserve">specifically the role and composition of the Marine </w:t>
      </w:r>
      <w:r>
        <w:rPr>
          <w:color w:val="231F20"/>
          <w:spacing w:val="-3"/>
        </w:rPr>
        <w:t xml:space="preserve">Park </w:t>
      </w:r>
      <w:r>
        <w:rPr>
          <w:color w:val="231F20"/>
        </w:rPr>
        <w:t xml:space="preserve">Authority Board and the </w:t>
      </w:r>
      <w:r>
        <w:rPr>
          <w:color w:val="231F20"/>
          <w:spacing w:val="-3"/>
        </w:rPr>
        <w:t xml:space="preserve">Authority’s </w:t>
      </w:r>
      <w:r>
        <w:rPr>
          <w:color w:val="231F20"/>
        </w:rPr>
        <w:t>executive management arrangements. The Governme</w:t>
      </w:r>
      <w:r>
        <w:rPr>
          <w:color w:val="231F20"/>
        </w:rPr>
        <w:t>nt accepted all 24 recommendations of the independent report released on 5 October 2017, and the Authority is well advanced in their</w:t>
      </w:r>
      <w:r>
        <w:rPr>
          <w:color w:val="231F20"/>
          <w:spacing w:val="-26"/>
        </w:rPr>
        <w:t xml:space="preserve"> </w:t>
      </w:r>
      <w:r>
        <w:rPr>
          <w:color w:val="231F20"/>
        </w:rPr>
        <w:t>implementation.</w:t>
      </w:r>
    </w:p>
    <w:p w:rsidR="00D1511D" w:rsidRDefault="003F0CB3">
      <w:pPr>
        <w:pStyle w:val="BodyText"/>
        <w:spacing w:line="280" w:lineRule="auto"/>
        <w:ind w:left="1700" w:right="1414"/>
      </w:pPr>
      <w:proofErr w:type="spellStart"/>
      <w:r>
        <w:rPr>
          <w:color w:val="231F20"/>
        </w:rPr>
        <w:t>Recognising</w:t>
      </w:r>
      <w:proofErr w:type="spellEnd"/>
      <w:r>
        <w:rPr>
          <w:color w:val="231F20"/>
        </w:rPr>
        <w:t xml:space="preserve"> the significant challenges facing the Reef, part of the response created a separate Chairperson and Chief Executive Officer for the Authority. The board was also expanded to include one more additional part-time member and a broader range of sk</w:t>
      </w:r>
      <w:r>
        <w:rPr>
          <w:color w:val="231F20"/>
        </w:rPr>
        <w:t>ills and expertise.</w:t>
      </w:r>
    </w:p>
    <w:p w:rsidR="00D1511D" w:rsidRDefault="003F0CB3">
      <w:pPr>
        <w:pStyle w:val="BodyText"/>
        <w:spacing w:before="165"/>
        <w:ind w:left="1700"/>
      </w:pPr>
      <w:r>
        <w:rPr>
          <w:color w:val="231F20"/>
        </w:rPr>
        <w:t xml:space="preserve">Further information is available at: </w:t>
      </w:r>
      <w:hyperlink r:id="rId29">
        <w:r>
          <w:rPr>
            <w:color w:val="1B5BAA"/>
            <w:u w:val="single" w:color="1B5BAA"/>
          </w:rPr>
          <w:t>https://www.environment.gov.au/marine/gbr/authority-governance-review</w:t>
        </w:r>
      </w:hyperlink>
      <w:r>
        <w:rPr>
          <w:color w:val="231F20"/>
        </w:rPr>
        <w:t>.</w:t>
      </w: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spacing w:before="3"/>
        <w:rPr>
          <w:sz w:val="30"/>
        </w:rPr>
      </w:pPr>
    </w:p>
    <w:p w:rsidR="00D1511D" w:rsidRDefault="003F0CB3">
      <w:pPr>
        <w:ind w:right="1415"/>
        <w:jc w:val="right"/>
        <w:rPr>
          <w:rFonts w:ascii="Myriad Pro"/>
          <w:sz w:val="16"/>
        </w:rPr>
      </w:pPr>
      <w:r>
        <w:rPr>
          <w:rFonts w:ascii="Myriad Pro"/>
          <w:color w:val="231F20"/>
          <w:sz w:val="16"/>
        </w:rPr>
        <w:t>15</w:t>
      </w:r>
    </w:p>
    <w:p w:rsidR="00D1511D" w:rsidRDefault="00D1511D">
      <w:pPr>
        <w:jc w:val="right"/>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11"/>
        <w:rPr>
          <w:rFonts w:ascii="Myriad Pro"/>
        </w:rPr>
      </w:pPr>
    </w:p>
    <w:p w:rsidR="00D1511D" w:rsidRDefault="003F0CB3">
      <w:pPr>
        <w:pStyle w:val="Heading5"/>
        <w:spacing w:line="280" w:lineRule="auto"/>
        <w:ind w:left="2551" w:right="1585" w:hanging="851"/>
      </w:pPr>
      <w:r>
        <w:rPr>
          <w:color w:val="231F20"/>
        </w:rPr>
        <w:t>Table 2: Overall assessment of the effectiveness of existing measures to protect and manage the Region’s values (2019 Outlook Report)</w:t>
      </w:r>
    </w:p>
    <w:p w:rsidR="00D1511D" w:rsidRDefault="003F0CB3">
      <w:pPr>
        <w:pStyle w:val="BodyText"/>
        <w:spacing w:before="5"/>
        <w:rPr>
          <w:b/>
          <w:sz w:val="22"/>
        </w:rPr>
      </w:pPr>
      <w:r>
        <w:pict>
          <v:group id="_x0000_s1306" alt="This table shows the effectiveness of existing measures to protect and manage the Great Barrier reef region’s values, according to the 2019 Outlook Report. Each management topic is graded to show whether the outlook is very good, good, poor or very poor. The table also shows the trend since the last Outlook Report in 2014. " style="position:absolute;margin-left:85.05pt;margin-top:15.45pt;width:466.85pt;height:539.85pt;z-index:-251646976;mso-wrap-distance-left:0;mso-wrap-distance-right:0;mso-position-horizontal-relative:page" coordorigin="1701,309" coordsize="9337,10797">
            <v:rect id="_x0000_s1307" alt="This table shows the effectiveness of existing measures to protect and manage the Great Barrier reef region’s values, according to the 2019 Outlook Report. Each management topic is graded to show whether the outlook is very good, good, poor or very poor. The table also shows the trend since the last Outlook Report in 2014. " style="position:absolute;left:1702;top:1024;width:306;height:10080" fillcolor="#b7c0cb" stroked="f"/>
            <v:shape id="_x0000_s1308" type="#_x0000_t75" alt="This table shows the effectiveness of existing measures to protect and manage the Great Barrier reef region’s values, according to the 2019 Outlook Report. Each management topic is graded to show whether the outlook is very good, good, poor or very poor. The table also shows the trend since the last Outlook Report in 2014. " style="position:absolute;left:1804;top:5276;width:131;height:1566">
              <v:imagedata r:id="rId30" o:title=""/>
            </v:shape>
            <v:rect id="_x0000_s1309" alt="This table shows the effectiveness of existing measures to protect and manage the Great Barrier reef region’s values, according to the 2019 Outlook Report. Each management topic is graded to show whether the outlook is very good, good, poor or very poor. The table also shows the trend since the last Outlook Report in 2014. " style="position:absolute;left:1702;top:1024;width:306;height:10080" filled="f" strokeweight=".18pt"/>
            <v:line id="_x0000_s1310" alt="This table shows the effectiveness of existing measures to protect and manage the Great Barrier reef region’s values, according to the 2019 Outlook Report. Each management topic is graded to show whether the outlook is very good, good, poor or very poor. The table also shows the trend since the last Outlook Report in 2014. " style="position:absolute" from="1855,5058" to="1855,1303" strokeweight=".45pt"/>
            <v:shape id="_x0000_s1311" alt="This table shows the effectiveness of existing measures to protect and manage the Great Barrier reef region’s values, according to the 2019 Outlook Report. Each management topic is graded to show whether the outlook is very good, good, poor or very poor. The table also shows the trend since the last Outlook Report in 2014. " style="position:absolute;left:1809;top:1209;width:92;height:126" coordorigin="1810,1210" coordsize="92,126" path="m1855,1210r-45,125l1901,1335r-46,-125xe" fillcolor="black" stroked="f">
              <v:path arrowok="t"/>
            </v:shape>
            <v:rect id="_x0000_s1312" alt="This table shows the effectiveness of existing measures to protect and manage the Great Barrier reef region’s values, according to the 2019 Outlook Report. Each management topic is graded to show whether the outlook is very good, good, poor or very poor. The table also shows the trend since the last Outlook Report in 2014. " style="position:absolute;left:2007;top:668;width:816;height:356" fillcolor="#b7c0cb" stroked="f"/>
            <v:rect id="_x0000_s1313" alt="This table shows the effectiveness of existing measures to protect and manage the Great Barrier reef region’s values, according to the 2019 Outlook Report. Each management topic is graded to show whether the outlook is very good, good, poor or very poor. The table also shows the trend since the last Outlook Report in 2014. " style="position:absolute;left:2007;top:310;width:4893;height:358" fillcolor="#b7c0cb" stroked="f"/>
            <v:shape id="_x0000_s1314" type="#_x0000_t75" alt="This table shows the effectiveness of existing measures to protect and manage the Great Barrier reef region’s values, according to the 2019 Outlook Report. Each management topic is graded to show whether the outlook is very good, good, poor or very poor. The table also shows the trend since the last Outlook Report in 2014. " style="position:absolute;left:2006;top:308;width:9032;height:10797">
              <v:imagedata r:id="rId31" o:title=""/>
            </v:shape>
            <v:line id="_x0000_s1315" alt="This table shows the effectiveness of existing measures to protect and manage the Great Barrier reef region’s values, according to the 2019 Outlook Report. Each management topic is graded to show whether the outlook is very good, good, poor or very poor. The table also shows the trend since the last Outlook Report in 2014. " style="position:absolute" from="1855,10885" to="1855,7036" strokeweight=".45pt"/>
            <w10:wrap type="topAndBottom" anchorx="page"/>
          </v:group>
        </w:pict>
      </w:r>
      <w:r>
        <w:pict>
          <v:group id="_x0000_s1303" alt="" style="position:absolute;margin-left:85.05pt;margin-top:566.25pt;width:466.85pt;height:82.85pt;z-index:-251645952;mso-wrap-distance-left:0;mso-wrap-distance-right:0;mso-position-horizontal-relative:page" coordorigin="1701,11325" coordsize="9337,1657">
            <v:rect id="_x0000_s1304" alt="" style="position:absolute;left:1700;top:11327;width:6932;height:247" fillcolor="#395b8c" stroked="f"/>
            <v:shape id="_x0000_s1305" type="#_x0000_t75" alt="" style="position:absolute;left:1700;top:11325;width:9337;height:1657">
              <v:imagedata r:id="rId32" o:title=""/>
            </v:shape>
            <w10:wrap type="topAndBottom" anchorx="page"/>
          </v:group>
        </w:pict>
      </w:r>
    </w:p>
    <w:p w:rsidR="00D1511D" w:rsidRDefault="00D1511D">
      <w:pPr>
        <w:pStyle w:val="BodyText"/>
        <w:spacing w:before="7"/>
        <w:rPr>
          <w:b/>
          <w:sz w:val="12"/>
        </w:rPr>
      </w:pPr>
    </w:p>
    <w:p w:rsidR="00D1511D" w:rsidRDefault="00D1511D">
      <w:pPr>
        <w:pStyle w:val="BodyText"/>
        <w:rPr>
          <w:b/>
        </w:rPr>
      </w:pPr>
    </w:p>
    <w:p w:rsidR="00D1511D" w:rsidRDefault="00D1511D">
      <w:pPr>
        <w:pStyle w:val="BodyText"/>
        <w:rPr>
          <w:b/>
        </w:rPr>
      </w:pPr>
    </w:p>
    <w:p w:rsidR="00D1511D" w:rsidRDefault="00D1511D">
      <w:pPr>
        <w:pStyle w:val="BodyText"/>
        <w:spacing w:before="8"/>
        <w:rPr>
          <w:b/>
          <w:sz w:val="16"/>
        </w:rPr>
      </w:pPr>
    </w:p>
    <w:p w:rsidR="00D1511D" w:rsidRDefault="003F0CB3">
      <w:pPr>
        <w:spacing w:before="106"/>
        <w:ind w:left="1417"/>
        <w:rPr>
          <w:rFonts w:ascii="Myriad Pro"/>
          <w:sz w:val="16"/>
        </w:rPr>
      </w:pPr>
      <w:r>
        <w:rPr>
          <w:rFonts w:ascii="Myriad Pro"/>
          <w:color w:val="231F20"/>
          <w:sz w:val="16"/>
        </w:rPr>
        <w:t xml:space="preserve">16 / </w:t>
      </w:r>
      <w:r>
        <w:rPr>
          <w:rFonts w:ascii="Myriad Pro"/>
          <w:color w:val="005695"/>
          <w:sz w:val="16"/>
        </w:rPr>
        <w:t xml:space="preserve">State Party Report on the state of conservation of the </w:t>
      </w:r>
      <w:r>
        <w:rPr>
          <w:rFonts w:ascii="Myriad Pro"/>
          <w:b/>
          <w:color w:val="005695"/>
          <w:sz w:val="16"/>
        </w:rPr>
        <w:t>Great Barrier Reef World Heritage Area (Aust</w:t>
      </w:r>
      <w:r>
        <w:rPr>
          <w:rFonts w:ascii="Myriad Pro"/>
          <w:b/>
          <w:color w:val="005695"/>
          <w:sz w:val="16"/>
        </w:rPr>
        <w:t xml:space="preserve">ralia) </w:t>
      </w:r>
      <w:r>
        <w:rPr>
          <w:rFonts w:ascii="Myriad Pro"/>
          <w:color w:val="005695"/>
          <w:sz w:val="16"/>
        </w:rPr>
        <w:t>2019</w:t>
      </w:r>
    </w:p>
    <w:p w:rsidR="00D1511D" w:rsidRDefault="00D1511D">
      <w:pPr>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11"/>
        <w:rPr>
          <w:rFonts w:ascii="Myriad Pro"/>
          <w:sz w:val="17"/>
        </w:rPr>
      </w:pPr>
    </w:p>
    <w:p w:rsidR="00D1511D" w:rsidRDefault="003F0CB3">
      <w:pPr>
        <w:pStyle w:val="Heading2"/>
        <w:numPr>
          <w:ilvl w:val="1"/>
          <w:numId w:val="15"/>
        </w:numPr>
        <w:tabs>
          <w:tab w:val="left" w:pos="2420"/>
          <w:tab w:val="left" w:pos="2421"/>
        </w:tabs>
        <w:spacing w:before="110" w:line="237" w:lineRule="auto"/>
        <w:ind w:left="1700" w:right="1989" w:firstLine="0"/>
      </w:pPr>
      <w:r>
        <w:rPr>
          <w:color w:val="005695"/>
          <w:spacing w:val="-4"/>
        </w:rPr>
        <w:t xml:space="preserve">Acceleration </w:t>
      </w:r>
      <w:r>
        <w:rPr>
          <w:color w:val="005695"/>
        </w:rPr>
        <w:t xml:space="preserve">of efforts </w:t>
      </w:r>
      <w:r>
        <w:rPr>
          <w:color w:val="005695"/>
          <w:spacing w:val="-3"/>
        </w:rPr>
        <w:t xml:space="preserve">to </w:t>
      </w:r>
      <w:r>
        <w:rPr>
          <w:color w:val="005695"/>
        </w:rPr>
        <w:t xml:space="preserve">meet targets of the Reef </w:t>
      </w:r>
      <w:r>
        <w:rPr>
          <w:color w:val="005695"/>
          <w:spacing w:val="-4"/>
        </w:rPr>
        <w:t xml:space="preserve">2050 </w:t>
      </w:r>
      <w:r>
        <w:rPr>
          <w:color w:val="005695"/>
          <w:spacing w:val="-7"/>
        </w:rPr>
        <w:t xml:space="preserve">Long-Term </w:t>
      </w:r>
      <w:r>
        <w:rPr>
          <w:color w:val="005695"/>
          <w:spacing w:val="-3"/>
        </w:rPr>
        <w:t>Sustainability</w:t>
      </w:r>
      <w:r>
        <w:rPr>
          <w:color w:val="005695"/>
          <w:spacing w:val="7"/>
        </w:rPr>
        <w:t xml:space="preserve"> </w:t>
      </w:r>
      <w:r>
        <w:rPr>
          <w:color w:val="005695"/>
          <w:spacing w:val="-3"/>
        </w:rPr>
        <w:t>Plan</w:t>
      </w:r>
    </w:p>
    <w:p w:rsidR="00D1511D" w:rsidRDefault="003F0CB3">
      <w:pPr>
        <w:pStyle w:val="BodyText"/>
        <w:spacing w:before="3"/>
        <w:rPr>
          <w:rFonts w:ascii="MyriadPro-Semibold"/>
          <w:b/>
          <w:sz w:val="12"/>
        </w:rPr>
      </w:pPr>
      <w:r>
        <w:pict>
          <v:shape id="_x0000_s1302" type="#_x0000_t202" alt="" style="position:absolute;margin-left:85.05pt;margin-top:8.55pt;width:439.4pt;height:63.6pt;z-index:-251644928;mso-wrap-style:square;mso-wrap-edited:f;mso-width-percent:0;mso-height-percent:0;mso-wrap-distance-left:0;mso-wrap-distance-right:0;mso-position-horizontal-relative:page;mso-width-percent:0;mso-height-percent:0;v-text-anchor:top" fillcolor="#cddfed" stroked="f">
            <v:textbox inset="0,0,0,0">
              <w:txbxContent>
                <w:p w:rsidR="00D1511D" w:rsidRDefault="00D1511D">
                  <w:pPr>
                    <w:pStyle w:val="BodyText"/>
                    <w:spacing w:before="3"/>
                    <w:rPr>
                      <w:rFonts w:ascii="MyriadPro-Semibold"/>
                      <w:b/>
                    </w:rPr>
                  </w:pPr>
                </w:p>
                <w:p w:rsidR="00D1511D" w:rsidRDefault="003F0CB3">
                  <w:pPr>
                    <w:spacing w:line="280" w:lineRule="auto"/>
                    <w:ind w:left="283" w:right="304"/>
                    <w:rPr>
                      <w:sz w:val="20"/>
                    </w:rPr>
                  </w:pPr>
                  <w:r>
                    <w:rPr>
                      <w:b/>
                      <w:color w:val="231F20"/>
                      <w:sz w:val="20"/>
                    </w:rPr>
                    <w:t>41 COM 7B.24 Paragraph 4</w:t>
                  </w:r>
                  <w:r>
                    <w:rPr>
                      <w:color w:val="231F20"/>
                      <w:sz w:val="20"/>
                    </w:rPr>
                    <w:t xml:space="preserve">: Strongly encourages the State Party to </w:t>
                  </w:r>
                  <w:r>
                    <w:rPr>
                      <w:b/>
                      <w:color w:val="231F20"/>
                      <w:sz w:val="20"/>
                    </w:rPr>
                    <w:t>accelerate efforts to ensure meeting the intermediate and long-term targets of the plan</w:t>
                  </w:r>
                  <w:r>
                    <w:rPr>
                      <w:color w:val="231F20"/>
                      <w:sz w:val="20"/>
                    </w:rPr>
                    <w:t>, which are essential to the overall resilience of the property, in particular regarding water quality.</w:t>
                  </w:r>
                </w:p>
              </w:txbxContent>
            </v:textbox>
            <w10:wrap type="topAndBottom" anchorx="page"/>
          </v:shape>
        </w:pict>
      </w:r>
    </w:p>
    <w:p w:rsidR="00D1511D" w:rsidRDefault="00D1511D">
      <w:pPr>
        <w:pStyle w:val="BodyText"/>
        <w:spacing w:before="3"/>
        <w:rPr>
          <w:rFonts w:ascii="MyriadPro-Semibold"/>
          <w:b/>
          <w:sz w:val="21"/>
        </w:rPr>
      </w:pPr>
    </w:p>
    <w:p w:rsidR="00D1511D" w:rsidRDefault="003F0CB3">
      <w:pPr>
        <w:pStyle w:val="Heading3"/>
        <w:spacing w:before="101"/>
        <w:ind w:left="1700"/>
      </w:pPr>
      <w:r>
        <w:rPr>
          <w:color w:val="005695"/>
        </w:rPr>
        <w:t>State Party’s response</w:t>
      </w:r>
    </w:p>
    <w:p w:rsidR="00D1511D" w:rsidRDefault="003F0CB3">
      <w:pPr>
        <w:pStyle w:val="BodyText"/>
        <w:spacing w:before="195" w:line="280" w:lineRule="auto"/>
        <w:ind w:left="1700" w:right="1434"/>
      </w:pPr>
      <w:r>
        <w:rPr>
          <w:color w:val="231F20"/>
        </w:rPr>
        <w:t>Our strategy for improving the long-term outlook for the Reef is founded on three key action areas: first, Australia’s contribution to global emissions reductions (under the Paris Agreement and outside the scope of the Reef 2050 Plan); second, direct actio</w:t>
      </w:r>
      <w:r>
        <w:rPr>
          <w:color w:val="231F20"/>
        </w:rPr>
        <w:t>n to reduce pressures like poor water quality and direct human use; and third, supporting adaptation to a changing climate. The focus of the Reef 2050 Plan is on improving the Reef’s health and resilience to climate change by reducing local and regional pr</w:t>
      </w:r>
      <w:r>
        <w:rPr>
          <w:color w:val="231F20"/>
        </w:rPr>
        <w:t>essures. A more resilient Reef will recover faster in the absence of further disturbances. This focus on resilience management is consistent with the recent World Heritage Committee decision (43 COM 7) that all State Parties put in place adaptation strateg</w:t>
      </w:r>
      <w:r>
        <w:rPr>
          <w:color w:val="231F20"/>
        </w:rPr>
        <w:t>ies that strengthen the resilience of properties and ensure the conservation of their OUV. Australia is leading the way in reef adaptation science, as outlined in the Reef Restoration and Adaptation Program case study in section 4.3.2.</w:t>
      </w:r>
    </w:p>
    <w:p w:rsidR="00D1511D" w:rsidRDefault="003F0CB3">
      <w:pPr>
        <w:pStyle w:val="BodyText"/>
        <w:spacing w:before="163" w:line="280" w:lineRule="auto"/>
        <w:ind w:left="1700" w:right="1467"/>
      </w:pPr>
      <w:r>
        <w:rPr>
          <w:color w:val="231F20"/>
        </w:rPr>
        <w:t>Australia is acceler</w:t>
      </w:r>
      <w:r>
        <w:rPr>
          <w:color w:val="231F20"/>
        </w:rPr>
        <w:t xml:space="preserve">ating efforts to strengthen the health and resilience of the Reef. The mid-term review of the Reef 2050 Plan was brought forward in response to the mass coral bleaching events of 2016 and 2017. The Plan was </w:t>
      </w:r>
      <w:proofErr w:type="gramStart"/>
      <w:r>
        <w:rPr>
          <w:color w:val="231F20"/>
        </w:rPr>
        <w:t>updated</w:t>
      </w:r>
      <w:proofErr w:type="gramEnd"/>
      <w:r>
        <w:rPr>
          <w:color w:val="231F20"/>
        </w:rPr>
        <w:t xml:space="preserve"> and investment has been increased with pr</w:t>
      </w:r>
      <w:r>
        <w:rPr>
          <w:color w:val="231F20"/>
        </w:rPr>
        <w:t>iorities carefully planned. Australia is addressing key threats to the Reef by taking action on climate change, improving water quality and coastal habitats, tackling outbreaks of crown-of-thorns starfish, addressing pollution and protecting threatened and</w:t>
      </w:r>
      <w:r>
        <w:rPr>
          <w:color w:val="231F20"/>
        </w:rPr>
        <w:t xml:space="preserve"> migratory species.</w:t>
      </w:r>
    </w:p>
    <w:p w:rsidR="00D1511D" w:rsidRDefault="003F0CB3">
      <w:pPr>
        <w:pStyle w:val="BodyText"/>
        <w:spacing w:before="166" w:line="280" w:lineRule="auto"/>
        <w:ind w:left="1700" w:right="1639"/>
      </w:pPr>
      <w:r>
        <w:rPr>
          <w:color w:val="231F20"/>
        </w:rPr>
        <w:t xml:space="preserve">Our investments are informed by the best available science and knowledge, with water quality interventions maturing to the point where we can </w:t>
      </w:r>
      <w:proofErr w:type="spellStart"/>
      <w:r>
        <w:rPr>
          <w:color w:val="231F20"/>
        </w:rPr>
        <w:t>prioritise</w:t>
      </w:r>
      <w:proofErr w:type="spellEnd"/>
      <w:r>
        <w:rPr>
          <w:color w:val="231F20"/>
        </w:rPr>
        <w:t xml:space="preserve"> our interventions by type and catchment to ensure that we get the</w:t>
      </w:r>
      <w:r>
        <w:rPr>
          <w:color w:val="231F20"/>
          <w:spacing w:val="-4"/>
        </w:rPr>
        <w:t xml:space="preserve"> </w:t>
      </w:r>
      <w:r>
        <w:rPr>
          <w:color w:val="231F20"/>
        </w:rPr>
        <w:t>greatest</w:t>
      </w:r>
      <w:r>
        <w:rPr>
          <w:color w:val="231F20"/>
          <w:spacing w:val="-3"/>
        </w:rPr>
        <w:t xml:space="preserve"> </w:t>
      </w:r>
      <w:r>
        <w:rPr>
          <w:color w:val="231F20"/>
        </w:rPr>
        <w:t>benefit</w:t>
      </w:r>
      <w:r>
        <w:rPr>
          <w:color w:val="231F20"/>
          <w:spacing w:val="-3"/>
        </w:rPr>
        <w:t xml:space="preserve"> </w:t>
      </w:r>
      <w:r>
        <w:rPr>
          <w:color w:val="231F20"/>
        </w:rPr>
        <w:t>possible</w:t>
      </w:r>
      <w:r>
        <w:rPr>
          <w:color w:val="231F20"/>
          <w:spacing w:val="-3"/>
        </w:rPr>
        <w:t xml:space="preserve"> </w:t>
      </w:r>
      <w:r>
        <w:rPr>
          <w:color w:val="231F20"/>
        </w:rPr>
        <w:t>from</w:t>
      </w:r>
      <w:r>
        <w:rPr>
          <w:color w:val="231F20"/>
          <w:spacing w:val="-3"/>
        </w:rPr>
        <w:t xml:space="preserve"> </w:t>
      </w:r>
      <w:r>
        <w:rPr>
          <w:color w:val="231F20"/>
        </w:rPr>
        <w:t>our</w:t>
      </w:r>
      <w:r>
        <w:rPr>
          <w:color w:val="231F20"/>
          <w:spacing w:val="-4"/>
        </w:rPr>
        <w:t xml:space="preserve"> </w:t>
      </w:r>
      <w:r>
        <w:rPr>
          <w:color w:val="231F20"/>
        </w:rPr>
        <w:t>funding.</w:t>
      </w:r>
      <w:r>
        <w:rPr>
          <w:color w:val="231F20"/>
          <w:spacing w:val="-4"/>
        </w:rPr>
        <w:t xml:space="preserve"> </w:t>
      </w:r>
      <w:r>
        <w:rPr>
          <w:i/>
          <w:color w:val="231F20"/>
        </w:rPr>
        <w:t>The</w:t>
      </w:r>
      <w:r>
        <w:rPr>
          <w:i/>
          <w:color w:val="231F20"/>
          <w:spacing w:val="-3"/>
        </w:rPr>
        <w:t xml:space="preserve"> </w:t>
      </w:r>
      <w:r>
        <w:rPr>
          <w:i/>
          <w:color w:val="231F20"/>
        </w:rPr>
        <w:t>Reef</w:t>
      </w:r>
      <w:r>
        <w:rPr>
          <w:i/>
          <w:color w:val="231F20"/>
          <w:spacing w:val="-3"/>
        </w:rPr>
        <w:t xml:space="preserve"> </w:t>
      </w:r>
      <w:r>
        <w:rPr>
          <w:i/>
          <w:color w:val="231F20"/>
        </w:rPr>
        <w:t>2050</w:t>
      </w:r>
      <w:r>
        <w:rPr>
          <w:i/>
          <w:color w:val="231F20"/>
          <w:spacing w:val="-14"/>
        </w:rPr>
        <w:t xml:space="preserve"> </w:t>
      </w:r>
      <w:r>
        <w:rPr>
          <w:i/>
          <w:color w:val="231F20"/>
          <w:spacing w:val="-4"/>
        </w:rPr>
        <w:t xml:space="preserve">Water </w:t>
      </w:r>
      <w:r>
        <w:rPr>
          <w:i/>
          <w:color w:val="231F20"/>
        </w:rPr>
        <w:t>Quality</w:t>
      </w:r>
      <w:r>
        <w:rPr>
          <w:i/>
          <w:color w:val="231F20"/>
          <w:spacing w:val="-3"/>
        </w:rPr>
        <w:t xml:space="preserve"> </w:t>
      </w:r>
      <w:r>
        <w:rPr>
          <w:i/>
          <w:color w:val="231F20"/>
        </w:rPr>
        <w:t>Improvement</w:t>
      </w:r>
      <w:r>
        <w:rPr>
          <w:i/>
          <w:color w:val="231F20"/>
          <w:spacing w:val="-3"/>
        </w:rPr>
        <w:t xml:space="preserve"> </w:t>
      </w:r>
      <w:r>
        <w:rPr>
          <w:i/>
          <w:color w:val="231F20"/>
        </w:rPr>
        <w:t>Plan</w:t>
      </w:r>
      <w:r>
        <w:rPr>
          <w:i/>
          <w:color w:val="231F20"/>
          <w:spacing w:val="-3"/>
        </w:rPr>
        <w:t xml:space="preserve"> </w:t>
      </w:r>
      <w:r>
        <w:rPr>
          <w:i/>
          <w:color w:val="231F20"/>
        </w:rPr>
        <w:t>2017-2022</w:t>
      </w:r>
      <w:r>
        <w:rPr>
          <w:i/>
          <w:color w:val="231F20"/>
          <w:spacing w:val="-4"/>
        </w:rPr>
        <w:t xml:space="preserve"> </w:t>
      </w:r>
      <w:r>
        <w:rPr>
          <w:color w:val="231F20"/>
        </w:rPr>
        <w:t>–</w:t>
      </w:r>
      <w:r>
        <w:rPr>
          <w:color w:val="231F20"/>
          <w:spacing w:val="-3"/>
        </w:rPr>
        <w:t xml:space="preserve"> </w:t>
      </w:r>
      <w:r>
        <w:rPr>
          <w:color w:val="231F20"/>
        </w:rPr>
        <w:t>the fourth iteration of this plan – builds on more than 15 years of effort by governments at all levels working</w:t>
      </w:r>
      <w:r>
        <w:rPr>
          <w:color w:val="231F20"/>
          <w:spacing w:val="-16"/>
        </w:rPr>
        <w:t xml:space="preserve"> </w:t>
      </w:r>
      <w:r>
        <w:rPr>
          <w:color w:val="231F20"/>
        </w:rPr>
        <w:t>in</w:t>
      </w:r>
    </w:p>
    <w:p w:rsidR="00D1511D" w:rsidRDefault="003F0CB3">
      <w:pPr>
        <w:pStyle w:val="BodyText"/>
        <w:spacing w:line="280" w:lineRule="auto"/>
        <w:ind w:left="1700" w:right="1802"/>
      </w:pPr>
      <w:r>
        <w:rPr>
          <w:color w:val="231F20"/>
        </w:rPr>
        <w:t>partnership with landholders, natural resource managers and conservation groups to address all land-based sources of water pollution. Results</w:t>
      </w:r>
      <w:r>
        <w:rPr>
          <w:color w:val="231F20"/>
        </w:rPr>
        <w:t xml:space="preserve"> from this program show steady progress is being made.</w:t>
      </w:r>
    </w:p>
    <w:p w:rsidR="00D1511D" w:rsidRDefault="00D1511D">
      <w:pPr>
        <w:pStyle w:val="BodyText"/>
        <w:spacing w:before="2"/>
        <w:rPr>
          <w:sz w:val="29"/>
        </w:rPr>
      </w:pPr>
    </w:p>
    <w:p w:rsidR="00D1511D" w:rsidRDefault="003F0CB3">
      <w:pPr>
        <w:pStyle w:val="Heading3"/>
        <w:numPr>
          <w:ilvl w:val="2"/>
          <w:numId w:val="15"/>
        </w:numPr>
        <w:tabs>
          <w:tab w:val="left" w:pos="2421"/>
        </w:tabs>
        <w:spacing w:before="1"/>
      </w:pPr>
      <w:r>
        <w:rPr>
          <w:color w:val="005695"/>
        </w:rPr>
        <w:t xml:space="preserve">Action on </w:t>
      </w:r>
      <w:r>
        <w:rPr>
          <w:color w:val="005695"/>
          <w:spacing w:val="-4"/>
        </w:rPr>
        <w:t>climate</w:t>
      </w:r>
      <w:r>
        <w:rPr>
          <w:color w:val="005695"/>
          <w:spacing w:val="-1"/>
        </w:rPr>
        <w:t xml:space="preserve"> </w:t>
      </w:r>
      <w:r>
        <w:rPr>
          <w:color w:val="005695"/>
          <w:spacing w:val="-3"/>
        </w:rPr>
        <w:t>change</w:t>
      </w:r>
    </w:p>
    <w:p w:rsidR="00D1511D" w:rsidRDefault="003F0CB3">
      <w:pPr>
        <w:pStyle w:val="BodyText"/>
        <w:spacing w:before="195" w:line="280" w:lineRule="auto"/>
        <w:ind w:left="1700" w:right="1802"/>
      </w:pPr>
      <w:r>
        <w:rPr>
          <w:color w:val="231F20"/>
        </w:rPr>
        <w:t>Australia is taking strong action to address the global threat of climate change under the United Nations Framework Convention on Climate Change and the Paris Agreement.</w:t>
      </w:r>
    </w:p>
    <w:p w:rsidR="00D1511D" w:rsidRDefault="003F0CB3">
      <w:pPr>
        <w:pStyle w:val="BodyText"/>
        <w:spacing w:before="168" w:line="280" w:lineRule="auto"/>
        <w:ind w:left="1700" w:right="1575"/>
      </w:pPr>
      <w:r>
        <w:rPr>
          <w:color w:val="231F20"/>
        </w:rPr>
        <w:t>Austr</w:t>
      </w:r>
      <w:r>
        <w:rPr>
          <w:color w:val="231F20"/>
        </w:rPr>
        <w:t>alia has a track record of meeting its international commitments and is on track to exceed its 2020 target to reduce greenhouse gas emissions by five per cent below 2000 levels by 2020. Australia’s Paris target to reduce emissions by 26 to 28 per cent belo</w:t>
      </w:r>
      <w:r>
        <w:rPr>
          <w:color w:val="231F20"/>
        </w:rPr>
        <w:t>w 2005 levels by 2030 is a significant contribution to global climate action. The headline target represents a halving of emissions per person in Australia, or a two-thirds reduction in emissions per unit of GDP.</w:t>
      </w:r>
    </w:p>
    <w:p w:rsidR="00D1511D" w:rsidRDefault="003F0CB3">
      <w:pPr>
        <w:pStyle w:val="BodyText"/>
        <w:spacing w:before="166" w:line="280" w:lineRule="auto"/>
        <w:ind w:left="1700" w:right="1359"/>
      </w:pPr>
      <w:r>
        <w:rPr>
          <w:color w:val="231F20"/>
        </w:rPr>
        <w:t>To meet the goals of the Paris Agreement Au</w:t>
      </w:r>
      <w:r>
        <w:rPr>
          <w:color w:val="231F20"/>
        </w:rPr>
        <w:t xml:space="preserve">stralia, like all other Parties to the Agreement, will put forward new commitments every five years. As part of the recommendations in the Australian Government’s </w:t>
      </w:r>
      <w:r>
        <w:rPr>
          <w:i/>
          <w:color w:val="231F20"/>
        </w:rPr>
        <w:t xml:space="preserve">2017 Review of Climate Change Policies </w:t>
      </w:r>
      <w:r>
        <w:rPr>
          <w:color w:val="231F20"/>
        </w:rPr>
        <w:t>(2017 Review), the Government agreed to introduce a pr</w:t>
      </w:r>
      <w:r>
        <w:rPr>
          <w:color w:val="231F20"/>
        </w:rPr>
        <w:t>ocess of ‘review and refine’ cycles of its climate change policies to ensure integrated consideration of domestic policy and international targets.</w:t>
      </w: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3F0CB3">
      <w:pPr>
        <w:spacing w:before="160"/>
        <w:ind w:right="1415"/>
        <w:jc w:val="right"/>
        <w:rPr>
          <w:rFonts w:ascii="Myriad Pro"/>
          <w:sz w:val="16"/>
        </w:rPr>
      </w:pPr>
      <w:r>
        <w:rPr>
          <w:rFonts w:ascii="Myriad Pro"/>
          <w:color w:val="231F20"/>
          <w:sz w:val="16"/>
        </w:rPr>
        <w:t>17</w:t>
      </w:r>
    </w:p>
    <w:p w:rsidR="00D1511D" w:rsidRDefault="00D1511D">
      <w:pPr>
        <w:jc w:val="right"/>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8"/>
        <w:rPr>
          <w:rFonts w:ascii="Myriad Pro"/>
        </w:rPr>
      </w:pPr>
    </w:p>
    <w:p w:rsidR="00D1511D" w:rsidRDefault="003F0CB3">
      <w:pPr>
        <w:pStyle w:val="BodyText"/>
        <w:spacing w:before="98" w:line="280" w:lineRule="auto"/>
        <w:ind w:left="1700" w:right="1467"/>
      </w:pPr>
      <w:r>
        <w:rPr>
          <w:color w:val="231F20"/>
        </w:rPr>
        <w:t>Australia is also developing a long-term whole-of-economy emissions reduction strategy, as recommended in the 2017 Review, which is expected to be delivered by the end of 2020.</w:t>
      </w:r>
    </w:p>
    <w:p w:rsidR="00D1511D" w:rsidRDefault="003F0CB3">
      <w:pPr>
        <w:pStyle w:val="BodyText"/>
        <w:spacing w:before="169" w:line="280" w:lineRule="auto"/>
        <w:ind w:left="1700" w:right="1467"/>
      </w:pPr>
      <w:r>
        <w:rPr>
          <w:color w:val="231F20"/>
        </w:rPr>
        <w:t>The Australian Government has a comprehensive set of policies to reduce greenho</w:t>
      </w:r>
      <w:r>
        <w:rPr>
          <w:color w:val="231F20"/>
        </w:rPr>
        <w:t xml:space="preserve">use gas emissions, increase energy efficiency and fast track the development and uptake of clean </w:t>
      </w:r>
      <w:r>
        <w:rPr>
          <w:color w:val="231F20"/>
          <w:spacing w:val="-3"/>
        </w:rPr>
        <w:t xml:space="preserve">energy. </w:t>
      </w:r>
      <w:r>
        <w:rPr>
          <w:color w:val="231F20"/>
        </w:rPr>
        <w:t xml:space="preserve">This is backed by strong investments, such as our $3.5 billion </w:t>
      </w:r>
      <w:hyperlink r:id="rId33">
        <w:r>
          <w:rPr>
            <w:color w:val="1B5BAA"/>
            <w:u w:val="single" w:color="1B5BAA"/>
          </w:rPr>
          <w:t>Climate Solutions Package</w:t>
        </w:r>
        <w:r>
          <w:rPr>
            <w:color w:val="1B5BAA"/>
          </w:rPr>
          <w:t xml:space="preserve"> </w:t>
        </w:r>
      </w:hyperlink>
      <w:r>
        <w:rPr>
          <w:color w:val="231F20"/>
        </w:rPr>
        <w:t xml:space="preserve">to help deliver on </w:t>
      </w:r>
      <w:r>
        <w:rPr>
          <w:color w:val="231F20"/>
          <w:spacing w:val="-4"/>
        </w:rPr>
        <w:t xml:space="preserve">Australia’s </w:t>
      </w:r>
      <w:r>
        <w:rPr>
          <w:color w:val="231F20"/>
        </w:rPr>
        <w:t xml:space="preserve">2030 Paris climate commitments, including a $2 billion </w:t>
      </w:r>
      <w:hyperlink r:id="rId34">
        <w:r>
          <w:rPr>
            <w:color w:val="1B5BAA"/>
            <w:u w:val="single" w:color="1B5BAA"/>
          </w:rPr>
          <w:t>Climate Solutions Fund</w:t>
        </w:r>
      </w:hyperlink>
      <w:r>
        <w:rPr>
          <w:color w:val="1B5BAA"/>
        </w:rPr>
        <w:t xml:space="preserve"> </w:t>
      </w:r>
      <w:r>
        <w:rPr>
          <w:color w:val="231F20"/>
        </w:rPr>
        <w:t xml:space="preserve">to build on the success of the Emissions </w:t>
      </w:r>
      <w:r>
        <w:rPr>
          <w:color w:val="231F20"/>
          <w:spacing w:val="-3"/>
        </w:rPr>
        <w:t xml:space="preserve">Reduction </w:t>
      </w:r>
      <w:r>
        <w:rPr>
          <w:color w:val="231F20"/>
        </w:rPr>
        <w:t xml:space="preserve">Fund. These measures will contribute more than 200 million </w:t>
      </w:r>
      <w:proofErr w:type="spellStart"/>
      <w:r>
        <w:rPr>
          <w:color w:val="231F20"/>
        </w:rPr>
        <w:t>tonnes</w:t>
      </w:r>
      <w:proofErr w:type="spellEnd"/>
      <w:r>
        <w:rPr>
          <w:color w:val="231F20"/>
        </w:rPr>
        <w:t xml:space="preserve"> of abatement toward</w:t>
      </w:r>
      <w:r>
        <w:rPr>
          <w:color w:val="231F20"/>
        </w:rPr>
        <w:t xml:space="preserve"> our emissions reduction targets while giving farmers, small businesses and Indigenous communities the chance to improve the environment and benefit from new revenue</w:t>
      </w:r>
      <w:r>
        <w:rPr>
          <w:color w:val="231F20"/>
          <w:spacing w:val="-1"/>
        </w:rPr>
        <w:t xml:space="preserve"> </w:t>
      </w:r>
      <w:r>
        <w:rPr>
          <w:color w:val="231F20"/>
        </w:rPr>
        <w:t>opportunities.</w:t>
      </w:r>
    </w:p>
    <w:p w:rsidR="00D1511D" w:rsidRDefault="003F0CB3">
      <w:pPr>
        <w:pStyle w:val="BodyText"/>
        <w:spacing w:before="164" w:line="280" w:lineRule="auto"/>
        <w:ind w:left="1700" w:right="1518"/>
      </w:pPr>
      <w:r>
        <w:rPr>
          <w:color w:val="231F20"/>
        </w:rPr>
        <w:t>The Australian Government is funding clean energy projects in the Reef catc</w:t>
      </w:r>
      <w:r>
        <w:rPr>
          <w:color w:val="231F20"/>
        </w:rPr>
        <w:t xml:space="preserve">hment area through the Clean Energy Finance </w:t>
      </w:r>
      <w:r>
        <w:rPr>
          <w:color w:val="231F20"/>
          <w:spacing w:val="-3"/>
        </w:rPr>
        <w:t xml:space="preserve">Corporation’s </w:t>
      </w:r>
      <w:r>
        <w:rPr>
          <w:color w:val="231F20"/>
        </w:rPr>
        <w:t xml:space="preserve">(CEFC) $1 billion Reef Funding Program, launched in June 2016. </w:t>
      </w:r>
      <w:r>
        <w:rPr>
          <w:color w:val="231F20"/>
          <w:spacing w:val="-12"/>
        </w:rPr>
        <w:t xml:space="preserve">To </w:t>
      </w:r>
      <w:r>
        <w:rPr>
          <w:color w:val="231F20"/>
        </w:rPr>
        <w:t>30 June 2019, the CEFC has committed more than $370 million towards over 400 projects under the Reef Funding Program with a total pr</w:t>
      </w:r>
      <w:r>
        <w:rPr>
          <w:color w:val="231F20"/>
        </w:rPr>
        <w:t xml:space="preserve">oject value of more than $1.22 billion. Under the Reef Funding Program, finance is directed to eligible projects in the Reef catchment area, across renewable </w:t>
      </w:r>
      <w:r>
        <w:rPr>
          <w:color w:val="231F20"/>
          <w:spacing w:val="-3"/>
        </w:rPr>
        <w:t xml:space="preserve">energy, </w:t>
      </w:r>
      <w:r>
        <w:rPr>
          <w:color w:val="231F20"/>
        </w:rPr>
        <w:t xml:space="preserve">energy efficiency and low emissions technologies. The </w:t>
      </w:r>
      <w:r>
        <w:rPr>
          <w:color w:val="231F20"/>
          <w:spacing w:val="-3"/>
        </w:rPr>
        <w:t xml:space="preserve">CEFC’s </w:t>
      </w:r>
      <w:r>
        <w:rPr>
          <w:color w:val="231F20"/>
        </w:rPr>
        <w:t>primary role and statutory ob</w:t>
      </w:r>
      <w:r>
        <w:rPr>
          <w:color w:val="231F20"/>
        </w:rPr>
        <w:t xml:space="preserve">jective is to facilitate financial flows into the clean energy technology sector. As such, </w:t>
      </w:r>
      <w:r>
        <w:rPr>
          <w:color w:val="231F20"/>
          <w:spacing w:val="-3"/>
        </w:rPr>
        <w:t xml:space="preserve">CEFC’s </w:t>
      </w:r>
      <w:r>
        <w:rPr>
          <w:color w:val="231F20"/>
        </w:rPr>
        <w:t xml:space="preserve">investments within the Reef catchment area can benefit the Reef in that they address its greatest threat, that of climate change. They also contribute to the </w:t>
      </w:r>
      <w:r>
        <w:rPr>
          <w:color w:val="231F20"/>
          <w:spacing w:val="-5"/>
        </w:rPr>
        <w:t xml:space="preserve">region’s </w:t>
      </w:r>
      <w:r>
        <w:rPr>
          <w:color w:val="231F20"/>
        </w:rPr>
        <w:t>economic development by providing a local source of clean renewable energy supply and efficient local use of energy; and</w:t>
      </w:r>
    </w:p>
    <w:p w:rsidR="00D1511D" w:rsidRDefault="003F0CB3">
      <w:pPr>
        <w:pStyle w:val="BodyText"/>
        <w:spacing w:line="280" w:lineRule="auto"/>
        <w:ind w:left="1700" w:right="1410"/>
      </w:pPr>
      <w:r>
        <w:rPr>
          <w:color w:val="231F20"/>
        </w:rPr>
        <w:t>they demonstrate to the Reef communities that action on climate change makes good business sense; all outcomes that support th</w:t>
      </w:r>
      <w:r>
        <w:rPr>
          <w:color w:val="231F20"/>
        </w:rPr>
        <w:t xml:space="preserve">e Government’s Reef 2050 Plan. </w:t>
      </w:r>
      <w:proofErr w:type="gramStart"/>
      <w:r>
        <w:rPr>
          <w:color w:val="231F20"/>
        </w:rPr>
        <w:t>Also</w:t>
      </w:r>
      <w:proofErr w:type="gramEnd"/>
      <w:r>
        <w:rPr>
          <w:color w:val="231F20"/>
        </w:rPr>
        <w:t xml:space="preserve"> in line with the Reef 2050 Plan, the CEFC seeks projects that deliver water quality outcomes.</w:t>
      </w:r>
    </w:p>
    <w:p w:rsidR="00D1511D" w:rsidRDefault="003F0CB3">
      <w:pPr>
        <w:pStyle w:val="BodyText"/>
        <w:spacing w:before="161" w:line="280" w:lineRule="auto"/>
        <w:ind w:left="1700" w:right="1912"/>
      </w:pPr>
      <w:r>
        <w:rPr>
          <w:color w:val="231F20"/>
        </w:rPr>
        <w:t xml:space="preserve">The Queensland Government similarly </w:t>
      </w:r>
      <w:proofErr w:type="spellStart"/>
      <w:r>
        <w:rPr>
          <w:color w:val="231F20"/>
        </w:rPr>
        <w:t>recognises</w:t>
      </w:r>
      <w:proofErr w:type="spellEnd"/>
      <w:r>
        <w:rPr>
          <w:color w:val="231F20"/>
        </w:rPr>
        <w:t xml:space="preserve"> the threat that climate change is posing to the Reef and is committed to playin</w:t>
      </w:r>
      <w:r>
        <w:rPr>
          <w:color w:val="231F20"/>
        </w:rPr>
        <w:t>g its part in the global effort to address climate change impacts, having committed</w:t>
      </w:r>
      <w:r>
        <w:rPr>
          <w:color w:val="231F20"/>
          <w:spacing w:val="-4"/>
        </w:rPr>
        <w:t xml:space="preserve"> </w:t>
      </w:r>
      <w:r>
        <w:rPr>
          <w:color w:val="231F20"/>
          <w:spacing w:val="-8"/>
        </w:rPr>
        <w:t>to</w:t>
      </w:r>
    </w:p>
    <w:p w:rsidR="00D1511D" w:rsidRDefault="003F0CB3">
      <w:pPr>
        <w:pStyle w:val="BodyText"/>
        <w:spacing w:line="280" w:lineRule="auto"/>
        <w:ind w:left="1700" w:right="1359"/>
      </w:pPr>
      <w:r>
        <w:rPr>
          <w:color w:val="231F20"/>
        </w:rPr>
        <w:t>achieving a net reduction of its greenhouse gas emissions of 30 per cent by 2030. In addition to its comprehensive climate mitigation and adaptation strategies, the Quee</w:t>
      </w:r>
      <w:r>
        <w:rPr>
          <w:color w:val="231F20"/>
        </w:rPr>
        <w:t xml:space="preserve">nsland Government has introduced a $500 million </w:t>
      </w:r>
      <w:hyperlink r:id="rId35">
        <w:r>
          <w:rPr>
            <w:color w:val="1B5BAA"/>
            <w:u w:val="single" w:color="1B5BAA"/>
          </w:rPr>
          <w:t>Land</w:t>
        </w:r>
      </w:hyperlink>
      <w:r>
        <w:rPr>
          <w:color w:val="1B5BAA"/>
        </w:rPr>
        <w:t xml:space="preserve"> </w:t>
      </w:r>
      <w:hyperlink r:id="rId36">
        <w:r>
          <w:rPr>
            <w:color w:val="1B5BAA"/>
            <w:u w:val="single" w:color="1B5BAA"/>
          </w:rPr>
          <w:t>Restoration Fund</w:t>
        </w:r>
      </w:hyperlink>
      <w:r>
        <w:rPr>
          <w:color w:val="1B5BAA"/>
        </w:rPr>
        <w:t xml:space="preserve"> </w:t>
      </w:r>
      <w:r>
        <w:rPr>
          <w:color w:val="231F20"/>
        </w:rPr>
        <w:t>to facilitate Queensland-based land sector carbon offset projects which also generate co-benefits such as improved vegetation management to reduce sediment entering the Reef.</w:t>
      </w:r>
    </w:p>
    <w:p w:rsidR="00D1511D" w:rsidRDefault="003F0CB3">
      <w:pPr>
        <w:pStyle w:val="BodyText"/>
        <w:spacing w:before="165" w:line="280" w:lineRule="auto"/>
        <w:ind w:left="1700" w:right="1467"/>
      </w:pPr>
      <w:r>
        <w:rPr>
          <w:color w:val="231F20"/>
        </w:rPr>
        <w:t xml:space="preserve">The Queensland Government is also investing $8.9 million </w:t>
      </w:r>
      <w:r>
        <w:rPr>
          <w:color w:val="231F20"/>
        </w:rPr>
        <w:t>for improved infrastructure on Reef islands along with $1.7 million to help Great Barrier Reef islands develop business cases for renewable energy use to cut their carbon emissions.</w:t>
      </w:r>
    </w:p>
    <w:p w:rsidR="00D1511D" w:rsidRDefault="003F0CB3">
      <w:pPr>
        <w:pStyle w:val="Heading3"/>
        <w:numPr>
          <w:ilvl w:val="2"/>
          <w:numId w:val="15"/>
        </w:numPr>
        <w:tabs>
          <w:tab w:val="left" w:pos="2421"/>
        </w:tabs>
        <w:spacing w:before="127"/>
      </w:pPr>
      <w:r>
        <w:rPr>
          <w:color w:val="005695"/>
        </w:rPr>
        <w:t xml:space="preserve">Reef </w:t>
      </w:r>
      <w:r>
        <w:rPr>
          <w:color w:val="005695"/>
          <w:spacing w:val="-3"/>
        </w:rPr>
        <w:t xml:space="preserve">Blueprint </w:t>
      </w:r>
      <w:r>
        <w:rPr>
          <w:color w:val="005695"/>
        </w:rPr>
        <w:t>for</w:t>
      </w:r>
      <w:r>
        <w:rPr>
          <w:color w:val="005695"/>
          <w:spacing w:val="3"/>
        </w:rPr>
        <w:t xml:space="preserve"> </w:t>
      </w:r>
      <w:r>
        <w:rPr>
          <w:color w:val="005695"/>
          <w:spacing w:val="-4"/>
        </w:rPr>
        <w:t>Resilience</w:t>
      </w:r>
    </w:p>
    <w:p w:rsidR="00D1511D" w:rsidRDefault="003F0CB3">
      <w:pPr>
        <w:pStyle w:val="BodyText"/>
        <w:spacing w:before="195" w:line="280" w:lineRule="auto"/>
        <w:ind w:left="1700" w:right="1589"/>
      </w:pPr>
      <w:r>
        <w:rPr>
          <w:color w:val="231F20"/>
        </w:rPr>
        <w:t>In 2017, prompted by the significant loss of coral cover during the 2016 and 2017 mass coral bleaching events, the Marine Park Authority brought together over 70 regional, national and international delegates representing Traditional Owners, marine park ra</w:t>
      </w:r>
      <w:r>
        <w:rPr>
          <w:color w:val="231F20"/>
        </w:rPr>
        <w:t xml:space="preserve">ngers, managers, scientists, industry representatives, and government and non-government </w:t>
      </w:r>
      <w:proofErr w:type="spellStart"/>
      <w:r>
        <w:rPr>
          <w:color w:val="231F20"/>
        </w:rPr>
        <w:t>organisations</w:t>
      </w:r>
      <w:proofErr w:type="spellEnd"/>
      <w:r>
        <w:rPr>
          <w:color w:val="231F20"/>
        </w:rPr>
        <w:t xml:space="preserve"> for a dedicated summit to address the situation.</w:t>
      </w:r>
    </w:p>
    <w:p w:rsidR="00D1511D" w:rsidRDefault="003F0CB3">
      <w:pPr>
        <w:spacing w:before="167"/>
        <w:ind w:left="1700"/>
        <w:rPr>
          <w:sz w:val="20"/>
        </w:rPr>
      </w:pPr>
      <w:r>
        <w:rPr>
          <w:color w:val="231F20"/>
          <w:sz w:val="20"/>
        </w:rPr>
        <w:t xml:space="preserve">The Marine Park Authority’s </w:t>
      </w:r>
      <w:hyperlink r:id="rId37">
        <w:r>
          <w:rPr>
            <w:i/>
            <w:color w:val="1B5BAA"/>
            <w:sz w:val="20"/>
            <w:u w:val="single" w:color="1B5BAA"/>
          </w:rPr>
          <w:t>Reef Blueprint for Resilience</w:t>
        </w:r>
        <w:r>
          <w:rPr>
            <w:i/>
            <w:color w:val="1B5BAA"/>
            <w:sz w:val="20"/>
          </w:rPr>
          <w:t xml:space="preserve"> </w:t>
        </w:r>
      </w:hyperlink>
      <w:r>
        <w:rPr>
          <w:color w:val="231F20"/>
          <w:sz w:val="20"/>
        </w:rPr>
        <w:t>was the primary output of the 2017 Reef Summit.</w:t>
      </w:r>
    </w:p>
    <w:p w:rsidR="00D1511D" w:rsidRDefault="003F0CB3">
      <w:pPr>
        <w:pStyle w:val="BodyText"/>
        <w:spacing w:before="40" w:line="280" w:lineRule="auto"/>
        <w:ind w:left="1700" w:right="1422"/>
      </w:pPr>
      <w:r>
        <w:rPr>
          <w:color w:val="231F20"/>
        </w:rPr>
        <w:t>The Blueprint signals the actions that will be taken to strengthen the Reef’s resilience, its capacity to recover after disturbances and return to a healthy state, and the challe</w:t>
      </w:r>
      <w:r>
        <w:rPr>
          <w:color w:val="231F20"/>
        </w:rPr>
        <w:t>nges it faces now and in the future.</w:t>
      </w:r>
    </w:p>
    <w:p w:rsidR="00D1511D" w:rsidRDefault="003F0CB3">
      <w:pPr>
        <w:pStyle w:val="BodyText"/>
        <w:spacing w:before="168" w:line="280" w:lineRule="auto"/>
        <w:ind w:left="1700" w:right="1467"/>
      </w:pPr>
      <w:r>
        <w:rPr>
          <w:color w:val="231F20"/>
        </w:rPr>
        <w:t>The Blueprint is designed around 10 key initiatives focused on delivering maximum benefits for Reef resilience. In considering the initiatives, summit participants looked at what scale solutions needed to be applied, ho</w:t>
      </w:r>
      <w:r>
        <w:rPr>
          <w:color w:val="231F20"/>
        </w:rPr>
        <w:t>w quickly they could be implemented and how soon they would deliver benefits for the Reef.</w:t>
      </w:r>
    </w:p>
    <w:p w:rsidR="00D1511D" w:rsidRDefault="003F0CB3">
      <w:pPr>
        <w:pStyle w:val="BodyText"/>
        <w:spacing w:before="168" w:line="280" w:lineRule="auto"/>
        <w:ind w:left="1700" w:right="1426"/>
      </w:pPr>
      <w:r>
        <w:rPr>
          <w:color w:val="231F20"/>
        </w:rPr>
        <w:t>The Blueprint informed the 2018 update of the Reef 2050 Plan and has contributed to securing additional funding to develop and implement innovative and timely strate</w:t>
      </w:r>
      <w:r>
        <w:rPr>
          <w:color w:val="231F20"/>
        </w:rPr>
        <w:t xml:space="preserve">gies. It has also helped </w:t>
      </w:r>
      <w:proofErr w:type="spellStart"/>
      <w:r>
        <w:rPr>
          <w:color w:val="231F20"/>
        </w:rPr>
        <w:t>galvanise</w:t>
      </w:r>
      <w:proofErr w:type="spellEnd"/>
      <w:r>
        <w:rPr>
          <w:color w:val="231F20"/>
        </w:rPr>
        <w:t xml:space="preserve"> collaboration and resilience-building efforts across the Reef community.</w:t>
      </w:r>
    </w:p>
    <w:p w:rsidR="00D1511D" w:rsidRDefault="00D1511D">
      <w:pPr>
        <w:pStyle w:val="BodyText"/>
        <w:rPr>
          <w:sz w:val="24"/>
        </w:rPr>
      </w:pPr>
    </w:p>
    <w:p w:rsidR="00D1511D" w:rsidRDefault="003F0CB3">
      <w:pPr>
        <w:spacing w:before="177"/>
        <w:ind w:left="1417"/>
        <w:rPr>
          <w:rFonts w:ascii="Myriad Pro"/>
          <w:sz w:val="16"/>
        </w:rPr>
      </w:pPr>
      <w:r>
        <w:rPr>
          <w:rFonts w:ascii="Myriad Pro"/>
          <w:color w:val="231F20"/>
          <w:sz w:val="16"/>
        </w:rPr>
        <w:t xml:space="preserve">18 / </w:t>
      </w:r>
      <w:r>
        <w:rPr>
          <w:rFonts w:ascii="Myriad Pro"/>
          <w:color w:val="005695"/>
          <w:sz w:val="16"/>
        </w:rPr>
        <w:t xml:space="preserve">State Party Report on the state of conservation of the </w:t>
      </w:r>
      <w:r>
        <w:rPr>
          <w:rFonts w:ascii="Myriad Pro"/>
          <w:b/>
          <w:color w:val="005695"/>
          <w:sz w:val="16"/>
        </w:rPr>
        <w:t xml:space="preserve">Great Barrier Reef World Heritage Area (Australia) </w:t>
      </w:r>
      <w:r>
        <w:rPr>
          <w:rFonts w:ascii="Myriad Pro"/>
          <w:color w:val="005695"/>
          <w:sz w:val="16"/>
        </w:rPr>
        <w:t>2019</w:t>
      </w:r>
    </w:p>
    <w:p w:rsidR="00D1511D" w:rsidRDefault="00D1511D">
      <w:pPr>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8"/>
        <w:rPr>
          <w:rFonts w:ascii="Myriad Pro"/>
        </w:rPr>
      </w:pPr>
    </w:p>
    <w:p w:rsidR="00D1511D" w:rsidRDefault="003F0CB3">
      <w:pPr>
        <w:pStyle w:val="BodyText"/>
        <w:spacing w:before="98" w:line="280" w:lineRule="auto"/>
        <w:ind w:left="1700" w:right="1599"/>
      </w:pPr>
      <w:r>
        <w:pict>
          <v:group id="_x0000_s1276" alt="This figure shows the Great Barrier Reef blueprint for resilience. The Blueprint shows the 10 key initiatives focused on delivering maximum benefits for Reef resilience.  " style="position:absolute;left:0;text-align:left;margin-left:167.9pt;margin-top:53.45pt;width:259.45pt;height:259.6pt;z-index:-251643904;mso-wrap-distance-left:0;mso-wrap-distance-right:0;mso-position-horizontal-relative:page" coordorigin="3358,1069" coordsize="5189,5192">
            <v:shape id="_x0000_s1277" alt="This figure shows the Great Barrier Reef blueprint for resilience. The Blueprint shows the 10 key initiatives focused on delivering maximum benefits for Reef resilience.  " style="position:absolute;left:5952;top:3666;width:2555;height:2186" coordorigin="5953,3667" coordsize="2555,2186" path="m8507,3667r-2554,l7276,5852r64,-40l7403,5769r62,-44l7526,5679r59,-47l7642,5582r56,-51l7753,5479r53,-54l7857,5369r50,-57l7955,5253r46,-60l8046,5131r42,-63l8129,5004r39,-65l8205,4872r35,-68l8274,4735r31,-70l8334,4594r27,-73l8385,4448r23,-75l8428,4298r19,-76l8462,4145r14,-78l8487,3988r9,-79l8502,3829r4,-81l8507,3667xe" fillcolor="#f26756" stroked="f">
              <v:path arrowok="t"/>
            </v:shape>
            <v:shape id="_x0000_s1278" alt="This figure shows the Great Barrier Reef blueprint for resilience. The Blueprint shows the 10 key initiatives focused on delivering maximum benefits for Reef resilience.  " style="position:absolute;left:5952;top:3666;width:2555;height:2186" coordorigin="5953,3667" coordsize="2555,2186" path="m8507,3667r-2554,l7276,5852r64,-40l7403,5769r62,-44l7526,5679r59,-47l7642,5582r56,-51l7753,5479r53,-54l7857,5369r50,-57l7955,5253r46,-60l8046,5131r42,-63l8129,5004r39,-65l8205,4872r35,-68l8274,4735r31,-70l8334,4594r27,-73l8385,4448r23,-75l8428,4298r19,-76l8462,4145r14,-78l8487,3988r9,-79l8502,3829r4,-81l8507,3667xe" filled="f" strokecolor="white" strokeweight="1.409mm">
              <v:path arrowok="t"/>
            </v:shape>
            <v:shape id="_x0000_s1279" alt="This figure shows the Great Barrier Reef blueprint for resilience. The Blueprint shows the 10 key initiatives focused on delivering maximum benefits for Reef resilience.  " style="position:absolute;left:4629;top:3666;width:2646;height:2555" coordorigin="4630,3667" coordsize="2646,2555" path="m5953,3667l4630,5852r65,38l4761,5926r67,35l4897,5993r69,30l5037,6052r71,26l5181,6102r73,22l5329,6144r75,18l5480,6177r77,13l5635,6201r78,9l5793,6216r79,4l5953,6221r80,-1l6113,6216r79,-6l6271,6201r77,-11l6425,6177r76,-15l6577,6144r74,-20l6725,6102r72,-24l6869,6052r70,-29l7009,5993r68,-32l7145,5926r66,-36l7276,5852,5953,3667xe" fillcolor="#f26756" stroked="f">
              <v:path arrowok="t"/>
            </v:shape>
            <v:shape id="_x0000_s1280" alt="This figure shows the Great Barrier Reef blueprint for resilience. The Blueprint shows the 10 key initiatives focused on delivering maximum benefits for Reef resilience.  " style="position:absolute;left:4629;top:3666;width:2646;height:2555" coordorigin="4630,3667" coordsize="2646,2555" path="m4630,5852r65,38l4761,5926r67,35l4897,5993r69,30l5037,6052r71,26l5181,6102r73,22l5329,6144r75,18l5480,6177r77,13l5635,6201r78,9l5793,6216r79,4l5953,6221r80,-1l6113,6216r79,-6l6271,6201r77,-11l6425,6177r76,-15l6577,6144r74,-20l6725,6102r72,-24l6869,6052r70,-29l7009,5993r68,-32l7145,5926r66,-36l7276,5852,5953,3667,4630,5852xe" filled="f" strokecolor="white" strokeweight="1.409mm">
              <v:path arrowok="t"/>
            </v:shape>
            <v:shape id="_x0000_s1281" alt="This figure shows the Great Barrier Reef blueprint for resilience. The Blueprint shows the 10 key initiatives focused on delivering maximum benefits for Reef resilience.  " style="position:absolute;left:3398;top:3666;width:2555;height:2186" coordorigin="3398,3667" coordsize="2555,2186" path="m5953,3667r-2555,l3400,3748r3,81l3410,3909r8,79l3430,4067r13,78l3459,4222r18,76l3497,4373r23,75l3545,4521r27,73l3601,4665r31,70l3665,4804r35,68l3737,4939r39,65l3817,5068r43,63l3904,5193r47,60l3999,5312r49,57l4100,5425r53,54l4207,5531r56,51l4321,5632r59,47l4440,5725r62,44l4565,5812r65,40l5953,3667xe" fillcolor="#f26756" stroked="f">
              <v:path arrowok="t"/>
            </v:shape>
            <v:shape id="_x0000_s1282" alt="This figure shows the Great Barrier Reef blueprint for resilience. The Blueprint shows the 10 key initiatives focused on delivering maximum benefits for Reef resilience.  " style="position:absolute;left:3398;top:3666;width:2555;height:2186" coordorigin="3398,3667" coordsize="2555,2186" path="m5953,3667r-2555,l3400,3748r3,81l3410,3909r8,79l3430,4067r13,78l3459,4222r18,76l3497,4373r23,75l3545,4521r27,73l3601,4665r31,70l3665,4804r35,68l3737,4939r39,65l3817,5068r43,63l3904,5193r47,60l3999,5312r49,57l4100,5425r53,54l4207,5531r56,51l4321,5632r59,47l4440,5725r62,44l4565,5812r65,40l5953,3667xe" filled="f" strokecolor="white" strokeweight="1.409mm">
              <v:path arrowok="t"/>
            </v:shape>
            <v:shape id="_x0000_s1283" alt="This figure shows the Great Barrier Reef blueprint for resilience. The Blueprint shows the 10 key initiatives focused on delivering maximum benefits for Reef resilience.  " style="position:absolute;left:3398;top:1109;width:2555;height:2559" coordorigin="3398,1109" coordsize="2555,2559" path="m5953,1109r-76,1l5803,1114r-75,5l5655,1126r-73,10l5510,1148r-72,13l5367,1177r-70,17l5227,1214r-68,21l5091,1258r-67,25l4958,1310r-65,29l4829,1369r-63,32l4704,1435r-61,35l4583,1507r-58,39l4467,1586r-57,42l4355,1671r-54,45l4248,1762r-51,48l4147,1858r-49,51l4050,1960r-46,53l3960,2067r-44,56l3875,2179r-40,58l3796,2296r-37,60l3724,2417r-34,62l3658,2542r-30,64l3599,2672r-27,66l3547,2805r-23,67l3503,2941r-20,69l3466,3081r-16,71l3437,3223r-12,73l3416,3369r-8,74l3403,3517r-3,75l3398,3667r2555,l5953,1109xe" fillcolor="#9fb63c" stroked="f">
              <v:path arrowok="t"/>
            </v:shape>
            <v:shape id="_x0000_s1284" alt="This figure shows the Great Barrier Reef blueprint for resilience. The Blueprint shows the 10 key initiatives focused on delivering maximum benefits for Reef resilience.  " style="position:absolute;left:3398;top:1109;width:2555;height:2559" coordorigin="3398,1109" coordsize="2555,2559" path="m5953,1109r-76,1l5803,1114r-75,5l5655,1126r-73,10l5510,1148r-72,13l5367,1177r-70,17l5227,1214r-68,21l5091,1258r-67,25l4958,1310r-65,29l4829,1369r-63,32l4704,1435r-61,35l4583,1507r-58,39l4467,1586r-57,42l4355,1671r-54,45l4248,1762r-51,48l4147,1858r-49,51l4050,1960r-46,53l3960,2067r-44,56l3875,2179r-40,58l3796,2296r-37,60l3724,2417r-34,62l3658,2542r-30,64l3599,2672r-27,66l3547,2805r-23,67l3503,2941r-20,69l3466,3081r-16,71l3437,3223r-12,73l3416,3369r-8,74l3403,3517r-3,75l3398,3667r2555,l5953,1109xe" filled="f" strokecolor="white" strokeweight="4pt">
              <v:path arrowok="t"/>
            </v:shape>
            <v:shape id="_x0000_s1285" alt="This figure shows the Great Barrier Reef blueprint for resilience. The Blueprint shows the 10 key initiatives focused on delivering maximum benefits for Reef resilience.  " style="position:absolute;left:5952;top:1109;width:2555;height:2559" coordorigin="5953,1109" coordsize="2555,2559" path="m5953,1109r,2558l8507,3667r-1,-75l8503,3517r-6,-74l8490,3369r-10,-73l8469,3223r-14,-71l8439,3081r-17,-71l8402,2941r-21,-69l8358,2805r-25,-67l8306,2672r-28,-66l8247,2542r-32,-63l8182,2417r-36,-61l8109,2296r-38,-59l8031,2179r-42,-56l7946,2067r-45,-54l7855,1960r-47,-51l7759,1858r-50,-48l7657,1762r-53,-46l7550,1671r-55,-43l7438,1586r-57,-40l7322,1507r-60,-37l7201,1435r-62,-34l7076,1369r-64,-30l6947,1310r-66,-27l6814,1258r-68,-23l6678,1214r-70,-20l6538,1177r-71,-16l6396,1148r-73,-12l6251,1126r-74,-7l6103,1114r-75,-4l5953,1109xe" fillcolor="#9fb63c" stroked="f">
              <v:path arrowok="t"/>
            </v:shape>
            <v:shape id="_x0000_s1286" alt="This figure shows the Great Barrier Reef blueprint for resilience. The Blueprint shows the 10 key initiatives focused on delivering maximum benefits for Reef resilience.  " style="position:absolute;left:5952;top:1109;width:2555;height:2559" coordorigin="5953,1109" coordsize="2555,2559" path="m5953,1109r,2558l8507,3667r-1,-75l8503,3517r-6,-74l8490,3369r-10,-73l8469,3223r-14,-71l8439,3081r-17,-71l8402,2941r-21,-69l8358,2805r-25,-67l8306,2672r-28,-66l8247,2542r-32,-63l8182,2417r-36,-61l8109,2296r-38,-59l8031,2179r-42,-56l7946,2067r-45,-54l7855,1960r-47,-51l7759,1858r-50,-48l7657,1762r-53,-46l7550,1671r-55,-43l7438,1586r-57,-40l7322,1507r-60,-37l7201,1435r-62,-34l7076,1369r-64,-30l6947,1310r-66,-27l6814,1258r-68,-23l6678,1214r-70,-20l6538,1177r-71,-16l6396,1148r-73,-12l6251,1126r-74,-7l6103,1114r-75,-4l5953,1109xe" filled="f" strokecolor="white" strokeweight="4pt">
              <v:path arrowok="t"/>
            </v:shape>
            <v:shape id="_x0000_s1287" alt="This figure shows the Great Barrier Reef blueprint for resilience. The Blueprint shows the 10 key initiatives focused on delivering maximum benefits for Reef resilience.  " style="position:absolute;left:3943;top:2244;width:2010;height:2846" coordorigin="3944,2245" coordsize="2010,2846" path="m4532,2245r-52,54l4430,2355r-47,57l4338,2470r-43,60l4255,2591r-38,62l4182,2716r-33,64l4119,2844r-28,66l4065,2977r-23,67l4021,3111r-18,69l3987,3248r-13,70l3963,3387r-8,70l3948,3527r-3,70l3944,3667r1,71l3948,3808r7,70l3963,3947r11,70l3987,4086r16,69l4021,4223r21,68l4065,4358r26,66l4119,4490r30,65l4182,4619r35,63l4255,4744r40,61l4338,4864r45,59l4430,4980r50,56l4532,5090,5953,3667,4532,2245xe" fillcolor="#128e94" stroked="f">
              <v:path arrowok="t"/>
            </v:shape>
            <v:shape id="_x0000_s1288" alt="This figure shows the Great Barrier Reef blueprint for resilience. The Blueprint shows the 10 key initiatives focused on delivering maximum benefits for Reef resilience.  " style="position:absolute;left:3943;top:2244;width:2010;height:2846" coordorigin="3944,2245" coordsize="2010,2846" path="m4532,2245r-52,54l4430,2355r-47,57l4338,2470r-43,60l4255,2591r-38,62l4182,2716r-33,64l4119,2844r-28,66l4065,2977r-23,67l4021,3111r-18,69l3987,3248r-13,70l3963,3387r-8,70l3948,3527r-3,70l3944,3667r1,71l3948,3808r7,70l3963,3947r11,70l3987,4086r16,69l4021,4223r21,68l4065,4358r26,66l4119,4490r30,65l4182,4619r35,63l4255,4744r40,61l4338,4864r45,59l4430,4980r50,56l4532,5090,5953,3667,4532,2245xe" filled="f" strokecolor="white" strokeweight="4pt">
              <v:path arrowok="t"/>
            </v:shape>
            <v:shape id="_x0000_s1289" alt="This figure shows the Great Barrier Reef blueprint for resilience. The Blueprint shows the 10 key initiatives focused on delivering maximum benefits for Reef resilience.  " style="position:absolute;left:4532;top:4669;width:3164;height:1010" coordorigin="4532,4669" coordsize="3164,1010" path="m7695,4669r-2743,l4532,5090r54,52l4642,5192r57,48l4757,5285r60,43l4878,5368r62,37l5002,5441r64,33l5131,5504r66,28l5263,5558r67,23l5398,5601r68,19l5534,5636r70,13l5673,5660r70,8l5813,5675r70,3l5953,5679r70,-1l6093,5675r70,-7l6232,5660r70,-11l6371,5636r69,-16l6508,5601r67,-20l6642,5558r67,-26l6774,5504r65,-30l6903,5441r63,-36l7028,5368r60,-40l7148,5285r58,-45l7263,5192r56,-50l7373,5090r54,-56l7478,4977r49,-59l7573,4858r43,-62l7657,4733r38,-64xe" fillcolor="#128e94" stroked="f">
              <v:path arrowok="t"/>
            </v:shape>
            <v:shape id="_x0000_s1290" alt="This figure shows the Great Barrier Reef blueprint for resilience. The Blueprint shows the 10 key initiatives focused on delivering maximum benefits for Reef resilience.  " style="position:absolute;left:4532;top:4669;width:3164;height:1010" coordorigin="4532,4669" coordsize="3164,1010" path="m4532,5090r54,52l4642,5192r57,48l4757,5285r60,43l4878,5368r62,37l5002,5441r64,33l5131,5504r66,28l5263,5558r67,23l5398,5601r68,19l5534,5636r70,13l5673,5660r70,8l5813,5675r70,3l5953,5679r70,-1l6093,5675r70,-7l6232,5660r70,-11l6371,5636r69,-16l6508,5601r67,-20l6642,5558r67,-26l6774,5504r65,-30l6903,5441r63,-36l7028,5368r60,-40l7148,5285r58,-45l7263,5192r56,-50l7373,5090r54,-56l7478,4977r49,-59l7573,4858r43,-62l7657,4733r38,-64l4952,4669r-420,421xe" filled="f" strokecolor="white" strokeweight="4pt">
              <v:path arrowok="t"/>
            </v:shape>
            <v:shape id="_x0000_s1291" alt="This figure shows the Great Barrier Reef blueprint for resilience. The Blueprint shows the 10 key initiatives focused on delivering maximum benefits for Reef resilience.  " style="position:absolute;left:4952;top:3662;width:3010;height:1008" coordorigin="4952,3662" coordsize="3010,1008" path="m7962,3662r-2014,l5953,3667,4952,4669r2743,l7735,4597r36,-73l7804,4449r30,-76l7861,4296r24,-77l7906,4141r17,-79l7937,3983r11,-80l7956,3823r4,-81l7962,3662xe" fillcolor="#128e94" stroked="f">
              <v:path arrowok="t"/>
            </v:shape>
            <v:shape id="_x0000_s1292" alt="This figure shows the Great Barrier Reef blueprint for resilience. The Blueprint shows the 10 key initiatives focused on delivering maximum benefits for Reef resilience.  " style="position:absolute;left:4952;top:3662;width:3010;height:1008" coordorigin="4952,3662" coordsize="3010,1008" path="m5953,3667l4952,4669r2743,l7735,4597r36,-73l7804,4449r30,-76l7861,4296r24,-77l7906,4141r17,-79l7937,3983r11,-80l7956,3823r4,-81l7962,3662r-2014,l5953,3667xe" filled="f" strokecolor="white" strokeweight="4pt">
              <v:path arrowok="t"/>
            </v:shape>
            <v:shape id="_x0000_s1293" alt="This figure shows the Great Barrier Reef blueprint for resilience. The Blueprint shows the 10 key initiatives focused on delivering maximum benefits for Reef resilience.  " style="position:absolute;left:4532;top:1655;width:3158;height:1000" coordorigin="4532,1655" coordsize="3158" path="m5953,1655r-70,1l5813,1660r-70,6l5673,1675r-69,11l5534,1699r-68,16l5398,1733r-68,21l5263,1777r-66,26l5131,1831r-65,30l5002,1894r-62,35l4878,1967r-61,40l4757,2050r-58,45l4642,2142r-56,50l4532,2245r410,410l7689,2655r-38,-62l7611,2531r-42,-60l7523,2413r-47,-58l7426,2299r-53,-54l7319,2192r-56,-50l7206,2095r-58,-45l7088,2007r-60,-40l6966,1929r-63,-35l6839,1861r-65,-30l6709,1803r-67,-26l6575,1754r-67,-21l6440,1715r-69,-16l6302,1686r-70,-11l6163,1666r-70,-6l6023,1656r-70,-1xe" fillcolor="#128e94" stroked="f">
              <v:path arrowok="t"/>
            </v:shape>
            <v:shape id="_x0000_s1294" alt="This figure shows the Great Barrier Reef blueprint for resilience. The Blueprint shows the 10 key initiatives focused on delivering maximum benefits for Reef resilience.  " style="position:absolute;left:4532;top:1655;width:3158;height:1000" coordorigin="4532,1655" coordsize="3158" path="m7373,2245r-54,-53l7263,2142r-57,-47l7148,2050r-60,-43l7028,1967r-62,-38l6903,1894r-64,-33l6774,1831r-65,-28l6642,1777r-67,-23l6508,1733r-68,-18l6371,1699r-69,-13l6232,1675r-69,-9l6093,1660r-70,-4l5953,1655r-70,1l5813,1660r-70,6l5673,1675r-69,11l5534,1699r-68,16l5398,1733r-68,21l5263,1777r-66,26l5131,1831r-65,30l5002,1894r-62,35l4878,1967r-61,40l4757,2050r-58,45l4642,2142r-56,50l4532,2245r410,410l7689,2655r-38,-62l7611,2531r-42,-60l7523,2413r-47,-58l7426,2299r-53,-54xe" filled="f" strokecolor="white" strokeweight="4pt">
              <v:path arrowok="t"/>
            </v:shape>
            <v:shape id="_x0000_s1295" alt="This figure shows the Great Barrier Reef blueprint for resilience. The Blueprint shows the 10 key initiatives focused on delivering maximum benefits for Reef resilience.  " style="position:absolute;left:4941;top:2654;width:3020;height:1008" coordorigin="4942,2655" coordsize="3020,1008" path="m7689,2655r-2747,l5948,3662r2014,l7960,3582r-5,-81l7947,3421r-12,-79l7921,3262r-18,-79l7882,3105r-24,-77l7831,2951r-31,-76l7766,2801r-37,-74l7689,2655xe" fillcolor="#128e94" stroked="f">
              <v:path arrowok="t"/>
            </v:shape>
            <v:shape id="_x0000_s1296" alt="This figure shows the Great Barrier Reef blueprint for resilience. The Blueprint shows the 10 key initiatives focused on delivering maximum benefits for Reef resilience.  " style="position:absolute;left:4941;top:2654;width:3020;height:1008" coordorigin="4942,2655" coordsize="3020,1008" path="m4942,2655l5948,3662r2014,l7960,3582r-5,-81l7947,3421r-12,-79l7921,3262r-18,-79l7882,3105r-24,-77l7831,2951r-31,-76l7766,2801r-37,-74l7689,2655r-2747,xe" filled="f" strokecolor="white" strokeweight="4pt">
              <v:path arrowok="t"/>
            </v:shape>
            <v:shape id="_x0000_s1297" type="#_x0000_t75" alt="This figure shows the Great Barrier Reef blueprint for resilience. The Blueprint shows the 10 key initiatives focused on delivering maximum benefits for Reef resilience.  " style="position:absolute;left:4853;top:5614;width:2228;height:395">
              <v:imagedata r:id="rId38" o:title=""/>
            </v:shape>
            <v:shape id="_x0000_s1298" type="#_x0000_t75" alt="This figure shows the Great Barrier Reef blueprint for resilience. The Blueprint shows the 10 key initiatives focused on delivering maximum benefits for Reef resilience.  " style="position:absolute;left:3644;top:3576;width:1544;height:2003">
              <v:imagedata r:id="rId39" o:title=""/>
            </v:shape>
            <v:shape id="_x0000_s1299" type="#_x0000_t75" alt="This figure shows the Great Barrier Reef blueprint for resilience. The Blueprint shows the 10 key initiatives focused on delivering maximum benefits for Reef resilience.  " style="position:absolute;left:3660;top:1383;width:4543;height:2094">
              <v:imagedata r:id="rId40" o:title=""/>
            </v:shape>
            <v:rect id="_x0000_s1300" alt="This figure shows the Great Barrier Reef blueprint for resilience. The Blueprint shows the 10 key initiatives focused on delivering maximum benefits for Reef resilience.  " style="position:absolute;left:4610;top:3576;width:18;height:22" stroked="f"/>
            <v:shape id="_x0000_s1301" type="#_x0000_t75" alt="This figure shows the Great Barrier Reef blueprint for resilience. The Blueprint shows the 10 key initiatives focused on delivering maximum benefits for Reef resilience.  " style="position:absolute;left:5504;top:3773;width:2781;height:1825">
              <v:imagedata r:id="rId41" o:title=""/>
            </v:shape>
            <w10:wrap type="topAndBottom" anchorx="page"/>
          </v:group>
        </w:pict>
      </w:r>
      <w:r>
        <w:fldChar w:fldCharType="begin"/>
      </w:r>
      <w:r>
        <w:instrText xml:space="preserve"> HYPERLINK "http://elibrary.gbrmpa.gov.au/jspui/handle/11017/3405" \h </w:instrText>
      </w:r>
      <w:r>
        <w:fldChar w:fldCharType="separate"/>
      </w:r>
      <w:r>
        <w:rPr>
          <w:i/>
          <w:color w:val="1B5BAA"/>
          <w:u w:val="single" w:color="1B5BAA"/>
        </w:rPr>
        <w:t>From Blueprint to Action</w:t>
      </w:r>
      <w:r>
        <w:rPr>
          <w:i/>
          <w:color w:val="1B5BAA"/>
        </w:rPr>
        <w:t xml:space="preserve"> </w:t>
      </w:r>
      <w:r>
        <w:rPr>
          <w:i/>
          <w:color w:val="1B5BAA"/>
        </w:rPr>
        <w:fldChar w:fldCharType="end"/>
      </w:r>
      <w:r>
        <w:rPr>
          <w:color w:val="231F20"/>
        </w:rPr>
        <w:t>examines the first year of progress by the Authority towards achieving the Blueprint initiatives, describing the critical work undertaken to</w:t>
      </w:r>
      <w:r>
        <w:rPr>
          <w:color w:val="231F20"/>
        </w:rPr>
        <w:t xml:space="preserve"> help sustain the Reef as a functioning ecosystem while the key threats of climate change and water quality are tackled in the longer term.</w:t>
      </w:r>
    </w:p>
    <w:p w:rsidR="00D1511D" w:rsidRDefault="00D1511D">
      <w:pPr>
        <w:pStyle w:val="BodyText"/>
        <w:rPr>
          <w:sz w:val="24"/>
        </w:rPr>
      </w:pPr>
    </w:p>
    <w:p w:rsidR="00D1511D" w:rsidRDefault="00D1511D">
      <w:pPr>
        <w:pStyle w:val="BodyText"/>
        <w:spacing w:before="5"/>
        <w:rPr>
          <w:sz w:val="26"/>
        </w:rPr>
      </w:pPr>
    </w:p>
    <w:p w:rsidR="00D1511D" w:rsidRDefault="003F0CB3">
      <w:pPr>
        <w:pStyle w:val="Heading3"/>
        <w:ind w:left="1984"/>
      </w:pPr>
      <w:r>
        <w:pict>
          <v:rect id="_x0000_s1275" alt="" style="position:absolute;left:0;text-align:left;margin-left:85.05pt;margin-top:-16.15pt;width:439.35pt;height:371.35pt;z-index:-256994304;mso-wrap-edited:f;mso-width-percent:0;mso-height-percent:0;mso-position-horizontal-relative:page;mso-width-percent:0;mso-height-percent:0" fillcolor="#e6e7e8" stroked="f">
            <w10:wrap anchorx="page"/>
          </v:rect>
        </w:pict>
      </w:r>
      <w:r>
        <w:rPr>
          <w:color w:val="005695"/>
        </w:rPr>
        <w:t>Building Resilience – helping the Reef help itself</w:t>
      </w:r>
    </w:p>
    <w:p w:rsidR="00D1511D" w:rsidRDefault="00D1511D">
      <w:pPr>
        <w:pStyle w:val="BodyText"/>
        <w:spacing w:before="9"/>
        <w:rPr>
          <w:rFonts w:ascii="Myriad Pro"/>
          <w:sz w:val="28"/>
        </w:rPr>
      </w:pPr>
    </w:p>
    <w:p w:rsidR="00D1511D" w:rsidRDefault="003F0CB3">
      <w:pPr>
        <w:pStyle w:val="BodyText"/>
        <w:spacing w:line="280" w:lineRule="auto"/>
        <w:ind w:left="1984" w:right="1659"/>
      </w:pPr>
      <w:r>
        <w:rPr>
          <w:color w:val="231F20"/>
        </w:rPr>
        <w:t>In recent years it has become clear that conventional management methods will no longer be enough to protect coral reefs under any projected climate change scenario. A new set of on-reef management options is needed if we are to give coral reefs the best c</w:t>
      </w:r>
      <w:r>
        <w:rPr>
          <w:color w:val="231F20"/>
        </w:rPr>
        <w:t xml:space="preserve">hance to survive and persist in a warmer future, and to </w:t>
      </w:r>
      <w:r>
        <w:rPr>
          <w:color w:val="231F20"/>
          <w:spacing w:val="-3"/>
        </w:rPr>
        <w:t xml:space="preserve">build </w:t>
      </w:r>
      <w:r>
        <w:rPr>
          <w:color w:val="231F20"/>
        </w:rPr>
        <w:t>resilience while the causes of climate change are being</w:t>
      </w:r>
      <w:r>
        <w:rPr>
          <w:color w:val="231F20"/>
          <w:spacing w:val="-1"/>
        </w:rPr>
        <w:t xml:space="preserve"> </w:t>
      </w:r>
      <w:r>
        <w:rPr>
          <w:color w:val="231F20"/>
        </w:rPr>
        <w:t>addressed.</w:t>
      </w:r>
    </w:p>
    <w:p w:rsidR="00D1511D" w:rsidRDefault="003F0CB3">
      <w:pPr>
        <w:pStyle w:val="BodyText"/>
        <w:spacing w:before="167" w:line="280" w:lineRule="auto"/>
        <w:ind w:left="1984" w:right="1789"/>
      </w:pPr>
      <w:r>
        <w:rPr>
          <w:color w:val="231F20"/>
        </w:rPr>
        <w:t>Since the mass coral bleaching events of 2016 and 2017, the Australian Government has put the nation’s best minds to work on building the Reef’s resilience to future pressures, not only through existing actions such as improving water quality and controlli</w:t>
      </w:r>
      <w:r>
        <w:rPr>
          <w:color w:val="231F20"/>
        </w:rPr>
        <w:t>ng crown-of-thorns starfish outbreaks, but also by actively investigating options for helping the Reef to recover and adapt to changing pressures.</w:t>
      </w:r>
    </w:p>
    <w:p w:rsidR="00D1511D" w:rsidRDefault="003F0CB3">
      <w:pPr>
        <w:pStyle w:val="BodyText"/>
        <w:spacing w:before="167" w:line="280" w:lineRule="auto"/>
        <w:ind w:left="1984" w:right="1802"/>
      </w:pPr>
      <w:r>
        <w:rPr>
          <w:color w:val="231F20"/>
        </w:rPr>
        <w:t xml:space="preserve">With initial funding of $6 million, the </w:t>
      </w:r>
      <w:hyperlink r:id="rId42">
        <w:r>
          <w:rPr>
            <w:color w:val="1B5BAA"/>
            <w:u w:val="single" w:color="1B5BAA"/>
          </w:rPr>
          <w:t>Reef Re</w:t>
        </w:r>
        <w:r>
          <w:rPr>
            <w:color w:val="1B5BAA"/>
            <w:u w:val="single" w:color="1B5BAA"/>
          </w:rPr>
          <w:t>storation and Adaptation Program</w:t>
        </w:r>
        <w:r>
          <w:rPr>
            <w:color w:val="1B5BAA"/>
          </w:rPr>
          <w:t xml:space="preserve"> </w:t>
        </w:r>
      </w:hyperlink>
      <w:r>
        <w:rPr>
          <w:color w:val="231F20"/>
        </w:rPr>
        <w:t xml:space="preserve">has embarked on finding new, creative and targeted measures for large-scale protection of the Reef’s ecology, social and economic values. The program has three phases – scoping and feasibility, research and development and </w:t>
      </w:r>
      <w:r>
        <w:rPr>
          <w:color w:val="231F20"/>
        </w:rPr>
        <w:t>implementation (production and deployment).</w:t>
      </w:r>
    </w:p>
    <w:p w:rsidR="00D1511D" w:rsidRDefault="003F0CB3">
      <w:pPr>
        <w:pStyle w:val="BodyText"/>
        <w:spacing w:before="167" w:line="280" w:lineRule="auto"/>
        <w:ind w:left="1984" w:right="1585"/>
      </w:pPr>
      <w:r>
        <w:rPr>
          <w:color w:val="231F20"/>
        </w:rPr>
        <w:t xml:space="preserve">The scoping phase drew on world leading expertise from the Australian Institute of Marine Science, the Commonwealth Scientific and Industrial Research </w:t>
      </w:r>
      <w:proofErr w:type="spellStart"/>
      <w:r>
        <w:rPr>
          <w:color w:val="231F20"/>
        </w:rPr>
        <w:t>Organisation</w:t>
      </w:r>
      <w:proofErr w:type="spellEnd"/>
      <w:r>
        <w:rPr>
          <w:color w:val="231F20"/>
        </w:rPr>
        <w:t xml:space="preserve"> (CSIRO), James Cook </w:t>
      </w:r>
      <w:r>
        <w:rPr>
          <w:color w:val="231F20"/>
          <w:spacing w:val="-3"/>
        </w:rPr>
        <w:t xml:space="preserve">University, </w:t>
      </w:r>
      <w:r>
        <w:rPr>
          <w:color w:val="231F20"/>
        </w:rPr>
        <w:t>the University o</w:t>
      </w:r>
      <w:r>
        <w:rPr>
          <w:color w:val="231F20"/>
        </w:rPr>
        <w:t xml:space="preserve">f Queensland, Queensland University of </w:t>
      </w:r>
      <w:r>
        <w:rPr>
          <w:color w:val="231F20"/>
          <w:spacing w:val="-4"/>
        </w:rPr>
        <w:t xml:space="preserve">Technology, </w:t>
      </w:r>
      <w:r>
        <w:rPr>
          <w:color w:val="231F20"/>
        </w:rPr>
        <w:t xml:space="preserve">the Marine </w:t>
      </w:r>
      <w:r>
        <w:rPr>
          <w:color w:val="231F20"/>
          <w:spacing w:val="-3"/>
        </w:rPr>
        <w:t xml:space="preserve">Park Authority, </w:t>
      </w:r>
      <w:r>
        <w:rPr>
          <w:color w:val="231F20"/>
        </w:rPr>
        <w:t>and the Great Barrier Reef Foundation, as well as many other leading research universities and institutes.</w:t>
      </w:r>
    </w:p>
    <w:p w:rsidR="00D1511D" w:rsidRDefault="003F0CB3">
      <w:pPr>
        <w:pStyle w:val="BodyText"/>
        <w:spacing w:before="167" w:line="280" w:lineRule="auto"/>
        <w:ind w:left="1984" w:right="1659"/>
      </w:pPr>
      <w:r>
        <w:rPr>
          <w:color w:val="231F20"/>
        </w:rPr>
        <w:t>During this 18-month scoping and feasibility process, which concluded i</w:t>
      </w:r>
      <w:r>
        <w:rPr>
          <w:color w:val="231F20"/>
        </w:rPr>
        <w:t>n mid-2019, experts conducted a preliminary evaluation of the widest possible range of new intervention techniques that could, alone and in combination, complement existing management approaches to help protect the Reef’s ecological functions</w:t>
      </w:r>
    </w:p>
    <w:p w:rsidR="00D1511D" w:rsidRDefault="00D1511D">
      <w:pPr>
        <w:pStyle w:val="BodyText"/>
      </w:pPr>
    </w:p>
    <w:p w:rsidR="00D1511D" w:rsidRDefault="00D1511D">
      <w:pPr>
        <w:pStyle w:val="BodyText"/>
      </w:pPr>
    </w:p>
    <w:p w:rsidR="00D1511D" w:rsidRDefault="00D1511D">
      <w:pPr>
        <w:pStyle w:val="BodyText"/>
        <w:spacing w:before="9"/>
        <w:rPr>
          <w:sz w:val="24"/>
        </w:rPr>
      </w:pPr>
    </w:p>
    <w:p w:rsidR="00D1511D" w:rsidRDefault="003F0CB3">
      <w:pPr>
        <w:spacing w:before="100"/>
        <w:ind w:right="1415"/>
        <w:jc w:val="right"/>
        <w:rPr>
          <w:rFonts w:ascii="Myriad Pro"/>
          <w:sz w:val="16"/>
        </w:rPr>
      </w:pPr>
      <w:r>
        <w:rPr>
          <w:rFonts w:ascii="Myriad Pro"/>
          <w:color w:val="231F20"/>
          <w:sz w:val="16"/>
        </w:rPr>
        <w:t>19</w:t>
      </w:r>
    </w:p>
    <w:p w:rsidR="00D1511D" w:rsidRDefault="00D1511D">
      <w:pPr>
        <w:jc w:val="right"/>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8"/>
        <w:rPr>
          <w:rFonts w:ascii="Myriad Pro"/>
          <w:sz w:val="21"/>
        </w:rPr>
      </w:pPr>
    </w:p>
    <w:p w:rsidR="00D1511D" w:rsidRDefault="003F0CB3">
      <w:pPr>
        <w:pStyle w:val="BodyText"/>
        <w:spacing w:before="99" w:line="280" w:lineRule="auto"/>
        <w:ind w:left="1970" w:right="1563"/>
      </w:pPr>
      <w:r>
        <w:pict>
          <v:group id="_x0000_s1271" alt="This photo shows a clown fish nested within an anemone. This photo was taken on the Great Barrier Reef and is copyrighted by the Department of the Environment.  &#10;&#10;The figure shows the three phases of the Reef Restoration and Adaptation Program, which are scoping and feasibility, research and development and implementation (production and deployment). &#10;&#10;" style="position:absolute;left:0;text-align:left;margin-left:84.7pt;margin-top:-233.7pt;width:439.7pt;height:671.85pt;z-index:-256993280;mso-position-horizontal-relative:page" coordorigin="1694,-4674" coordsize="8794,13437">
            <v:rect id="_x0000_s1272" alt="This photo shows a clown fish nested within an anemone. This photo was taken on the Great Barrier Reef and is copyrighted by the Department of the Environment.  &#10;&#10;The figure shows the three phases of the Reef Restoration and Adaptation Program, which are scoping and feasibility, research and development and implementation (production and deployment). &#10;&#10;" style="position:absolute;left:1694;top:-4674;width:8794;height:13437" fillcolor="#e6e7e8" stroked="f"/>
            <v:shape id="_x0000_s1273" type="#_x0000_t75" alt="This photo shows a clown fish nested within an anemone. This photo was taken on the Great Barrier Reef and is copyrighted by the Department of the Environment.  &#10;&#10;The figure shows the three phases of the Reef Restoration and Adaptation Program, which are scoping and feasibility, research and development and implementation (production and deployment). &#10;&#10;" style="position:absolute;left:1756;top:5493;width:8676;height:3004">
              <v:imagedata r:id="rId43" o:title=""/>
            </v:shape>
            <v:shape id="_x0000_s1274" type="#_x0000_t75" alt="This photo shows a clown fish nested within an anemone. This photo was taken on the Great Barrier Reef and is copyrighted by the Department of the Environment.  &#10;&#10;The figure shows the three phases of the Reef Restoration and Adaptation Program, which are scoping and feasibility, research and development and implementation (production and deployment). &#10;&#10;" style="position:absolute;left:1966;top:-4362;width:8249;height:4196">
              <v:imagedata r:id="rId44" o:title=""/>
            </v:shape>
            <w10:wrap anchorx="page"/>
          </v:group>
        </w:pict>
      </w:r>
      <w:r>
        <w:rPr>
          <w:color w:val="231F20"/>
        </w:rPr>
        <w:t xml:space="preserve">and economic and social values. The program aims to provide decision-makers with </w:t>
      </w:r>
      <w:proofErr w:type="gramStart"/>
      <w:r>
        <w:rPr>
          <w:color w:val="231F20"/>
        </w:rPr>
        <w:t>scientifically-proven</w:t>
      </w:r>
      <w:proofErr w:type="gramEnd"/>
      <w:r>
        <w:rPr>
          <w:color w:val="231F20"/>
        </w:rPr>
        <w:t xml:space="preserve">, ecologically-effective, socially-acceptable, technically-feasible and economically-viable options to successfully intervene at scale on the Reef. It is </w:t>
      </w:r>
      <w:r>
        <w:rPr>
          <w:color w:val="231F20"/>
        </w:rPr>
        <w:t>strengthening our understanding of how coral reefs are likely to be affected by global temperature increases and the interventions required to ensure they can continue</w:t>
      </w:r>
    </w:p>
    <w:p w:rsidR="00D1511D" w:rsidRDefault="003F0CB3">
      <w:pPr>
        <w:pStyle w:val="BodyText"/>
        <w:spacing w:line="237" w:lineRule="exact"/>
        <w:ind w:left="1970"/>
      </w:pPr>
      <w:r>
        <w:rPr>
          <w:color w:val="231F20"/>
        </w:rPr>
        <w:t>to function.</w:t>
      </w:r>
    </w:p>
    <w:p w:rsidR="00D1511D" w:rsidRDefault="003F0CB3">
      <w:pPr>
        <w:pStyle w:val="BodyText"/>
        <w:spacing w:before="210" w:line="280" w:lineRule="auto"/>
        <w:ind w:left="1970" w:right="1601"/>
      </w:pPr>
      <w:r>
        <w:rPr>
          <w:color w:val="231F20"/>
        </w:rPr>
        <w:t>The program is considering how the Reef could repair and recover after dist</w:t>
      </w:r>
      <w:r>
        <w:rPr>
          <w:color w:val="231F20"/>
        </w:rPr>
        <w:t xml:space="preserve">urbances like coral bleaching and cyclones through modifying reef surfaces to promote </w:t>
      </w:r>
      <w:proofErr w:type="gramStart"/>
      <w:r>
        <w:rPr>
          <w:color w:val="231F20"/>
        </w:rPr>
        <w:t>growth, or</w:t>
      </w:r>
      <w:proofErr w:type="gramEnd"/>
      <w:r>
        <w:rPr>
          <w:color w:val="231F20"/>
        </w:rPr>
        <w:t xml:space="preserve"> producing and distributing coral larvae on a large scale. Experts are examining prevention measures such as reducing corals’ exposure to extreme temperatures b</w:t>
      </w:r>
      <w:r>
        <w:rPr>
          <w:color w:val="231F20"/>
        </w:rPr>
        <w:t xml:space="preserve">y increasing shade or cooling </w:t>
      </w:r>
      <w:proofErr w:type="gramStart"/>
      <w:r>
        <w:rPr>
          <w:color w:val="231F20"/>
        </w:rPr>
        <w:t>water, or</w:t>
      </w:r>
      <w:proofErr w:type="gramEnd"/>
      <w:r>
        <w:rPr>
          <w:color w:val="231F20"/>
        </w:rPr>
        <w:t xml:space="preserve"> building up coral populations through selective breeding.</w:t>
      </w:r>
    </w:p>
    <w:p w:rsidR="00D1511D" w:rsidRDefault="003F0CB3">
      <w:pPr>
        <w:pStyle w:val="BodyText"/>
        <w:spacing w:before="166" w:line="280" w:lineRule="auto"/>
        <w:ind w:left="1970" w:right="1740"/>
        <w:jc w:val="both"/>
      </w:pPr>
      <w:r>
        <w:rPr>
          <w:color w:val="231F20"/>
        </w:rPr>
        <w:t>The scoping phase modelled the potential benefits, costs and risks of ecological and physical</w:t>
      </w:r>
      <w:r>
        <w:rPr>
          <w:color w:val="231F20"/>
          <w:spacing w:val="-26"/>
        </w:rPr>
        <w:t xml:space="preserve"> </w:t>
      </w:r>
      <w:r>
        <w:rPr>
          <w:color w:val="231F20"/>
        </w:rPr>
        <w:t xml:space="preserve">interventions, looking at all the relevant factors and drivers, from regulatory and institutional factors to social factors </w:t>
      </w:r>
      <w:r>
        <w:rPr>
          <w:color w:val="231F20"/>
          <w:spacing w:val="-5"/>
        </w:rPr>
        <w:t xml:space="preserve">and </w:t>
      </w:r>
      <w:r>
        <w:rPr>
          <w:color w:val="231F20"/>
        </w:rPr>
        <w:t>planning for long-term research an</w:t>
      </w:r>
      <w:r>
        <w:rPr>
          <w:color w:val="231F20"/>
        </w:rPr>
        <w:t>d</w:t>
      </w:r>
      <w:r>
        <w:rPr>
          <w:color w:val="231F20"/>
          <w:spacing w:val="-1"/>
        </w:rPr>
        <w:t xml:space="preserve"> </w:t>
      </w:r>
      <w:r>
        <w:rPr>
          <w:color w:val="231F20"/>
        </w:rPr>
        <w:t>development.</w:t>
      </w:r>
    </w:p>
    <w:p w:rsidR="00D1511D" w:rsidRDefault="003F0CB3">
      <w:pPr>
        <w:pStyle w:val="BodyText"/>
        <w:spacing w:before="168" w:line="280" w:lineRule="auto"/>
        <w:ind w:left="1970" w:right="1585"/>
      </w:pPr>
      <w:r>
        <w:rPr>
          <w:color w:val="231F20"/>
        </w:rPr>
        <w:t>Results of the scoping phase are now informing how best to fund smart, cost effective and scalable reef solutions through the $100 million available for reef resilience and adaptation science under the Reef Trust Partnership with the Great B</w:t>
      </w:r>
      <w:r>
        <w:rPr>
          <w:color w:val="231F20"/>
        </w:rPr>
        <w:t>arrier Reef Foundation.</w:t>
      </w:r>
    </w:p>
    <w:p w:rsidR="00D1511D" w:rsidRDefault="00D1511D">
      <w:pPr>
        <w:pStyle w:val="BodyText"/>
      </w:pPr>
    </w:p>
    <w:p w:rsidR="00D1511D" w:rsidRDefault="00D1511D">
      <w:pPr>
        <w:pStyle w:val="BodyText"/>
      </w:pPr>
    </w:p>
    <w:p w:rsidR="00D1511D" w:rsidRDefault="00D1511D">
      <w:pPr>
        <w:pStyle w:val="BodyText"/>
      </w:pPr>
    </w:p>
    <w:p w:rsidR="00D1511D" w:rsidRDefault="00D1511D">
      <w:pPr>
        <w:pStyle w:val="BodyText"/>
      </w:pPr>
    </w:p>
    <w:p w:rsidR="00D1511D" w:rsidRDefault="00D1511D">
      <w:pPr>
        <w:pStyle w:val="BodyText"/>
      </w:pPr>
    </w:p>
    <w:p w:rsidR="00D1511D" w:rsidRDefault="00D1511D">
      <w:pPr>
        <w:pStyle w:val="BodyText"/>
      </w:pPr>
    </w:p>
    <w:p w:rsidR="00D1511D" w:rsidRDefault="00D1511D">
      <w:pPr>
        <w:pStyle w:val="BodyText"/>
      </w:pPr>
    </w:p>
    <w:p w:rsidR="00D1511D" w:rsidRDefault="00D1511D">
      <w:pPr>
        <w:pStyle w:val="BodyText"/>
      </w:pPr>
    </w:p>
    <w:p w:rsidR="00D1511D" w:rsidRDefault="00D1511D">
      <w:pPr>
        <w:pStyle w:val="BodyText"/>
      </w:pPr>
    </w:p>
    <w:p w:rsidR="00D1511D" w:rsidRDefault="00D1511D">
      <w:pPr>
        <w:pStyle w:val="BodyText"/>
      </w:pPr>
    </w:p>
    <w:p w:rsidR="00D1511D" w:rsidRDefault="00D1511D">
      <w:pPr>
        <w:pStyle w:val="BodyText"/>
      </w:pPr>
    </w:p>
    <w:p w:rsidR="00D1511D" w:rsidRDefault="00D1511D">
      <w:pPr>
        <w:pStyle w:val="BodyText"/>
      </w:pPr>
    </w:p>
    <w:p w:rsidR="00D1511D" w:rsidRDefault="00D1511D">
      <w:pPr>
        <w:pStyle w:val="BodyText"/>
      </w:pPr>
    </w:p>
    <w:p w:rsidR="00D1511D" w:rsidRDefault="00D1511D">
      <w:pPr>
        <w:pStyle w:val="BodyText"/>
      </w:pPr>
    </w:p>
    <w:p w:rsidR="00D1511D" w:rsidRDefault="00D1511D">
      <w:pPr>
        <w:pStyle w:val="BodyText"/>
      </w:pPr>
    </w:p>
    <w:p w:rsidR="00D1511D" w:rsidRDefault="00D1511D">
      <w:pPr>
        <w:pStyle w:val="BodyText"/>
      </w:pPr>
    </w:p>
    <w:p w:rsidR="00D1511D" w:rsidRDefault="00D1511D">
      <w:pPr>
        <w:pStyle w:val="BodyText"/>
      </w:pPr>
    </w:p>
    <w:p w:rsidR="00D1511D" w:rsidRDefault="00D1511D">
      <w:pPr>
        <w:pStyle w:val="BodyText"/>
      </w:pPr>
    </w:p>
    <w:p w:rsidR="00D1511D" w:rsidRDefault="00D1511D">
      <w:pPr>
        <w:pStyle w:val="BodyText"/>
        <w:spacing w:before="5"/>
        <w:rPr>
          <w:sz w:val="19"/>
        </w:rPr>
      </w:pPr>
    </w:p>
    <w:p w:rsidR="00D1511D" w:rsidRDefault="003F0CB3">
      <w:pPr>
        <w:ind w:left="1417"/>
        <w:rPr>
          <w:rFonts w:ascii="Myriad Pro"/>
          <w:sz w:val="16"/>
        </w:rPr>
      </w:pPr>
      <w:r>
        <w:rPr>
          <w:rFonts w:ascii="Myriad Pro"/>
          <w:color w:val="231F20"/>
          <w:sz w:val="16"/>
        </w:rPr>
        <w:t xml:space="preserve">20 / </w:t>
      </w:r>
      <w:r>
        <w:rPr>
          <w:rFonts w:ascii="Myriad Pro"/>
          <w:color w:val="005695"/>
          <w:sz w:val="16"/>
        </w:rPr>
        <w:t xml:space="preserve">State Party Report on the state of conservation of the </w:t>
      </w:r>
      <w:r>
        <w:rPr>
          <w:rFonts w:ascii="Myriad Pro"/>
          <w:b/>
          <w:color w:val="005695"/>
          <w:sz w:val="16"/>
        </w:rPr>
        <w:t xml:space="preserve">Great Barrier Reef World Heritage Area (Australia) </w:t>
      </w:r>
      <w:r>
        <w:rPr>
          <w:rFonts w:ascii="Myriad Pro"/>
          <w:color w:val="005695"/>
          <w:sz w:val="16"/>
        </w:rPr>
        <w:t>2019</w:t>
      </w:r>
    </w:p>
    <w:p w:rsidR="00D1511D" w:rsidRDefault="00D1511D">
      <w:pPr>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1"/>
        <w:rPr>
          <w:rFonts w:ascii="Myriad Pro"/>
          <w:sz w:val="19"/>
        </w:rPr>
      </w:pPr>
    </w:p>
    <w:p w:rsidR="00D1511D" w:rsidRDefault="003F0CB3">
      <w:pPr>
        <w:pStyle w:val="Heading3"/>
        <w:numPr>
          <w:ilvl w:val="2"/>
          <w:numId w:val="15"/>
        </w:numPr>
        <w:tabs>
          <w:tab w:val="left" w:pos="2421"/>
        </w:tabs>
        <w:spacing w:before="101"/>
      </w:pPr>
      <w:r>
        <w:rPr>
          <w:color w:val="005695"/>
        </w:rPr>
        <w:t xml:space="preserve">Reef </w:t>
      </w:r>
      <w:r>
        <w:rPr>
          <w:color w:val="005695"/>
          <w:spacing w:val="-5"/>
        </w:rPr>
        <w:t xml:space="preserve">2050 </w:t>
      </w:r>
      <w:r>
        <w:rPr>
          <w:color w:val="005695"/>
          <w:spacing w:val="-4"/>
        </w:rPr>
        <w:t>Plan</w:t>
      </w:r>
      <w:r>
        <w:rPr>
          <w:color w:val="005695"/>
          <w:spacing w:val="5"/>
        </w:rPr>
        <w:t xml:space="preserve"> </w:t>
      </w:r>
      <w:r>
        <w:rPr>
          <w:color w:val="005695"/>
          <w:spacing w:val="-3"/>
        </w:rPr>
        <w:t>reviews</w:t>
      </w:r>
    </w:p>
    <w:p w:rsidR="00D1511D" w:rsidRDefault="003F0CB3">
      <w:pPr>
        <w:pStyle w:val="Heading4"/>
        <w:spacing w:before="306"/>
      </w:pPr>
      <w:r>
        <w:rPr>
          <w:color w:val="58595B"/>
        </w:rPr>
        <w:t>Bringing forward the Reef 2050 Plan mid-term review</w:t>
      </w:r>
    </w:p>
    <w:p w:rsidR="00D1511D" w:rsidRDefault="003F0CB3">
      <w:pPr>
        <w:pStyle w:val="BodyText"/>
        <w:spacing w:before="205" w:line="280" w:lineRule="auto"/>
        <w:ind w:left="1700" w:right="1637"/>
      </w:pPr>
      <w:r>
        <w:rPr>
          <w:color w:val="231F20"/>
        </w:rPr>
        <w:t>The Reef 2050 Plan was scheduled for a mid-term review in 2018. In light of the mass coral bleaching events in 2016 and 2017, the Great Barrier Reef Ministerial Forum, consisting of relevant Australian an</w:t>
      </w:r>
      <w:r>
        <w:rPr>
          <w:color w:val="231F20"/>
        </w:rPr>
        <w:t>d Queensland</w:t>
      </w:r>
    </w:p>
    <w:p w:rsidR="00D1511D" w:rsidRDefault="003F0CB3">
      <w:pPr>
        <w:pStyle w:val="BodyText"/>
        <w:spacing w:line="280" w:lineRule="auto"/>
        <w:ind w:left="1700" w:right="1422"/>
      </w:pPr>
      <w:proofErr w:type="gramStart"/>
      <w:r>
        <w:rPr>
          <w:color w:val="231F20"/>
        </w:rPr>
        <w:t>government ministers,</w:t>
      </w:r>
      <w:proofErr w:type="gramEnd"/>
      <w:r>
        <w:rPr>
          <w:color w:val="231F20"/>
        </w:rPr>
        <w:t xml:space="preserve"> brought forward the mid-term review in 2017. This was to ensure that the Plan effectively considered and addressed current pressures impacting the health and resilience of the Reef to identify any further action that need</w:t>
      </w:r>
      <w:r>
        <w:rPr>
          <w:color w:val="231F20"/>
        </w:rPr>
        <w:t xml:space="preserve">ed to be taken. The updated </w:t>
      </w:r>
      <w:hyperlink r:id="rId45">
        <w:r>
          <w:rPr>
            <w:color w:val="1B5BAA"/>
            <w:u w:val="single" w:color="1B5BAA"/>
          </w:rPr>
          <w:t>Reef 2050 Plan</w:t>
        </w:r>
        <w:r>
          <w:rPr>
            <w:color w:val="1B5BAA"/>
          </w:rPr>
          <w:t xml:space="preserve"> </w:t>
        </w:r>
      </w:hyperlink>
      <w:r>
        <w:rPr>
          <w:color w:val="231F20"/>
        </w:rPr>
        <w:t xml:space="preserve">was published in July 2018. The revised 2018 Plan clearly </w:t>
      </w:r>
      <w:proofErr w:type="spellStart"/>
      <w:r>
        <w:rPr>
          <w:color w:val="231F20"/>
        </w:rPr>
        <w:t>recognised</w:t>
      </w:r>
      <w:proofErr w:type="spellEnd"/>
      <w:r>
        <w:rPr>
          <w:color w:val="231F20"/>
        </w:rPr>
        <w:t xml:space="preserve"> climate change impacts on </w:t>
      </w:r>
      <w:r>
        <w:rPr>
          <w:color w:val="231F20"/>
        </w:rPr>
        <w:t>the Reef and the importance of coordinated global action to reduce carbon emissions.</w:t>
      </w:r>
    </w:p>
    <w:p w:rsidR="00D1511D" w:rsidRDefault="003F0CB3">
      <w:pPr>
        <w:pStyle w:val="BodyText"/>
        <w:spacing w:before="164" w:line="280" w:lineRule="auto"/>
        <w:ind w:left="1700" w:right="1673"/>
      </w:pPr>
      <w:r>
        <w:rPr>
          <w:color w:val="231F20"/>
        </w:rPr>
        <w:t xml:space="preserve">As part of the 2018 review process, all the actions from the original Plan were reviewed and either confirmed as </w:t>
      </w:r>
      <w:proofErr w:type="spellStart"/>
      <w:r>
        <w:rPr>
          <w:color w:val="231F20"/>
        </w:rPr>
        <w:t>finalised</w:t>
      </w:r>
      <w:proofErr w:type="spellEnd"/>
      <w:r>
        <w:rPr>
          <w:color w:val="231F20"/>
        </w:rPr>
        <w:t>, updated, re-</w:t>
      </w:r>
      <w:proofErr w:type="spellStart"/>
      <w:r>
        <w:rPr>
          <w:color w:val="231F20"/>
        </w:rPr>
        <w:t>categorised</w:t>
      </w:r>
      <w:proofErr w:type="spellEnd"/>
      <w:r>
        <w:rPr>
          <w:color w:val="231F20"/>
        </w:rPr>
        <w:t xml:space="preserve"> or incorporated into ne</w:t>
      </w:r>
      <w:r>
        <w:rPr>
          <w:color w:val="231F20"/>
        </w:rPr>
        <w:t>w actions. These actions underpin the targets in</w:t>
      </w:r>
      <w:r>
        <w:rPr>
          <w:color w:val="231F20"/>
          <w:spacing w:val="-27"/>
        </w:rPr>
        <w:t xml:space="preserve"> </w:t>
      </w:r>
      <w:r>
        <w:rPr>
          <w:color w:val="231F20"/>
          <w:spacing w:val="-6"/>
        </w:rPr>
        <w:t xml:space="preserve">the </w:t>
      </w:r>
      <w:r>
        <w:rPr>
          <w:color w:val="231F20"/>
        </w:rPr>
        <w:t>revised Reef 2050 Plan. A comprehensive list of how all the actions in the original Plan have been treated is available on the Department of the Environment and Energy website</w:t>
      </w:r>
      <w:r>
        <w:rPr>
          <w:color w:val="231F20"/>
          <w:spacing w:val="-2"/>
        </w:rPr>
        <w:t xml:space="preserve"> </w:t>
      </w:r>
      <w:r>
        <w:rPr>
          <w:color w:val="231F20"/>
        </w:rPr>
        <w:t>at:</w:t>
      </w:r>
    </w:p>
    <w:p w:rsidR="00D1511D" w:rsidRDefault="003F0CB3">
      <w:pPr>
        <w:pStyle w:val="BodyText"/>
        <w:spacing w:before="167" w:line="280" w:lineRule="auto"/>
        <w:ind w:left="1700" w:right="1400"/>
      </w:pPr>
      <w:hyperlink r:id="rId46">
        <w:r>
          <w:rPr>
            <w:color w:val="1B5BAA"/>
            <w:u w:val="single" w:color="1B5BAA"/>
          </w:rPr>
          <w:t>http://www.environment.gov.au/system/files/resources/35e55187-b76e-4aaf-a2fa-376a65c89810/files/reef</w:t>
        </w:r>
        <w:r>
          <w:rPr>
            <w:color w:val="1B5BAA"/>
            <w:u w:val="single" w:color="1B5BAA"/>
          </w:rPr>
          <w:t>-2050-l</w:t>
        </w:r>
      </w:hyperlink>
      <w:r>
        <w:rPr>
          <w:color w:val="1B5BAA"/>
        </w:rPr>
        <w:t xml:space="preserve"> </w:t>
      </w:r>
      <w:hyperlink r:id="rId47">
        <w:r>
          <w:rPr>
            <w:color w:val="1B5BAA"/>
            <w:u w:val="single" w:color="1B5BAA"/>
          </w:rPr>
          <w:t>ong-term-sustainability-plan-action-tracker-2018.pdf</w:t>
        </w:r>
      </w:hyperlink>
    </w:p>
    <w:p w:rsidR="00D1511D" w:rsidRDefault="003F0CB3">
      <w:pPr>
        <w:pStyle w:val="BodyText"/>
        <w:spacing w:before="169" w:line="280" w:lineRule="auto"/>
        <w:ind w:left="1700" w:right="1359"/>
      </w:pPr>
      <w:r>
        <w:rPr>
          <w:color w:val="231F20"/>
        </w:rPr>
        <w:t>The Reef 2050 Pl</w:t>
      </w:r>
      <w:r>
        <w:rPr>
          <w:color w:val="231F20"/>
        </w:rPr>
        <w:t>an includes new actions for immediate attention. For example, the revised Reef 2050 Plan includes an action to “undertake further research to gain a deeper understanding of climate change trajectories for the Reef and communities that depend on it”. The ou</w:t>
      </w:r>
      <w:r>
        <w:rPr>
          <w:color w:val="231F20"/>
        </w:rPr>
        <w:t>tcomes from this work are currently being used to help to identify the effect that regional and local management efforts have under different climate scenarios, which will help inform Reef management planning.</w:t>
      </w:r>
    </w:p>
    <w:p w:rsidR="00D1511D" w:rsidRDefault="00D1511D">
      <w:pPr>
        <w:pStyle w:val="BodyText"/>
        <w:rPr>
          <w:sz w:val="23"/>
        </w:rPr>
      </w:pPr>
    </w:p>
    <w:p w:rsidR="00D1511D" w:rsidRDefault="003F0CB3">
      <w:pPr>
        <w:pStyle w:val="Heading4"/>
      </w:pPr>
      <w:r>
        <w:rPr>
          <w:color w:val="58595B"/>
        </w:rPr>
        <w:t>Full review of the Reef 2050 Plan in 2020</w:t>
      </w:r>
    </w:p>
    <w:p w:rsidR="00D1511D" w:rsidRDefault="003F0CB3">
      <w:pPr>
        <w:pStyle w:val="BodyText"/>
        <w:spacing w:before="205" w:line="280" w:lineRule="auto"/>
        <w:ind w:left="1700" w:right="1473"/>
      </w:pPr>
      <w:r>
        <w:rPr>
          <w:color w:val="231F20"/>
        </w:rPr>
        <w:t>The</w:t>
      </w:r>
      <w:r>
        <w:rPr>
          <w:color w:val="231F20"/>
        </w:rPr>
        <w:t xml:space="preserve"> Reef 2050 Plan identifies that there will be a full review of the plan every five years to ensure it remains current, consistent with scientific advice, and relevant in addressing pressures on the Reef. The next comprehensive review is due for completion </w:t>
      </w:r>
      <w:r>
        <w:rPr>
          <w:color w:val="231F20"/>
        </w:rPr>
        <w:t xml:space="preserve">in 2020. It is being informed by the outcomes of the mid-term review and the 2019 Outlook </w:t>
      </w:r>
      <w:proofErr w:type="gramStart"/>
      <w:r>
        <w:rPr>
          <w:color w:val="231F20"/>
        </w:rPr>
        <w:t>Report, and</w:t>
      </w:r>
      <w:proofErr w:type="gramEnd"/>
      <w:r>
        <w:rPr>
          <w:color w:val="231F20"/>
        </w:rPr>
        <w:t xml:space="preserve"> is engaging the advisory committees established under the plan. It will take into account new information about the condition of the Reef, the results of </w:t>
      </w:r>
      <w:r>
        <w:rPr>
          <w:color w:val="231F20"/>
        </w:rPr>
        <w:t>implemented actions and the effectiveness of management interventions.</w:t>
      </w:r>
    </w:p>
    <w:p w:rsidR="00D1511D" w:rsidRDefault="003F0CB3">
      <w:pPr>
        <w:pStyle w:val="BodyText"/>
        <w:spacing w:before="165" w:line="280" w:lineRule="auto"/>
        <w:ind w:left="1700" w:right="1802"/>
      </w:pPr>
      <w:r>
        <w:rPr>
          <w:color w:val="231F20"/>
        </w:rPr>
        <w:t>The outcome of the 2020 review will be a revised Reef 2050 Plan that reflects the current state and future management needs of the Reef. This best-practice adaptive management approach to planning will again be informed by the best available science and kn</w:t>
      </w:r>
      <w:r>
        <w:rPr>
          <w:color w:val="231F20"/>
        </w:rPr>
        <w:t>owledge.</w:t>
      </w: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3F0CB3">
      <w:pPr>
        <w:spacing w:before="192"/>
        <w:ind w:right="1415"/>
        <w:jc w:val="right"/>
        <w:rPr>
          <w:rFonts w:ascii="Myriad Pro"/>
          <w:sz w:val="16"/>
        </w:rPr>
      </w:pPr>
      <w:r>
        <w:rPr>
          <w:rFonts w:ascii="Myriad Pro"/>
          <w:color w:val="231F20"/>
          <w:sz w:val="16"/>
        </w:rPr>
        <w:t>21</w:t>
      </w:r>
    </w:p>
    <w:p w:rsidR="00D1511D" w:rsidRDefault="00D1511D">
      <w:pPr>
        <w:jc w:val="right"/>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9"/>
        <w:rPr>
          <w:rFonts w:ascii="Myriad Pro"/>
          <w:sz w:val="25"/>
        </w:rPr>
      </w:pPr>
    </w:p>
    <w:p w:rsidR="00D1511D" w:rsidRDefault="003F0CB3">
      <w:pPr>
        <w:pStyle w:val="Heading3"/>
        <w:spacing w:before="101"/>
        <w:ind w:left="1984"/>
        <w:jc w:val="both"/>
      </w:pPr>
      <w:r>
        <w:pict>
          <v:rect id="_x0000_s1270" alt="" style="position:absolute;left:0;text-align:left;margin-left:84.7pt;margin-top:-8.15pt;width:439.7pt;height:604.25pt;z-index:-256992256;mso-wrap-edited:f;mso-width-percent:0;mso-height-percent:0;mso-position-horizontal-relative:page;mso-width-percent:0;mso-height-percent:0" fillcolor="#fecc96" stroked="f">
            <w10:wrap anchorx="page"/>
          </v:rect>
        </w:pict>
      </w:r>
      <w:r>
        <w:rPr>
          <w:color w:val="005695"/>
        </w:rPr>
        <w:t>Case study: The Reef Trust Partnership</w:t>
      </w:r>
    </w:p>
    <w:p w:rsidR="00D1511D" w:rsidRDefault="003F0CB3">
      <w:pPr>
        <w:pStyle w:val="BodyText"/>
        <w:spacing w:before="195" w:line="280" w:lineRule="auto"/>
        <w:ind w:left="1984" w:right="1795"/>
        <w:jc w:val="both"/>
      </w:pPr>
      <w:r>
        <w:rPr>
          <w:color w:val="231F20"/>
        </w:rPr>
        <w:t xml:space="preserve">During the International </w:t>
      </w:r>
      <w:r>
        <w:rPr>
          <w:color w:val="231F20"/>
          <w:spacing w:val="-5"/>
        </w:rPr>
        <w:t xml:space="preserve">Year </w:t>
      </w:r>
      <w:r>
        <w:rPr>
          <w:color w:val="231F20"/>
        </w:rPr>
        <w:t xml:space="preserve">of the Reef in 2018, following back-to-back coral bleaching events in 2016 and 2017, the Australian Government announced investment of $443 million in a Reef </w:t>
      </w:r>
      <w:r>
        <w:rPr>
          <w:color w:val="231F20"/>
          <w:spacing w:val="-5"/>
        </w:rPr>
        <w:t xml:space="preserve">Trust </w:t>
      </w:r>
      <w:r>
        <w:rPr>
          <w:color w:val="231F20"/>
          <w:spacing w:val="-3"/>
        </w:rPr>
        <w:t xml:space="preserve">Partnership </w:t>
      </w:r>
      <w:r>
        <w:rPr>
          <w:color w:val="231F20"/>
        </w:rPr>
        <w:t>with the Great Barrier Reef Foundation.</w:t>
      </w:r>
    </w:p>
    <w:p w:rsidR="00D1511D" w:rsidRDefault="003F0CB3">
      <w:pPr>
        <w:pStyle w:val="BodyText"/>
        <w:spacing w:before="168" w:line="280" w:lineRule="auto"/>
        <w:ind w:left="1984" w:right="1680"/>
        <w:jc w:val="both"/>
      </w:pPr>
      <w:r>
        <w:rPr>
          <w:color w:val="231F20"/>
          <w:spacing w:val="-3"/>
        </w:rPr>
        <w:t xml:space="preserve">It </w:t>
      </w:r>
      <w:r>
        <w:rPr>
          <w:color w:val="231F20"/>
        </w:rPr>
        <w:t xml:space="preserve">is the </w:t>
      </w:r>
      <w:r>
        <w:rPr>
          <w:color w:val="231F20"/>
          <w:spacing w:val="-3"/>
        </w:rPr>
        <w:t xml:space="preserve">Government’s </w:t>
      </w:r>
      <w:r>
        <w:rPr>
          <w:color w:val="231F20"/>
        </w:rPr>
        <w:t>largest ever sing</w:t>
      </w:r>
      <w:r>
        <w:rPr>
          <w:color w:val="231F20"/>
        </w:rPr>
        <w:t>le investment in reef protection, aiming to spark new and innovative responses from private investors and philanthropists.</w:t>
      </w:r>
    </w:p>
    <w:p w:rsidR="00D1511D" w:rsidRDefault="003F0CB3">
      <w:pPr>
        <w:pStyle w:val="BodyText"/>
        <w:spacing w:before="168" w:line="280" w:lineRule="auto"/>
        <w:ind w:left="1984" w:right="1802"/>
      </w:pPr>
      <w:r>
        <w:rPr>
          <w:color w:val="231F20"/>
        </w:rPr>
        <w:t>The Great Barrier Reef Foundation is the leading charity for the Reef. The Partnership is boosting the engagement of Australian and i</w:t>
      </w:r>
      <w:r>
        <w:rPr>
          <w:color w:val="231F20"/>
        </w:rPr>
        <w:t xml:space="preserve">nternational businesses, science, communities, individuals and </w:t>
      </w:r>
      <w:r>
        <w:rPr>
          <w:color w:val="231F20"/>
          <w:spacing w:val="-5"/>
        </w:rPr>
        <w:t xml:space="preserve">Traditional </w:t>
      </w:r>
      <w:r>
        <w:rPr>
          <w:color w:val="231F20"/>
        </w:rPr>
        <w:t>Owners in a united effort to keep the Reef</w:t>
      </w:r>
      <w:r>
        <w:rPr>
          <w:color w:val="231F20"/>
          <w:spacing w:val="-1"/>
        </w:rPr>
        <w:t xml:space="preserve"> </w:t>
      </w:r>
      <w:r>
        <w:rPr>
          <w:color w:val="231F20"/>
          <w:spacing w:val="-3"/>
        </w:rPr>
        <w:t>healthy.</w:t>
      </w:r>
    </w:p>
    <w:p w:rsidR="00D1511D" w:rsidRDefault="003F0CB3">
      <w:pPr>
        <w:pStyle w:val="BodyText"/>
        <w:spacing w:before="168" w:line="280" w:lineRule="auto"/>
        <w:ind w:left="1984" w:right="1597"/>
      </w:pPr>
      <w:r>
        <w:rPr>
          <w:color w:val="231F20"/>
        </w:rPr>
        <w:t xml:space="preserve">The </w:t>
      </w:r>
      <w:r>
        <w:rPr>
          <w:color w:val="231F20"/>
          <w:spacing w:val="-3"/>
        </w:rPr>
        <w:t xml:space="preserve">Partnership’s </w:t>
      </w:r>
      <w:r>
        <w:rPr>
          <w:color w:val="231F20"/>
        </w:rPr>
        <w:t>comprehensive and innovative approach will be complemented by an investment</w:t>
      </w:r>
      <w:r>
        <w:rPr>
          <w:color w:val="231F20"/>
          <w:spacing w:val="-32"/>
        </w:rPr>
        <w:t xml:space="preserve"> </w:t>
      </w:r>
      <w:r>
        <w:rPr>
          <w:color w:val="231F20"/>
        </w:rPr>
        <w:t>portfolio substantial enough to eff</w:t>
      </w:r>
      <w:r>
        <w:rPr>
          <w:color w:val="231F20"/>
        </w:rPr>
        <w:t xml:space="preserve">ect real change. </w:t>
      </w:r>
      <w:r>
        <w:rPr>
          <w:color w:val="231F20"/>
          <w:spacing w:val="-3"/>
        </w:rPr>
        <w:t xml:space="preserve">It </w:t>
      </w:r>
      <w:r>
        <w:rPr>
          <w:color w:val="231F20"/>
        </w:rPr>
        <w:t>aims</w:t>
      </w:r>
      <w:r>
        <w:rPr>
          <w:color w:val="231F20"/>
          <w:spacing w:val="2"/>
        </w:rPr>
        <w:t xml:space="preserve"> </w:t>
      </w:r>
      <w:r>
        <w:rPr>
          <w:color w:val="231F20"/>
        </w:rPr>
        <w:t>to:</w:t>
      </w:r>
    </w:p>
    <w:p w:rsidR="00D1511D" w:rsidRDefault="003F0CB3">
      <w:pPr>
        <w:pStyle w:val="ListParagraph"/>
        <w:numPr>
          <w:ilvl w:val="3"/>
          <w:numId w:val="15"/>
        </w:numPr>
        <w:tabs>
          <w:tab w:val="left" w:pos="2324"/>
          <w:tab w:val="left" w:pos="2325"/>
        </w:tabs>
        <w:spacing w:before="169" w:line="280" w:lineRule="auto"/>
        <w:ind w:right="1870"/>
        <w:rPr>
          <w:sz w:val="20"/>
        </w:rPr>
      </w:pPr>
      <w:r>
        <w:rPr>
          <w:color w:val="231F20"/>
          <w:sz w:val="20"/>
        </w:rPr>
        <w:t xml:space="preserve">improve water quality by further improving farming practices, including more efficient </w:t>
      </w:r>
      <w:proofErr w:type="spellStart"/>
      <w:r>
        <w:rPr>
          <w:color w:val="231F20"/>
          <w:sz w:val="20"/>
        </w:rPr>
        <w:t>fertiliser</w:t>
      </w:r>
      <w:proofErr w:type="spellEnd"/>
      <w:r>
        <w:rPr>
          <w:color w:val="231F20"/>
          <w:spacing w:val="-24"/>
          <w:sz w:val="20"/>
        </w:rPr>
        <w:t xml:space="preserve"> </w:t>
      </w:r>
      <w:r>
        <w:rPr>
          <w:color w:val="231F20"/>
          <w:spacing w:val="-3"/>
          <w:sz w:val="20"/>
        </w:rPr>
        <w:t xml:space="preserve">use, </w:t>
      </w:r>
      <w:r>
        <w:rPr>
          <w:color w:val="231F20"/>
          <w:sz w:val="20"/>
        </w:rPr>
        <w:t>and increasing the uptake of new technology and land management practices ($201</w:t>
      </w:r>
      <w:r>
        <w:rPr>
          <w:color w:val="231F20"/>
          <w:spacing w:val="-1"/>
          <w:sz w:val="20"/>
        </w:rPr>
        <w:t xml:space="preserve"> </w:t>
      </w:r>
      <w:r>
        <w:rPr>
          <w:color w:val="231F20"/>
          <w:sz w:val="20"/>
        </w:rPr>
        <w:t>million)</w:t>
      </w:r>
    </w:p>
    <w:p w:rsidR="00D1511D" w:rsidRDefault="003F0CB3">
      <w:pPr>
        <w:pStyle w:val="ListParagraph"/>
        <w:numPr>
          <w:ilvl w:val="3"/>
          <w:numId w:val="15"/>
        </w:numPr>
        <w:tabs>
          <w:tab w:val="left" w:pos="2324"/>
          <w:tab w:val="left" w:pos="2325"/>
        </w:tabs>
        <w:spacing w:before="55" w:line="280" w:lineRule="auto"/>
        <w:ind w:right="1735"/>
        <w:rPr>
          <w:sz w:val="20"/>
        </w:rPr>
      </w:pPr>
      <w:r>
        <w:rPr>
          <w:color w:val="231F20"/>
          <w:sz w:val="20"/>
        </w:rPr>
        <w:t xml:space="preserve">enable reef restoration and adaptation, by harnessing the best available science and knowledge to </w:t>
      </w:r>
      <w:r>
        <w:rPr>
          <w:color w:val="231F20"/>
          <w:spacing w:val="-4"/>
          <w:sz w:val="20"/>
        </w:rPr>
        <w:t xml:space="preserve">fund </w:t>
      </w:r>
      <w:r>
        <w:rPr>
          <w:color w:val="231F20"/>
          <w:sz w:val="20"/>
        </w:rPr>
        <w:t>innovative projects that support Reef resilience ($100</w:t>
      </w:r>
      <w:r>
        <w:rPr>
          <w:color w:val="231F20"/>
          <w:spacing w:val="-2"/>
          <w:sz w:val="20"/>
        </w:rPr>
        <w:t xml:space="preserve"> </w:t>
      </w:r>
      <w:r>
        <w:rPr>
          <w:color w:val="231F20"/>
          <w:sz w:val="20"/>
        </w:rPr>
        <w:t>million)</w:t>
      </w:r>
    </w:p>
    <w:p w:rsidR="00D1511D" w:rsidRDefault="003F0CB3">
      <w:pPr>
        <w:pStyle w:val="ListParagraph"/>
        <w:numPr>
          <w:ilvl w:val="3"/>
          <w:numId w:val="15"/>
        </w:numPr>
        <w:tabs>
          <w:tab w:val="left" w:pos="2324"/>
          <w:tab w:val="left" w:pos="2325"/>
        </w:tabs>
        <w:spacing w:before="55" w:line="280" w:lineRule="auto"/>
        <w:ind w:right="1989"/>
        <w:rPr>
          <w:sz w:val="20"/>
        </w:rPr>
      </w:pPr>
      <w:r>
        <w:rPr>
          <w:color w:val="231F20"/>
          <w:sz w:val="20"/>
        </w:rPr>
        <w:t xml:space="preserve">expand efforts in the fight against the coral-eating crown-of-thorns starfish, including </w:t>
      </w:r>
      <w:r>
        <w:rPr>
          <w:color w:val="231F20"/>
          <w:spacing w:val="-3"/>
          <w:sz w:val="20"/>
        </w:rPr>
        <w:t xml:space="preserve">investigating </w:t>
      </w:r>
      <w:r>
        <w:rPr>
          <w:color w:val="231F20"/>
          <w:sz w:val="20"/>
        </w:rPr>
        <w:t>new ways to detect and tackle primary outbreaks ($57.8 million)</w:t>
      </w:r>
    </w:p>
    <w:p w:rsidR="00D1511D" w:rsidRDefault="003F0CB3">
      <w:pPr>
        <w:pStyle w:val="ListParagraph"/>
        <w:numPr>
          <w:ilvl w:val="3"/>
          <w:numId w:val="15"/>
        </w:numPr>
        <w:tabs>
          <w:tab w:val="left" w:pos="2324"/>
          <w:tab w:val="left" w:pos="2325"/>
        </w:tabs>
        <w:spacing w:before="55" w:line="280" w:lineRule="auto"/>
        <w:ind w:right="1537"/>
        <w:rPr>
          <w:sz w:val="20"/>
        </w:rPr>
      </w:pPr>
      <w:r>
        <w:rPr>
          <w:color w:val="231F20"/>
          <w:sz w:val="20"/>
        </w:rPr>
        <w:t xml:space="preserve">create opportunities for greater engagement of </w:t>
      </w:r>
      <w:r>
        <w:rPr>
          <w:color w:val="231F20"/>
          <w:spacing w:val="-3"/>
          <w:sz w:val="20"/>
        </w:rPr>
        <w:t xml:space="preserve">Traditional </w:t>
      </w:r>
      <w:r>
        <w:rPr>
          <w:color w:val="231F20"/>
          <w:sz w:val="20"/>
        </w:rPr>
        <w:t xml:space="preserve">Owners in the Great Barrier Reef </w:t>
      </w:r>
      <w:r>
        <w:rPr>
          <w:color w:val="231F20"/>
          <w:spacing w:val="-4"/>
          <w:sz w:val="20"/>
        </w:rPr>
        <w:t xml:space="preserve">World </w:t>
      </w:r>
      <w:r>
        <w:rPr>
          <w:color w:val="231F20"/>
          <w:sz w:val="20"/>
        </w:rPr>
        <w:t>Heritage Area (up to $42 million, which equates to 10 per cent of the value of t</w:t>
      </w:r>
      <w:r>
        <w:rPr>
          <w:color w:val="231F20"/>
          <w:sz w:val="20"/>
        </w:rPr>
        <w:t>he grant agreement.</w:t>
      </w:r>
      <w:r>
        <w:rPr>
          <w:color w:val="231F20"/>
          <w:spacing w:val="-32"/>
          <w:sz w:val="20"/>
        </w:rPr>
        <w:t xml:space="preserve"> </w:t>
      </w:r>
      <w:r>
        <w:rPr>
          <w:color w:val="231F20"/>
          <w:spacing w:val="-4"/>
          <w:sz w:val="20"/>
        </w:rPr>
        <w:t xml:space="preserve">This </w:t>
      </w:r>
      <w:r>
        <w:rPr>
          <w:color w:val="231F20"/>
          <w:sz w:val="20"/>
        </w:rPr>
        <w:t>includes $12 million under the original grant, plus earmarked funds from across all other</w:t>
      </w:r>
      <w:r>
        <w:rPr>
          <w:color w:val="231F20"/>
          <w:spacing w:val="-6"/>
          <w:sz w:val="20"/>
        </w:rPr>
        <w:t xml:space="preserve"> </w:t>
      </w:r>
      <w:r>
        <w:rPr>
          <w:color w:val="231F20"/>
          <w:sz w:val="20"/>
        </w:rPr>
        <w:t>components)</w:t>
      </w:r>
    </w:p>
    <w:p w:rsidR="00D1511D" w:rsidRDefault="003F0CB3">
      <w:pPr>
        <w:pStyle w:val="ListParagraph"/>
        <w:numPr>
          <w:ilvl w:val="3"/>
          <w:numId w:val="15"/>
        </w:numPr>
        <w:tabs>
          <w:tab w:val="left" w:pos="2324"/>
          <w:tab w:val="left" w:pos="2325"/>
        </w:tabs>
        <w:spacing w:before="54"/>
        <w:ind w:hanging="361"/>
        <w:rPr>
          <w:sz w:val="20"/>
        </w:rPr>
      </w:pPr>
      <w:r>
        <w:rPr>
          <w:color w:val="231F20"/>
          <w:sz w:val="20"/>
        </w:rPr>
        <w:t>improve engagement by local communities in the protection of the Reef ($10</w:t>
      </w:r>
      <w:r>
        <w:rPr>
          <w:color w:val="231F20"/>
          <w:spacing w:val="-3"/>
          <w:sz w:val="20"/>
        </w:rPr>
        <w:t xml:space="preserve"> </w:t>
      </w:r>
      <w:r>
        <w:rPr>
          <w:color w:val="231F20"/>
          <w:sz w:val="20"/>
        </w:rPr>
        <w:t>million)</w:t>
      </w:r>
    </w:p>
    <w:p w:rsidR="00D1511D" w:rsidRDefault="003F0CB3">
      <w:pPr>
        <w:pStyle w:val="ListParagraph"/>
        <w:numPr>
          <w:ilvl w:val="3"/>
          <w:numId w:val="15"/>
        </w:numPr>
        <w:tabs>
          <w:tab w:val="left" w:pos="2324"/>
          <w:tab w:val="left" w:pos="2325"/>
        </w:tabs>
        <w:spacing w:before="97" w:line="280" w:lineRule="auto"/>
        <w:ind w:right="1926"/>
        <w:rPr>
          <w:sz w:val="20"/>
        </w:rPr>
      </w:pPr>
      <w:r>
        <w:rPr>
          <w:color w:val="231F20"/>
          <w:sz w:val="20"/>
        </w:rPr>
        <w:t>improve Reef health monitoring and reporting that tracks progress and informs better</w:t>
      </w:r>
      <w:r>
        <w:rPr>
          <w:color w:val="231F20"/>
          <w:spacing w:val="-28"/>
          <w:sz w:val="20"/>
        </w:rPr>
        <w:t xml:space="preserve"> </w:t>
      </w:r>
      <w:r>
        <w:rPr>
          <w:color w:val="231F20"/>
          <w:sz w:val="20"/>
        </w:rPr>
        <w:t>management ($40 million).</w:t>
      </w:r>
    </w:p>
    <w:p w:rsidR="00D1511D" w:rsidRDefault="003F0CB3">
      <w:pPr>
        <w:pStyle w:val="BodyText"/>
        <w:spacing w:before="168" w:line="280" w:lineRule="auto"/>
        <w:ind w:left="1984" w:right="1681"/>
      </w:pPr>
      <w:r>
        <w:rPr>
          <w:color w:val="231F20"/>
        </w:rPr>
        <w:t>The Foundation has set a target of leveraging a further $300 million to $400 million in investment over five years from domestic and internationa</w:t>
      </w:r>
      <w:r>
        <w:rPr>
          <w:color w:val="231F20"/>
        </w:rPr>
        <w:t xml:space="preserve">l partner </w:t>
      </w:r>
      <w:proofErr w:type="spellStart"/>
      <w:r>
        <w:rPr>
          <w:color w:val="231F20"/>
        </w:rPr>
        <w:t>organisations</w:t>
      </w:r>
      <w:proofErr w:type="spellEnd"/>
      <w:r>
        <w:rPr>
          <w:color w:val="231F20"/>
        </w:rPr>
        <w:t xml:space="preserve"> and philanthropic donors to complement the Australian Government’s investment. To date, more than $21 million has been indicated as in-kind contribution for the Foundation’s 2018-19 committed on-ground projects.</w:t>
      </w:r>
    </w:p>
    <w:p w:rsidR="00D1511D" w:rsidRDefault="003F0CB3">
      <w:pPr>
        <w:pStyle w:val="BodyText"/>
        <w:spacing w:before="167"/>
        <w:ind w:left="1984"/>
      </w:pPr>
      <w:r>
        <w:rPr>
          <w:color w:val="231F20"/>
        </w:rPr>
        <w:t>With strong governan</w:t>
      </w:r>
      <w:r>
        <w:rPr>
          <w:color w:val="231F20"/>
        </w:rPr>
        <w:t>ce arrangements in place, funding is rolling out with an annual work plan for</w:t>
      </w:r>
    </w:p>
    <w:p w:rsidR="00D1511D" w:rsidRDefault="003F0CB3">
      <w:pPr>
        <w:pStyle w:val="BodyText"/>
        <w:spacing w:before="40" w:line="280" w:lineRule="auto"/>
        <w:ind w:left="1984" w:right="1606"/>
      </w:pPr>
      <w:r>
        <w:rPr>
          <w:color w:val="231F20"/>
        </w:rPr>
        <w:t>2019-20 that commits $58 million to projects ranging from large-scale water quality projects across priority Reef catchments to targeted regional community activities.</w:t>
      </w:r>
    </w:p>
    <w:p w:rsidR="00D1511D" w:rsidRDefault="003F0CB3">
      <w:pPr>
        <w:pStyle w:val="BodyText"/>
        <w:spacing w:before="169" w:line="280" w:lineRule="auto"/>
        <w:ind w:left="1984" w:right="1658"/>
      </w:pPr>
      <w:r>
        <w:rPr>
          <w:color w:val="231F20"/>
        </w:rPr>
        <w:t>Early inve</w:t>
      </w:r>
      <w:r>
        <w:rPr>
          <w:color w:val="231F20"/>
        </w:rPr>
        <w:t>stment projects worth $25 million include more than 50 on-ground projects - 11 water quality projects with farmers to remediate gully erosion and reduce run-off of sediments, nutrients and pesticides; 18 projects with Traditional Owner groups to support la</w:t>
      </w:r>
      <w:r>
        <w:rPr>
          <w:color w:val="231F20"/>
        </w:rPr>
        <w:t>nd and sea country action planning and junior ranger programs; and 25 projects for community groups to take action through citizen science and projects coordinated through Local Marine Advisory Committees.</w:t>
      </w: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spacing w:before="5"/>
        <w:rPr>
          <w:sz w:val="18"/>
        </w:rPr>
      </w:pPr>
    </w:p>
    <w:p w:rsidR="00D1511D" w:rsidRDefault="003F0CB3">
      <w:pPr>
        <w:ind w:left="1417"/>
        <w:rPr>
          <w:rFonts w:ascii="Myriad Pro"/>
          <w:sz w:val="16"/>
        </w:rPr>
      </w:pPr>
      <w:r>
        <w:rPr>
          <w:rFonts w:ascii="Myriad Pro"/>
          <w:color w:val="231F20"/>
          <w:sz w:val="16"/>
        </w:rPr>
        <w:t xml:space="preserve">22 / </w:t>
      </w:r>
      <w:r>
        <w:rPr>
          <w:rFonts w:ascii="Myriad Pro"/>
          <w:color w:val="005695"/>
          <w:sz w:val="16"/>
        </w:rPr>
        <w:t>State Party Report on the state of c</w:t>
      </w:r>
      <w:r>
        <w:rPr>
          <w:rFonts w:ascii="Myriad Pro"/>
          <w:color w:val="005695"/>
          <w:sz w:val="16"/>
        </w:rPr>
        <w:t xml:space="preserve">onservation of the </w:t>
      </w:r>
      <w:r>
        <w:rPr>
          <w:rFonts w:ascii="Myriad Pro"/>
          <w:b/>
          <w:color w:val="005695"/>
          <w:sz w:val="16"/>
        </w:rPr>
        <w:t xml:space="preserve">Great Barrier Reef World Heritage Area (Australia) </w:t>
      </w:r>
      <w:r>
        <w:rPr>
          <w:rFonts w:ascii="Myriad Pro"/>
          <w:color w:val="005695"/>
          <w:sz w:val="16"/>
        </w:rPr>
        <w:t>2019</w:t>
      </w:r>
    </w:p>
    <w:p w:rsidR="00D1511D" w:rsidRDefault="00D1511D">
      <w:pPr>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9"/>
        <w:rPr>
          <w:rFonts w:ascii="Myriad Pro"/>
          <w:sz w:val="25"/>
        </w:rPr>
      </w:pPr>
    </w:p>
    <w:p w:rsidR="00D1511D" w:rsidRDefault="003F0CB3">
      <w:pPr>
        <w:pStyle w:val="Heading3"/>
        <w:spacing w:before="101"/>
        <w:ind w:left="1984"/>
      </w:pPr>
      <w:r>
        <w:pict>
          <v:rect id="_x0000_s1269" alt="" style="position:absolute;left:0;text-align:left;margin-left:84.65pt;margin-top:-8.15pt;width:439.7pt;height:479.75pt;z-index:-256991232;mso-wrap-edited:f;mso-width-percent:0;mso-height-percent:0;mso-position-horizontal-relative:page;mso-width-percent:0;mso-height-percent:0" fillcolor="#fecc96" stroked="f">
            <w10:wrap anchorx="page"/>
          </v:rect>
        </w:pict>
      </w:r>
      <w:r>
        <w:rPr>
          <w:color w:val="005695"/>
        </w:rPr>
        <w:t>Case study: Queensland fisheries reforms</w:t>
      </w:r>
    </w:p>
    <w:p w:rsidR="00D1511D" w:rsidRDefault="003F0CB3">
      <w:pPr>
        <w:pStyle w:val="BodyText"/>
        <w:spacing w:before="195" w:line="280" w:lineRule="auto"/>
        <w:ind w:left="1984" w:right="1628"/>
      </w:pPr>
      <w:r>
        <w:rPr>
          <w:color w:val="231F20"/>
        </w:rPr>
        <w:t xml:space="preserve">The </w:t>
      </w:r>
      <w:hyperlink r:id="rId48">
        <w:r>
          <w:rPr>
            <w:color w:val="1B5BAA"/>
            <w:u w:val="single" w:color="1B5BAA"/>
          </w:rPr>
          <w:t>Queensland Sustainable Fisheries Strategy</w:t>
        </w:r>
        <w:r>
          <w:rPr>
            <w:color w:val="1B5BAA"/>
          </w:rPr>
          <w:t xml:space="preserve"> </w:t>
        </w:r>
      </w:hyperlink>
      <w:r>
        <w:rPr>
          <w:color w:val="231F20"/>
        </w:rPr>
        <w:t xml:space="preserve">was released in June 2017 and sets out the Queensland Government’s reform agenda for the next 10 </w:t>
      </w:r>
      <w:r>
        <w:rPr>
          <w:color w:val="231F20"/>
        </w:rPr>
        <w:t>years. It is the biggest fisheries reform in Queensland’s history and will help ensure healthy fish stocks that will support thousands of Queensland jobs. This strategy delivers the fisheries-related commitments under the Reef 2050 Plan.</w:t>
      </w:r>
    </w:p>
    <w:p w:rsidR="00D1511D" w:rsidRDefault="003F0CB3">
      <w:pPr>
        <w:pStyle w:val="BodyText"/>
        <w:spacing w:before="167" w:line="280" w:lineRule="auto"/>
        <w:ind w:left="1984" w:right="1802"/>
      </w:pPr>
      <w:r>
        <w:rPr>
          <w:color w:val="231F20"/>
        </w:rPr>
        <w:t>The strategy is th</w:t>
      </w:r>
      <w:r>
        <w:rPr>
          <w:color w:val="231F20"/>
        </w:rPr>
        <w:t>e outcome of a significant consultation exercise in 2016. A total of 11,800 submissions were received and the overwhelming message was that all stakeholders wanted reform in the way fisheries are managed.</w:t>
      </w:r>
    </w:p>
    <w:p w:rsidR="00D1511D" w:rsidRDefault="003F0CB3">
      <w:pPr>
        <w:pStyle w:val="BodyText"/>
        <w:spacing w:before="168" w:line="280" w:lineRule="auto"/>
        <w:ind w:left="1984" w:right="1802"/>
      </w:pPr>
      <w:r>
        <w:rPr>
          <w:color w:val="231F20"/>
        </w:rPr>
        <w:t>The strategy outlines 33 actions to be delivered ac</w:t>
      </w:r>
      <w:r>
        <w:rPr>
          <w:color w:val="231F20"/>
        </w:rPr>
        <w:t>ross 10 reform areas with specific targets to achieve by 2020 and 2027. Actions include harvest strategies for each fishery, satellite tracking on all commercial fishing boats, regionally specific fishing rules and using new technologies more effectively.</w:t>
      </w:r>
    </w:p>
    <w:p w:rsidR="00D1511D" w:rsidRDefault="003F0CB3">
      <w:pPr>
        <w:pStyle w:val="BodyText"/>
        <w:spacing w:before="167" w:line="280" w:lineRule="auto"/>
        <w:ind w:left="1984" w:right="1781"/>
      </w:pPr>
      <w:r>
        <w:rPr>
          <w:color w:val="231F20"/>
        </w:rPr>
        <w:t>An additional $30 million over four years is being invested by the Queensland Government to support the reforms. Key investments in the Reef region include 14 new Queensland Boating and Fisheries Patrol officers (one each in Cairns, Mackay and Yeppoon; two</w:t>
      </w:r>
      <w:r>
        <w:rPr>
          <w:color w:val="231F20"/>
        </w:rPr>
        <w:t xml:space="preserve"> each in Port Douglas and Airlie Beach; three</w:t>
      </w:r>
    </w:p>
    <w:p w:rsidR="00D1511D" w:rsidRDefault="003F0CB3">
      <w:pPr>
        <w:pStyle w:val="BodyText"/>
        <w:spacing w:line="280" w:lineRule="auto"/>
        <w:ind w:left="1984" w:right="1639"/>
      </w:pPr>
      <w:r>
        <w:rPr>
          <w:color w:val="231F20"/>
        </w:rPr>
        <w:t>in Townsville and four in Gladstone). The Gladstone Queensland Boating and Fisheries Patrol office reopened in October 2017. The new funding also provides for additional biological monitoring in the Great Barri</w:t>
      </w:r>
      <w:r>
        <w:rPr>
          <w:color w:val="231F20"/>
        </w:rPr>
        <w:t>er Reef on species like coral reef fish species, shark and scallops, as well as a new economic and social monitoring program for fisheries, which will contribute to the Reef 2050 Integrated Monitoring and Reporting Program.</w:t>
      </w:r>
    </w:p>
    <w:p w:rsidR="00D1511D" w:rsidRDefault="003F0CB3">
      <w:pPr>
        <w:pStyle w:val="BodyText"/>
        <w:spacing w:before="164" w:line="280" w:lineRule="auto"/>
        <w:ind w:left="1984" w:right="1759"/>
      </w:pPr>
      <w:r>
        <w:rPr>
          <w:color w:val="231F20"/>
        </w:rPr>
        <w:t xml:space="preserve">Vessel tracking has been rolled </w:t>
      </w:r>
      <w:r>
        <w:rPr>
          <w:color w:val="231F20"/>
        </w:rPr>
        <w:t>out to all net, crab and line boats, with more than 1100 boats brought online in 2019, with the remaining commercial fisheries to commence 1 January 2020. The Marine Park Authority and the Queensland Government have pooled funding, with around $3 million a</w:t>
      </w:r>
      <w:r>
        <w:rPr>
          <w:color w:val="231F20"/>
        </w:rPr>
        <w:t xml:space="preserve">vailable to </w:t>
      </w:r>
      <w:proofErr w:type="spellStart"/>
      <w:r>
        <w:rPr>
          <w:color w:val="231F20"/>
        </w:rPr>
        <w:t>subsidise</w:t>
      </w:r>
      <w:proofErr w:type="spellEnd"/>
      <w:r>
        <w:rPr>
          <w:color w:val="231F20"/>
        </w:rPr>
        <w:t xml:space="preserve"> the costs for industry.</w:t>
      </w:r>
    </w:p>
    <w:p w:rsidR="00D1511D" w:rsidRDefault="003F0CB3">
      <w:pPr>
        <w:pStyle w:val="BodyText"/>
        <w:spacing w:before="167" w:line="280" w:lineRule="auto"/>
        <w:ind w:left="1984" w:right="1802"/>
      </w:pPr>
      <w:r>
        <w:rPr>
          <w:color w:val="231F20"/>
        </w:rPr>
        <w:t xml:space="preserve">Major reforms to fisheries laws were completed in 2019, including stronger compliance powers, heavier penalties, a more responsive </w:t>
      </w:r>
      <w:proofErr w:type="gramStart"/>
      <w:r>
        <w:rPr>
          <w:color w:val="231F20"/>
        </w:rPr>
        <w:t>decision making</w:t>
      </w:r>
      <w:proofErr w:type="gramEnd"/>
      <w:r>
        <w:rPr>
          <w:color w:val="231F20"/>
        </w:rPr>
        <w:t xml:space="preserve"> framework and rules to recover depleted stocks and address byca</w:t>
      </w:r>
      <w:r>
        <w:rPr>
          <w:color w:val="231F20"/>
        </w:rPr>
        <w:t>tch and protected species interaction issues.</w:t>
      </w:r>
    </w:p>
    <w:p w:rsidR="00D1511D" w:rsidRDefault="003F0CB3">
      <w:pPr>
        <w:pStyle w:val="BodyText"/>
        <w:spacing w:before="168" w:line="319" w:lineRule="auto"/>
        <w:ind w:left="1984" w:right="1633"/>
      </w:pPr>
      <w:r>
        <w:rPr>
          <w:color w:val="231F20"/>
        </w:rPr>
        <w:t xml:space="preserve">A year two progress report on implementation of the Strategy is available online at: </w:t>
      </w:r>
      <w:hyperlink r:id="rId49">
        <w:r>
          <w:rPr>
            <w:color w:val="1B5BAA"/>
            <w:spacing w:val="-5"/>
            <w:u w:val="single" w:color="1B5BAA"/>
          </w:rPr>
          <w:t>https://www.daf.qld.gov.</w:t>
        </w:r>
      </w:hyperlink>
      <w:r>
        <w:rPr>
          <w:color w:val="1B5BAA"/>
          <w:spacing w:val="-5"/>
        </w:rPr>
        <w:t xml:space="preserve"> </w:t>
      </w:r>
      <w:hyperlink r:id="rId50">
        <w:r>
          <w:rPr>
            <w:color w:val="1B5BAA"/>
            <w:spacing w:val="-3"/>
            <w:u w:val="single" w:color="1B5BAA"/>
          </w:rPr>
          <w:t>au/business-priorities/fisheries/susta</w:t>
        </w:r>
        <w:r>
          <w:rPr>
            <w:color w:val="1B5BAA"/>
            <w:spacing w:val="-3"/>
            <w:u w:val="single" w:color="1B5BAA"/>
          </w:rPr>
          <w:t>inable/sustainable-fisheries-strategy/sustainable-fisheries-strategy-overview</w:t>
        </w:r>
      </w:hyperlink>
    </w:p>
    <w:p w:rsidR="00D1511D" w:rsidRDefault="00D1511D">
      <w:pPr>
        <w:pStyle w:val="BodyText"/>
        <w:rPr>
          <w:sz w:val="24"/>
        </w:rPr>
      </w:pPr>
    </w:p>
    <w:p w:rsidR="00D1511D" w:rsidRDefault="00D1511D">
      <w:pPr>
        <w:pStyle w:val="BodyText"/>
        <w:spacing w:before="1"/>
        <w:rPr>
          <w:sz w:val="29"/>
        </w:rPr>
      </w:pPr>
    </w:p>
    <w:p w:rsidR="00D1511D" w:rsidRDefault="003F0CB3">
      <w:pPr>
        <w:pStyle w:val="Heading3"/>
        <w:numPr>
          <w:ilvl w:val="2"/>
          <w:numId w:val="15"/>
        </w:numPr>
        <w:tabs>
          <w:tab w:val="left" w:pos="2421"/>
        </w:tabs>
      </w:pPr>
      <w:r>
        <w:rPr>
          <w:color w:val="005695"/>
          <w:spacing w:val="-3"/>
        </w:rPr>
        <w:t>Joint Field Management</w:t>
      </w:r>
      <w:r>
        <w:rPr>
          <w:color w:val="005695"/>
          <w:spacing w:val="6"/>
        </w:rPr>
        <w:t xml:space="preserve"> </w:t>
      </w:r>
      <w:r>
        <w:rPr>
          <w:color w:val="005695"/>
          <w:spacing w:val="-4"/>
        </w:rPr>
        <w:t>Program</w:t>
      </w:r>
    </w:p>
    <w:p w:rsidR="00D1511D" w:rsidRDefault="003F0CB3">
      <w:pPr>
        <w:pStyle w:val="BodyText"/>
        <w:spacing w:before="195" w:line="280" w:lineRule="auto"/>
        <w:ind w:left="1700" w:right="1468"/>
      </w:pPr>
      <w:r>
        <w:rPr>
          <w:color w:val="231F20"/>
        </w:rPr>
        <w:t>The Marine Park Authority and the Queensland Department of Environment and Science deliver the Joint Field Management Program. The Program delivers practical on-ground actions to protect, maintain and restore the marine and island ecosystems of the Reef. E</w:t>
      </w:r>
      <w:r>
        <w:rPr>
          <w:color w:val="231F20"/>
        </w:rPr>
        <w:t>nsuring compliance with Marine Protected Area zones, particularly the no-take zones, has been shown to include a range of benefits including faster recovery of coral and fish communities following cyclones, coral bleaching, and crown of thorns starfish and</w:t>
      </w:r>
      <w:r>
        <w:rPr>
          <w:color w:val="231F20"/>
        </w:rPr>
        <w:t xml:space="preserve"> coral disease outbreaks.</w:t>
      </w:r>
    </w:p>
    <w:p w:rsidR="00D1511D" w:rsidRDefault="003F0CB3">
      <w:pPr>
        <w:pStyle w:val="BodyText"/>
        <w:spacing w:before="166" w:line="280" w:lineRule="auto"/>
        <w:ind w:left="1700" w:right="1424"/>
      </w:pPr>
      <w:r>
        <w:rPr>
          <w:color w:val="231F20"/>
        </w:rPr>
        <w:t xml:space="preserve">Following the coral bleaching events of 2016 and 2017 and severe Tropical Cyclone Debbie, which impacted the health and resilience of the Reef, the Australian and Queensland governments </w:t>
      </w:r>
      <w:proofErr w:type="spellStart"/>
      <w:r>
        <w:rPr>
          <w:color w:val="231F20"/>
        </w:rPr>
        <w:t>recognised</w:t>
      </w:r>
      <w:proofErr w:type="spellEnd"/>
      <w:r>
        <w:rPr>
          <w:color w:val="231F20"/>
        </w:rPr>
        <w:t xml:space="preserve"> the need for further action. A ra</w:t>
      </w:r>
      <w:r>
        <w:rPr>
          <w:color w:val="231F20"/>
        </w:rPr>
        <w:t>nge of additional funding commitments, outlined in the revised Reef 2050 Plan, included increased funding for the Joint Field Management Program. This was one of the initiatives identified in the Reef Blueprint.</w:t>
      </w:r>
    </w:p>
    <w:p w:rsidR="00D1511D" w:rsidRDefault="00D1511D">
      <w:pPr>
        <w:pStyle w:val="BodyText"/>
        <w:rPr>
          <w:sz w:val="24"/>
        </w:rPr>
      </w:pPr>
    </w:p>
    <w:p w:rsidR="00D1511D" w:rsidRDefault="00D1511D">
      <w:pPr>
        <w:pStyle w:val="BodyText"/>
        <w:rPr>
          <w:sz w:val="24"/>
        </w:rPr>
      </w:pPr>
    </w:p>
    <w:p w:rsidR="00D1511D" w:rsidRDefault="00D1511D">
      <w:pPr>
        <w:pStyle w:val="BodyText"/>
        <w:spacing w:before="7"/>
        <w:rPr>
          <w:sz w:val="35"/>
        </w:rPr>
      </w:pPr>
    </w:p>
    <w:p w:rsidR="00D1511D" w:rsidRDefault="003F0CB3">
      <w:pPr>
        <w:ind w:right="1415"/>
        <w:jc w:val="right"/>
        <w:rPr>
          <w:rFonts w:ascii="Myriad Pro"/>
          <w:sz w:val="16"/>
        </w:rPr>
      </w:pPr>
      <w:r>
        <w:rPr>
          <w:rFonts w:ascii="Myriad Pro"/>
          <w:color w:val="231F20"/>
          <w:sz w:val="16"/>
        </w:rPr>
        <w:t>23</w:t>
      </w:r>
    </w:p>
    <w:p w:rsidR="00D1511D" w:rsidRDefault="00D1511D">
      <w:pPr>
        <w:jc w:val="right"/>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5"/>
        <w:rPr>
          <w:rFonts w:ascii="Myriad Pro"/>
          <w:sz w:val="21"/>
        </w:rPr>
      </w:pPr>
    </w:p>
    <w:p w:rsidR="00D1511D" w:rsidRDefault="003F0CB3">
      <w:pPr>
        <w:pStyle w:val="BodyText"/>
        <w:spacing w:line="280" w:lineRule="auto"/>
        <w:ind w:left="1700" w:right="1486"/>
      </w:pPr>
      <w:r>
        <w:rPr>
          <w:color w:val="231F20"/>
        </w:rPr>
        <w:t>In 2017-18 the Australian and Queensland governments provided an additional $73.7 million over six years, with</w:t>
      </w:r>
      <w:r>
        <w:rPr>
          <w:color w:val="231F20"/>
          <w:spacing w:val="-3"/>
        </w:rPr>
        <w:t xml:space="preserve"> </w:t>
      </w:r>
      <w:r>
        <w:rPr>
          <w:color w:val="231F20"/>
        </w:rPr>
        <w:t>a</w:t>
      </w:r>
      <w:r>
        <w:rPr>
          <w:color w:val="231F20"/>
          <w:spacing w:val="-3"/>
        </w:rPr>
        <w:t xml:space="preserve"> </w:t>
      </w:r>
      <w:r>
        <w:rPr>
          <w:color w:val="231F20"/>
        </w:rPr>
        <w:t>commitment</w:t>
      </w:r>
      <w:r>
        <w:rPr>
          <w:color w:val="231F20"/>
          <w:spacing w:val="-2"/>
        </w:rPr>
        <w:t xml:space="preserve"> </w:t>
      </w:r>
      <w:r>
        <w:rPr>
          <w:color w:val="231F20"/>
        </w:rPr>
        <w:t>of</w:t>
      </w:r>
      <w:r>
        <w:rPr>
          <w:color w:val="231F20"/>
          <w:spacing w:val="-3"/>
        </w:rPr>
        <w:t xml:space="preserve"> </w:t>
      </w:r>
      <w:r>
        <w:rPr>
          <w:color w:val="231F20"/>
        </w:rPr>
        <w:t>a</w:t>
      </w:r>
      <w:r>
        <w:rPr>
          <w:color w:val="231F20"/>
          <w:spacing w:val="-2"/>
        </w:rPr>
        <w:t xml:space="preserve"> </w:t>
      </w:r>
      <w:r>
        <w:rPr>
          <w:color w:val="231F20"/>
        </w:rPr>
        <w:t>further</w:t>
      </w:r>
      <w:r>
        <w:rPr>
          <w:color w:val="231F20"/>
          <w:spacing w:val="-3"/>
        </w:rPr>
        <w:t xml:space="preserve"> </w:t>
      </w:r>
      <w:r>
        <w:rPr>
          <w:color w:val="231F20"/>
        </w:rPr>
        <w:t>$20.6</w:t>
      </w:r>
      <w:r>
        <w:rPr>
          <w:color w:val="231F20"/>
          <w:spacing w:val="-2"/>
        </w:rPr>
        <w:t xml:space="preserve"> </w:t>
      </w:r>
      <w:r>
        <w:rPr>
          <w:color w:val="231F20"/>
        </w:rPr>
        <w:t>million</w:t>
      </w:r>
      <w:r>
        <w:rPr>
          <w:color w:val="231F20"/>
          <w:spacing w:val="-3"/>
        </w:rPr>
        <w:t xml:space="preserve"> </w:t>
      </w:r>
      <w:r>
        <w:rPr>
          <w:color w:val="231F20"/>
        </w:rPr>
        <w:t>per</w:t>
      </w:r>
      <w:r>
        <w:rPr>
          <w:color w:val="231F20"/>
          <w:spacing w:val="-3"/>
        </w:rPr>
        <w:t xml:space="preserve"> </w:t>
      </w:r>
      <w:r>
        <w:rPr>
          <w:color w:val="231F20"/>
        </w:rPr>
        <w:t>year</w:t>
      </w:r>
      <w:r>
        <w:rPr>
          <w:color w:val="231F20"/>
          <w:spacing w:val="-2"/>
        </w:rPr>
        <w:t xml:space="preserve"> </w:t>
      </w:r>
      <w:r>
        <w:rPr>
          <w:color w:val="231F20"/>
        </w:rPr>
        <w:t>ongoing</w:t>
      </w:r>
      <w:r>
        <w:rPr>
          <w:color w:val="231F20"/>
          <w:spacing w:val="-3"/>
        </w:rPr>
        <w:t xml:space="preserve"> </w:t>
      </w:r>
      <w:r>
        <w:rPr>
          <w:color w:val="231F20"/>
        </w:rPr>
        <w:t>for</w:t>
      </w:r>
      <w:r>
        <w:rPr>
          <w:color w:val="231F20"/>
          <w:spacing w:val="-2"/>
        </w:rPr>
        <w:t xml:space="preserve"> </w:t>
      </w:r>
      <w:r>
        <w:rPr>
          <w:color w:val="231F20"/>
        </w:rPr>
        <w:t>the</w:t>
      </w:r>
      <w:r>
        <w:rPr>
          <w:color w:val="231F20"/>
          <w:spacing w:val="-3"/>
        </w:rPr>
        <w:t xml:space="preserve"> </w:t>
      </w:r>
      <w:r>
        <w:rPr>
          <w:color w:val="231F20"/>
        </w:rPr>
        <w:t>Joint</w:t>
      </w:r>
      <w:r>
        <w:rPr>
          <w:color w:val="231F20"/>
          <w:spacing w:val="-2"/>
        </w:rPr>
        <w:t xml:space="preserve"> </w:t>
      </w:r>
      <w:r>
        <w:rPr>
          <w:color w:val="231F20"/>
        </w:rPr>
        <w:t>Field</w:t>
      </w:r>
      <w:r>
        <w:rPr>
          <w:color w:val="231F20"/>
          <w:spacing w:val="-3"/>
        </w:rPr>
        <w:t xml:space="preserve"> </w:t>
      </w:r>
      <w:r>
        <w:rPr>
          <w:color w:val="231F20"/>
        </w:rPr>
        <w:t>Management</w:t>
      </w:r>
      <w:r>
        <w:rPr>
          <w:color w:val="231F20"/>
          <w:spacing w:val="-2"/>
        </w:rPr>
        <w:t xml:space="preserve"> </w:t>
      </w:r>
      <w:r>
        <w:rPr>
          <w:color w:val="231F20"/>
        </w:rPr>
        <w:t>Program.</w:t>
      </w:r>
      <w:r>
        <w:rPr>
          <w:color w:val="231F20"/>
          <w:spacing w:val="-3"/>
        </w:rPr>
        <w:t xml:space="preserve"> </w:t>
      </w:r>
      <w:r>
        <w:rPr>
          <w:color w:val="231F20"/>
        </w:rPr>
        <w:t>This</w:t>
      </w:r>
      <w:r>
        <w:rPr>
          <w:color w:val="231F20"/>
          <w:spacing w:val="-3"/>
        </w:rPr>
        <w:t xml:space="preserve"> </w:t>
      </w:r>
      <w:r>
        <w:rPr>
          <w:color w:val="231F20"/>
          <w:spacing w:val="-7"/>
        </w:rPr>
        <w:t xml:space="preserve">is </w:t>
      </w:r>
      <w:r>
        <w:rPr>
          <w:color w:val="231F20"/>
        </w:rPr>
        <w:t>the largest expansion of the program sin</w:t>
      </w:r>
      <w:r>
        <w:rPr>
          <w:color w:val="231F20"/>
        </w:rPr>
        <w:t xml:space="preserve">ce its inception in 1979. </w:t>
      </w:r>
      <w:r>
        <w:rPr>
          <w:color w:val="231F20"/>
          <w:spacing w:val="-3"/>
        </w:rPr>
        <w:t xml:space="preserve">It </w:t>
      </w:r>
      <w:r>
        <w:rPr>
          <w:color w:val="231F20"/>
        </w:rPr>
        <w:t xml:space="preserve">is enabling an increased focus on compliance, island and Reef restoration activities, incident response, collaboration with Aboriginal and </w:t>
      </w:r>
      <w:r>
        <w:rPr>
          <w:color w:val="231F20"/>
          <w:spacing w:val="-5"/>
        </w:rPr>
        <w:t xml:space="preserve">Torres </w:t>
      </w:r>
      <w:r>
        <w:rPr>
          <w:color w:val="231F20"/>
        </w:rPr>
        <w:t xml:space="preserve">Strait Islander people to deliver field activities, and engagement with Reef and </w:t>
      </w:r>
      <w:r>
        <w:rPr>
          <w:color w:val="231F20"/>
        </w:rPr>
        <w:t>island</w:t>
      </w:r>
      <w:r>
        <w:rPr>
          <w:color w:val="231F20"/>
          <w:spacing w:val="-2"/>
        </w:rPr>
        <w:t xml:space="preserve"> </w:t>
      </w:r>
      <w:r>
        <w:rPr>
          <w:color w:val="231F20"/>
        </w:rPr>
        <w:t>users.</w:t>
      </w:r>
    </w:p>
    <w:p w:rsidR="00D1511D" w:rsidRDefault="003F0CB3">
      <w:pPr>
        <w:pStyle w:val="BodyText"/>
        <w:spacing w:before="3"/>
        <w:rPr>
          <w:sz w:val="12"/>
        </w:rPr>
      </w:pPr>
      <w:r>
        <w:pict>
          <v:group id="_x0000_s1265" alt="" style="position:absolute;margin-left:84.7pt;margin-top:9.3pt;width:439.7pt;height:507.45pt;z-index:-251637760;mso-wrap-distance-left:0;mso-wrap-distance-right:0;mso-position-horizontal-relative:page" coordorigin="1694,186" coordsize="8794,10149">
            <v:rect id="_x0000_s1266" alt="" style="position:absolute;left:1694;top:186;width:8794;height:10149" fillcolor="#d2e3de" stroked="f"/>
            <v:shape id="_x0000_s1267" type="#_x0000_t75" alt="" style="position:absolute;left:1998;top:3261;width:8113;height:6200">
              <v:imagedata r:id="rId51" o:title=""/>
            </v:shape>
            <v:shape id="_x0000_s1268" type="#_x0000_t202" alt="" style="position:absolute;left:1694;top:186;width:8794;height:10149;mso-wrap-style:square;v-text-anchor:top" filled="f" stroked="f">
              <v:textbox inset="0,0,0,0">
                <w:txbxContent>
                  <w:p w:rsidR="00D1511D" w:rsidRDefault="003F0CB3">
                    <w:pPr>
                      <w:spacing w:before="166"/>
                      <w:ind w:left="289"/>
                      <w:rPr>
                        <w:rFonts w:ascii="Myriad Pro" w:hAnsi="Myriad Pro"/>
                        <w:sz w:val="28"/>
                      </w:rPr>
                    </w:pPr>
                    <w:r>
                      <w:rPr>
                        <w:rFonts w:ascii="Myriad Pro" w:hAnsi="Myriad Pro"/>
                        <w:color w:val="005695"/>
                        <w:sz w:val="28"/>
                      </w:rPr>
                      <w:t>Joint Field Management Program - Prime Minister’s Gold Award</w:t>
                    </w:r>
                  </w:p>
                  <w:p w:rsidR="00D1511D" w:rsidRDefault="003F0CB3">
                    <w:pPr>
                      <w:spacing w:before="195" w:line="280" w:lineRule="auto"/>
                      <w:ind w:left="289"/>
                      <w:rPr>
                        <w:sz w:val="20"/>
                      </w:rPr>
                    </w:pPr>
                    <w:r>
                      <w:rPr>
                        <w:color w:val="231F20"/>
                        <w:sz w:val="20"/>
                      </w:rPr>
                      <w:t>On 13 November 2019, the Marine Park Authority and the Queensland Department of Environment and Science collectively won the Prime Minister’s Gold Award for Excellence in Public Sector Management.</w:t>
                    </w:r>
                  </w:p>
                  <w:p w:rsidR="00D1511D" w:rsidRDefault="003F0CB3">
                    <w:pPr>
                      <w:spacing w:line="280" w:lineRule="auto"/>
                      <w:ind w:left="289" w:right="345"/>
                      <w:rPr>
                        <w:sz w:val="20"/>
                      </w:rPr>
                    </w:pPr>
                    <w:r>
                      <w:rPr>
                        <w:color w:val="231F20"/>
                        <w:sz w:val="20"/>
                      </w:rPr>
                      <w:t xml:space="preserve">The award </w:t>
                    </w:r>
                    <w:proofErr w:type="spellStart"/>
                    <w:r>
                      <w:rPr>
                        <w:color w:val="231F20"/>
                        <w:sz w:val="20"/>
                      </w:rPr>
                      <w:t>recognised</w:t>
                    </w:r>
                    <w:proofErr w:type="spellEnd"/>
                    <w:r>
                      <w:rPr>
                        <w:color w:val="231F20"/>
                        <w:sz w:val="20"/>
                      </w:rPr>
                      <w:t xml:space="preserve"> </w:t>
                    </w:r>
                    <w:r>
                      <w:rPr>
                        <w:color w:val="231F20"/>
                        <w:spacing w:val="-11"/>
                        <w:sz w:val="20"/>
                      </w:rPr>
                      <w:t xml:space="preserve">‘A </w:t>
                    </w:r>
                    <w:r>
                      <w:rPr>
                        <w:color w:val="231F20"/>
                        <w:spacing w:val="-3"/>
                        <w:sz w:val="20"/>
                      </w:rPr>
                      <w:t xml:space="preserve">Transformed </w:t>
                    </w:r>
                    <w:r>
                      <w:rPr>
                        <w:color w:val="231F20"/>
                        <w:sz w:val="20"/>
                      </w:rPr>
                      <w:t xml:space="preserve">Great Barrier Reef Joint Field Management Program – </w:t>
                    </w:r>
                    <w:r>
                      <w:rPr>
                        <w:color w:val="231F20"/>
                        <w:spacing w:val="-3"/>
                        <w:sz w:val="20"/>
                      </w:rPr>
                      <w:t xml:space="preserve">Meeting </w:t>
                    </w:r>
                    <w:r>
                      <w:rPr>
                        <w:color w:val="231F20"/>
                        <w:sz w:val="20"/>
                      </w:rPr>
                      <w:t>21st Century Challenges’. The accolade comes following a transformative period in Reef and island</w:t>
                    </w:r>
                  </w:p>
                  <w:p w:rsidR="00D1511D" w:rsidRDefault="003F0CB3">
                    <w:pPr>
                      <w:spacing w:line="280" w:lineRule="auto"/>
                      <w:ind w:left="289" w:right="203"/>
                      <w:rPr>
                        <w:sz w:val="20"/>
                      </w:rPr>
                    </w:pPr>
                    <w:r>
                      <w:rPr>
                        <w:color w:val="231F20"/>
                        <w:sz w:val="20"/>
                      </w:rPr>
                      <w:t xml:space="preserve">management, where the focus has been on striving for excellence and </w:t>
                    </w:r>
                    <w:proofErr w:type="spellStart"/>
                    <w:r>
                      <w:rPr>
                        <w:color w:val="231F20"/>
                        <w:sz w:val="20"/>
                      </w:rPr>
                      <w:t>modernising</w:t>
                    </w:r>
                    <w:proofErr w:type="spellEnd"/>
                    <w:r>
                      <w:rPr>
                        <w:color w:val="231F20"/>
                        <w:sz w:val="20"/>
                      </w:rPr>
                      <w:t xml:space="preserve"> the approach to ta</w:t>
                    </w:r>
                    <w:r>
                      <w:rPr>
                        <w:color w:val="231F20"/>
                        <w:sz w:val="20"/>
                      </w:rPr>
                      <w:t xml:space="preserve">ckling unprecedented threats to the Great Barrier Reef World Heritage Area. The award </w:t>
                    </w:r>
                    <w:proofErr w:type="spellStart"/>
                    <w:r>
                      <w:rPr>
                        <w:color w:val="231F20"/>
                        <w:sz w:val="20"/>
                      </w:rPr>
                      <w:t>recognised</w:t>
                    </w:r>
                    <w:proofErr w:type="spellEnd"/>
                    <w:r>
                      <w:rPr>
                        <w:color w:val="231F20"/>
                        <w:sz w:val="20"/>
                      </w:rPr>
                      <w:t xml:space="preserve"> the program’s cross-jurisdictional collaboration, integrated stakeholder engagement and planning in a complex and sensitive multi-stakeholder context.</w:t>
                    </w:r>
                  </w:p>
                  <w:p w:rsidR="00D1511D" w:rsidRDefault="00D1511D">
                    <w:pPr>
                      <w:rPr>
                        <w:sz w:val="24"/>
                      </w:rPr>
                    </w:pPr>
                  </w:p>
                  <w:p w:rsidR="00D1511D" w:rsidRDefault="00D1511D">
                    <w:pPr>
                      <w:rPr>
                        <w:sz w:val="24"/>
                      </w:rPr>
                    </w:pPr>
                  </w:p>
                  <w:p w:rsidR="00D1511D" w:rsidRDefault="00D1511D">
                    <w:pPr>
                      <w:rPr>
                        <w:sz w:val="24"/>
                      </w:rPr>
                    </w:pPr>
                  </w:p>
                  <w:p w:rsidR="00D1511D" w:rsidRDefault="00D1511D">
                    <w:pPr>
                      <w:rPr>
                        <w:sz w:val="24"/>
                      </w:rPr>
                    </w:pPr>
                  </w:p>
                  <w:p w:rsidR="00D1511D" w:rsidRDefault="00D1511D">
                    <w:pPr>
                      <w:rPr>
                        <w:sz w:val="24"/>
                      </w:rPr>
                    </w:pPr>
                  </w:p>
                  <w:p w:rsidR="00D1511D" w:rsidRDefault="00D1511D">
                    <w:pPr>
                      <w:rPr>
                        <w:sz w:val="24"/>
                      </w:rPr>
                    </w:pPr>
                  </w:p>
                  <w:p w:rsidR="00D1511D" w:rsidRDefault="00D1511D">
                    <w:pPr>
                      <w:rPr>
                        <w:sz w:val="24"/>
                      </w:rPr>
                    </w:pPr>
                  </w:p>
                  <w:p w:rsidR="00D1511D" w:rsidRDefault="00D1511D">
                    <w:pPr>
                      <w:rPr>
                        <w:sz w:val="24"/>
                      </w:rPr>
                    </w:pPr>
                  </w:p>
                  <w:p w:rsidR="00D1511D" w:rsidRDefault="00D1511D">
                    <w:pPr>
                      <w:rPr>
                        <w:sz w:val="24"/>
                      </w:rPr>
                    </w:pPr>
                  </w:p>
                  <w:p w:rsidR="00D1511D" w:rsidRDefault="00D1511D">
                    <w:pPr>
                      <w:rPr>
                        <w:sz w:val="24"/>
                      </w:rPr>
                    </w:pPr>
                  </w:p>
                  <w:p w:rsidR="00D1511D" w:rsidRDefault="00D1511D">
                    <w:pPr>
                      <w:rPr>
                        <w:sz w:val="24"/>
                      </w:rPr>
                    </w:pPr>
                  </w:p>
                  <w:p w:rsidR="00D1511D" w:rsidRDefault="00D1511D">
                    <w:pPr>
                      <w:rPr>
                        <w:sz w:val="24"/>
                      </w:rPr>
                    </w:pPr>
                  </w:p>
                  <w:p w:rsidR="00D1511D" w:rsidRDefault="00D1511D">
                    <w:pPr>
                      <w:rPr>
                        <w:sz w:val="24"/>
                      </w:rPr>
                    </w:pPr>
                  </w:p>
                  <w:p w:rsidR="00D1511D" w:rsidRDefault="00D1511D">
                    <w:pPr>
                      <w:rPr>
                        <w:sz w:val="24"/>
                      </w:rPr>
                    </w:pPr>
                  </w:p>
                  <w:p w:rsidR="00D1511D" w:rsidRDefault="00D1511D">
                    <w:pPr>
                      <w:rPr>
                        <w:sz w:val="24"/>
                      </w:rPr>
                    </w:pPr>
                  </w:p>
                  <w:p w:rsidR="00D1511D" w:rsidRDefault="00D1511D">
                    <w:pPr>
                      <w:rPr>
                        <w:sz w:val="24"/>
                      </w:rPr>
                    </w:pPr>
                  </w:p>
                  <w:p w:rsidR="00D1511D" w:rsidRDefault="00D1511D">
                    <w:pPr>
                      <w:rPr>
                        <w:sz w:val="24"/>
                      </w:rPr>
                    </w:pPr>
                  </w:p>
                  <w:p w:rsidR="00D1511D" w:rsidRDefault="00D1511D">
                    <w:pPr>
                      <w:rPr>
                        <w:sz w:val="24"/>
                      </w:rPr>
                    </w:pPr>
                  </w:p>
                  <w:p w:rsidR="00D1511D" w:rsidRDefault="00D1511D">
                    <w:pPr>
                      <w:rPr>
                        <w:sz w:val="24"/>
                      </w:rPr>
                    </w:pPr>
                  </w:p>
                  <w:p w:rsidR="00D1511D" w:rsidRDefault="00D1511D">
                    <w:pPr>
                      <w:rPr>
                        <w:sz w:val="24"/>
                      </w:rPr>
                    </w:pPr>
                  </w:p>
                  <w:p w:rsidR="00D1511D" w:rsidRDefault="00D1511D">
                    <w:pPr>
                      <w:rPr>
                        <w:sz w:val="24"/>
                      </w:rPr>
                    </w:pPr>
                  </w:p>
                  <w:p w:rsidR="00D1511D" w:rsidRDefault="00D1511D">
                    <w:pPr>
                      <w:rPr>
                        <w:sz w:val="24"/>
                      </w:rPr>
                    </w:pPr>
                  </w:p>
                  <w:p w:rsidR="00D1511D" w:rsidRDefault="003F0CB3">
                    <w:pPr>
                      <w:spacing w:before="156" w:line="300" w:lineRule="auto"/>
                      <w:ind w:left="289" w:right="345"/>
                      <w:rPr>
                        <w:i/>
                        <w:sz w:val="16"/>
                      </w:rPr>
                    </w:pPr>
                    <w:r>
                      <w:rPr>
                        <w:i/>
                        <w:color w:val="231F20"/>
                        <w:sz w:val="16"/>
                      </w:rPr>
                      <w:t>Gold Award Winners: Damian Head, Jackie Chappell and Simon Banks from the QLD Department of Environment and Science and the Great Barrier Reef Marine Park Authority © 2019 Institute of Public Administration Australia (ACT) Limited.</w:t>
                    </w:r>
                  </w:p>
                </w:txbxContent>
              </v:textbox>
            </v:shape>
            <w10:wrap type="topAndBottom" anchorx="page"/>
          </v:group>
        </w:pict>
      </w:r>
    </w:p>
    <w:p w:rsidR="00D1511D" w:rsidRDefault="00D1511D">
      <w:pPr>
        <w:pStyle w:val="BodyText"/>
        <w:spacing w:before="7"/>
        <w:rPr>
          <w:sz w:val="21"/>
        </w:rPr>
      </w:pPr>
    </w:p>
    <w:p w:rsidR="00D1511D" w:rsidRDefault="003F0CB3">
      <w:pPr>
        <w:pStyle w:val="Heading3"/>
        <w:numPr>
          <w:ilvl w:val="2"/>
          <w:numId w:val="15"/>
        </w:numPr>
        <w:tabs>
          <w:tab w:val="left" w:pos="3140"/>
          <w:tab w:val="left" w:pos="3141"/>
        </w:tabs>
        <w:spacing w:before="101"/>
        <w:ind w:left="3140" w:hanging="1157"/>
      </w:pPr>
      <w:r>
        <w:rPr>
          <w:color w:val="005695"/>
          <w:spacing w:val="-5"/>
        </w:rPr>
        <w:t>Water</w:t>
      </w:r>
      <w:r>
        <w:rPr>
          <w:color w:val="005695"/>
          <w:spacing w:val="-10"/>
        </w:rPr>
        <w:t xml:space="preserve"> </w:t>
      </w:r>
      <w:r>
        <w:rPr>
          <w:color w:val="005695"/>
        </w:rPr>
        <w:t>quality</w:t>
      </w:r>
    </w:p>
    <w:p w:rsidR="00D1511D" w:rsidRDefault="003F0CB3">
      <w:pPr>
        <w:pStyle w:val="BodyText"/>
        <w:spacing w:before="195" w:line="280" w:lineRule="auto"/>
        <w:ind w:left="1700" w:right="1698"/>
      </w:pPr>
      <w:r>
        <w:rPr>
          <w:color w:val="231F20"/>
        </w:rPr>
        <w:t>The Ree</w:t>
      </w:r>
      <w:r>
        <w:rPr>
          <w:color w:val="231F20"/>
        </w:rPr>
        <w:t xml:space="preserve">f’s biodiversity, its networks of habitats and range of species are an important part of its OUV and are dependent on the quality of the water within and around them. Poor water quality, influenced by land-based run-off, is </w:t>
      </w:r>
      <w:proofErr w:type="spellStart"/>
      <w:r>
        <w:rPr>
          <w:color w:val="231F20"/>
        </w:rPr>
        <w:t>recognised</w:t>
      </w:r>
      <w:proofErr w:type="spellEnd"/>
      <w:r>
        <w:rPr>
          <w:color w:val="231F20"/>
        </w:rPr>
        <w:t xml:space="preserve"> as one of the most si</w:t>
      </w:r>
      <w:r>
        <w:rPr>
          <w:color w:val="231F20"/>
        </w:rPr>
        <w:t>gnificant threats to the long-term health and resilience of the Reef,</w:t>
      </w:r>
    </w:p>
    <w:p w:rsidR="00D1511D" w:rsidRDefault="00D1511D">
      <w:pPr>
        <w:pStyle w:val="BodyText"/>
      </w:pPr>
    </w:p>
    <w:p w:rsidR="00D1511D" w:rsidRDefault="00D1511D">
      <w:pPr>
        <w:pStyle w:val="BodyText"/>
      </w:pPr>
    </w:p>
    <w:p w:rsidR="00D1511D" w:rsidRDefault="00D1511D">
      <w:pPr>
        <w:pStyle w:val="BodyText"/>
        <w:spacing w:before="11"/>
        <w:rPr>
          <w:sz w:val="18"/>
        </w:rPr>
      </w:pPr>
    </w:p>
    <w:p w:rsidR="00D1511D" w:rsidRDefault="003F0CB3">
      <w:pPr>
        <w:ind w:left="1417"/>
        <w:rPr>
          <w:rFonts w:ascii="Myriad Pro"/>
          <w:sz w:val="16"/>
        </w:rPr>
      </w:pPr>
      <w:r>
        <w:rPr>
          <w:rFonts w:ascii="Myriad Pro"/>
          <w:color w:val="231F20"/>
          <w:sz w:val="16"/>
        </w:rPr>
        <w:t xml:space="preserve">24 / </w:t>
      </w:r>
      <w:r>
        <w:rPr>
          <w:rFonts w:ascii="Myriad Pro"/>
          <w:color w:val="005695"/>
          <w:sz w:val="16"/>
        </w:rPr>
        <w:t xml:space="preserve">State Party Report on the state of conservation of the </w:t>
      </w:r>
      <w:r>
        <w:rPr>
          <w:rFonts w:ascii="Myriad Pro"/>
          <w:b/>
          <w:color w:val="005695"/>
          <w:sz w:val="16"/>
        </w:rPr>
        <w:t xml:space="preserve">Great Barrier Reef World Heritage Area (Australia) </w:t>
      </w:r>
      <w:r>
        <w:rPr>
          <w:rFonts w:ascii="Myriad Pro"/>
          <w:color w:val="005695"/>
          <w:sz w:val="16"/>
        </w:rPr>
        <w:t>2019</w:t>
      </w:r>
    </w:p>
    <w:p w:rsidR="00D1511D" w:rsidRDefault="00D1511D">
      <w:pPr>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8"/>
        <w:rPr>
          <w:rFonts w:ascii="Myriad Pro"/>
        </w:rPr>
      </w:pPr>
    </w:p>
    <w:p w:rsidR="00D1511D" w:rsidRDefault="003F0CB3">
      <w:pPr>
        <w:pStyle w:val="BodyText"/>
        <w:spacing w:before="98" w:line="280" w:lineRule="auto"/>
        <w:ind w:left="1700" w:right="1585"/>
      </w:pPr>
      <w:r>
        <w:rPr>
          <w:color w:val="231F20"/>
        </w:rPr>
        <w:t xml:space="preserve">which is why the majority of </w:t>
      </w:r>
      <w:hyperlink r:id="rId52">
        <w:r>
          <w:rPr>
            <w:color w:val="1B5BAA"/>
            <w:u w:val="single" w:color="1B5BAA"/>
          </w:rPr>
          <w:t>Australian and Queensland government investment</w:t>
        </w:r>
        <w:r>
          <w:rPr>
            <w:color w:val="1B5BAA"/>
          </w:rPr>
          <w:t xml:space="preserve"> </w:t>
        </w:r>
      </w:hyperlink>
      <w:r>
        <w:rPr>
          <w:color w:val="231F20"/>
        </w:rPr>
        <w:t>in Reef 2050 Plan actions is focused on water quality.</w:t>
      </w:r>
    </w:p>
    <w:p w:rsidR="00D1511D" w:rsidRDefault="003F0CB3">
      <w:pPr>
        <w:pStyle w:val="BodyText"/>
        <w:spacing w:before="169" w:line="280" w:lineRule="auto"/>
        <w:ind w:left="1700" w:right="1359"/>
      </w:pPr>
      <w:r>
        <w:rPr>
          <w:color w:val="231F20"/>
        </w:rPr>
        <w:t xml:space="preserve">This investment is guided by the </w:t>
      </w:r>
      <w:r>
        <w:rPr>
          <w:i/>
          <w:color w:val="231F20"/>
        </w:rPr>
        <w:t xml:space="preserve">Reef 2050 Water Quality Improvement Plan 2017-2022 </w:t>
      </w:r>
      <w:r>
        <w:rPr>
          <w:color w:val="231F20"/>
        </w:rPr>
        <w:t xml:space="preserve">(see below). The Australian and Queensland governments have committed more than $600 million to projects to reduce pollutants and sediment flowing into the Reef, remediate </w:t>
      </w:r>
      <w:r>
        <w:rPr>
          <w:color w:val="231F20"/>
        </w:rPr>
        <w:t>eroded gullies and streambanks, and work with landowners to improve their land management practices.</w:t>
      </w:r>
    </w:p>
    <w:p w:rsidR="00D1511D" w:rsidRDefault="003F0CB3">
      <w:pPr>
        <w:pStyle w:val="BodyText"/>
        <w:spacing w:before="167" w:line="280" w:lineRule="auto"/>
        <w:ind w:left="1700" w:right="1506"/>
      </w:pPr>
      <w:r>
        <w:rPr>
          <w:color w:val="231F20"/>
        </w:rPr>
        <w:t xml:space="preserve">Queensland has committed $261 million to the 2017 </w:t>
      </w:r>
      <w:hyperlink r:id="rId53">
        <w:r>
          <w:rPr>
            <w:color w:val="1B5BAA"/>
            <w:u w:val="single" w:color="1B5BAA"/>
          </w:rPr>
          <w:t>Queensland Reef Water Quality Program</w:t>
        </w:r>
      </w:hyperlink>
      <w:r>
        <w:rPr>
          <w:color w:val="231F20"/>
        </w:rPr>
        <w:t>. Over the five years of the program, Queensland is investing in on-ground water quality improvement project</w:t>
      </w:r>
      <w:r>
        <w:rPr>
          <w:color w:val="231F20"/>
        </w:rPr>
        <w:t>s with a strong focus on innovation and working with landholders to reduce the run-off of nutrients, sediment and pesticides into local waterways. Investments are also underway in land restoration, science and research projects and setting industry minimum</w:t>
      </w:r>
      <w:r>
        <w:rPr>
          <w:color w:val="231F20"/>
        </w:rPr>
        <w:t xml:space="preserve"> standards through regulation to limit the risk of polluted run-off.</w:t>
      </w:r>
    </w:p>
    <w:p w:rsidR="00D1511D" w:rsidRDefault="003F0CB3">
      <w:pPr>
        <w:pStyle w:val="BodyText"/>
        <w:spacing w:before="166" w:line="280" w:lineRule="auto"/>
        <w:ind w:left="1700" w:right="1359"/>
      </w:pPr>
      <w:r>
        <w:rPr>
          <w:color w:val="231F20"/>
        </w:rPr>
        <w:t xml:space="preserve">Including $201 million for delivery through the </w:t>
      </w:r>
      <w:hyperlink r:id="rId54">
        <w:r>
          <w:rPr>
            <w:color w:val="1B5BAA"/>
            <w:u w:val="single" w:color="1B5BAA"/>
          </w:rPr>
          <w:t>Reef Trust – Great Barrier Reef Foundation Partnership</w:t>
        </w:r>
      </w:hyperlink>
      <w:r>
        <w:rPr>
          <w:color w:val="231F20"/>
        </w:rPr>
        <w:t>,</w:t>
      </w:r>
      <w:r>
        <w:rPr>
          <w:color w:val="231F20"/>
        </w:rPr>
        <w:t xml:space="preserve"> the Australian Government has committed more than $362 million over this five year period to improving the quality of water entering the Great Barrier Reef World Heritage Area. This investment is helping support land managers change practices to reduce po</w:t>
      </w:r>
      <w:r>
        <w:rPr>
          <w:color w:val="231F20"/>
        </w:rPr>
        <w:t>llutant loads, address sediment loss from legacy issues of land development and past practices and increase the uptake of new technology. It helps governments to monitor and report on progress towards the 2025 water quality targets.</w:t>
      </w:r>
    </w:p>
    <w:p w:rsidR="00D1511D" w:rsidRDefault="00D1511D">
      <w:pPr>
        <w:pStyle w:val="BodyText"/>
        <w:spacing w:before="11"/>
        <w:rPr>
          <w:sz w:val="22"/>
        </w:rPr>
      </w:pPr>
    </w:p>
    <w:p w:rsidR="00D1511D" w:rsidRDefault="003F0CB3">
      <w:pPr>
        <w:ind w:left="1700"/>
        <w:rPr>
          <w:rFonts w:ascii="Myriad Pro"/>
          <w:i/>
          <w:sz w:val="24"/>
        </w:rPr>
      </w:pPr>
      <w:r>
        <w:rPr>
          <w:rFonts w:ascii="Myriad Pro"/>
          <w:i/>
          <w:color w:val="58595B"/>
          <w:sz w:val="24"/>
        </w:rPr>
        <w:t xml:space="preserve">Reef </w:t>
      </w:r>
      <w:r>
        <w:rPr>
          <w:rFonts w:ascii="Myriad Pro"/>
          <w:i/>
          <w:color w:val="58595B"/>
          <w:spacing w:val="-5"/>
          <w:sz w:val="24"/>
        </w:rPr>
        <w:t xml:space="preserve">2050 </w:t>
      </w:r>
      <w:r>
        <w:rPr>
          <w:rFonts w:ascii="Myriad Pro"/>
          <w:i/>
          <w:color w:val="58595B"/>
          <w:spacing w:val="-4"/>
          <w:sz w:val="24"/>
        </w:rPr>
        <w:t xml:space="preserve">Water </w:t>
      </w:r>
      <w:r>
        <w:rPr>
          <w:rFonts w:ascii="Myriad Pro"/>
          <w:i/>
          <w:color w:val="58595B"/>
          <w:sz w:val="24"/>
        </w:rPr>
        <w:t>Qualit</w:t>
      </w:r>
      <w:r>
        <w:rPr>
          <w:rFonts w:ascii="Myriad Pro"/>
          <w:i/>
          <w:color w:val="58595B"/>
          <w:sz w:val="24"/>
        </w:rPr>
        <w:t xml:space="preserve">y </w:t>
      </w:r>
      <w:r>
        <w:rPr>
          <w:rFonts w:ascii="Myriad Pro"/>
          <w:i/>
          <w:color w:val="58595B"/>
          <w:spacing w:val="-3"/>
          <w:sz w:val="24"/>
        </w:rPr>
        <w:t>Improvement Plan</w:t>
      </w:r>
      <w:r>
        <w:rPr>
          <w:rFonts w:ascii="Myriad Pro"/>
          <w:i/>
          <w:color w:val="58595B"/>
          <w:spacing w:val="8"/>
          <w:sz w:val="24"/>
        </w:rPr>
        <w:t xml:space="preserve"> </w:t>
      </w:r>
      <w:r>
        <w:rPr>
          <w:rFonts w:ascii="Myriad Pro"/>
          <w:i/>
          <w:color w:val="58595B"/>
          <w:spacing w:val="-10"/>
          <w:sz w:val="24"/>
        </w:rPr>
        <w:t>2017-2022</w:t>
      </w:r>
    </w:p>
    <w:p w:rsidR="00D1511D" w:rsidRDefault="003F0CB3">
      <w:pPr>
        <w:pStyle w:val="BodyText"/>
        <w:spacing w:before="205" w:line="280" w:lineRule="auto"/>
        <w:ind w:left="1700" w:right="1536"/>
      </w:pPr>
      <w:r>
        <w:rPr>
          <w:color w:val="231F20"/>
        </w:rPr>
        <w:t xml:space="preserve">Better management of water quality flowing to the Reef commenced with the release of the </w:t>
      </w:r>
      <w:r>
        <w:rPr>
          <w:i/>
          <w:color w:val="231F20"/>
        </w:rPr>
        <w:t xml:space="preserve">Reef </w:t>
      </w:r>
      <w:r>
        <w:rPr>
          <w:i/>
          <w:color w:val="231F20"/>
          <w:spacing w:val="-4"/>
        </w:rPr>
        <w:t xml:space="preserve">Water </w:t>
      </w:r>
      <w:r>
        <w:rPr>
          <w:i/>
          <w:color w:val="231F20"/>
        </w:rPr>
        <w:t>Quality Protection Plan in 2003</w:t>
      </w:r>
      <w:r>
        <w:rPr>
          <w:color w:val="231F20"/>
        </w:rPr>
        <w:t xml:space="preserve">, with subsequent iterations in 2009 and 2013. When the Reef 2050 Plan was released </w:t>
      </w:r>
      <w:r>
        <w:rPr>
          <w:color w:val="231F20"/>
          <w:spacing w:val="-7"/>
        </w:rPr>
        <w:t xml:space="preserve">in </w:t>
      </w:r>
      <w:r>
        <w:rPr>
          <w:color w:val="231F20"/>
        </w:rPr>
        <w:t>2015, wat</w:t>
      </w:r>
      <w:r>
        <w:rPr>
          <w:color w:val="231F20"/>
        </w:rPr>
        <w:t xml:space="preserve">er quality was one of seven themes for managing the Reef. The </w:t>
      </w:r>
      <w:hyperlink r:id="rId55">
        <w:r>
          <w:rPr>
            <w:i/>
            <w:color w:val="1B5BAA"/>
            <w:u w:val="single" w:color="1B5BAA"/>
          </w:rPr>
          <w:t xml:space="preserve">Reef 2050 </w:t>
        </w:r>
        <w:r>
          <w:rPr>
            <w:i/>
            <w:color w:val="1B5BAA"/>
            <w:spacing w:val="-4"/>
            <w:u w:val="single" w:color="1B5BAA"/>
          </w:rPr>
          <w:t xml:space="preserve">Water </w:t>
        </w:r>
        <w:r>
          <w:rPr>
            <w:i/>
            <w:color w:val="1B5BAA"/>
            <w:u w:val="single" w:color="1B5BAA"/>
          </w:rPr>
          <w:t>Quality Improvement</w:t>
        </w:r>
      </w:hyperlink>
      <w:r>
        <w:rPr>
          <w:i/>
          <w:color w:val="1B5BAA"/>
        </w:rPr>
        <w:t xml:space="preserve"> </w:t>
      </w:r>
      <w:hyperlink r:id="rId56">
        <w:r>
          <w:rPr>
            <w:i/>
            <w:color w:val="1B5BAA"/>
            <w:u w:val="single" w:color="1B5BAA"/>
          </w:rPr>
          <w:t>Plan 2017-2022</w:t>
        </w:r>
      </w:hyperlink>
      <w:r>
        <w:rPr>
          <w:i/>
          <w:color w:val="1B5BAA"/>
        </w:rPr>
        <w:t xml:space="preserve"> </w:t>
      </w:r>
      <w:r>
        <w:rPr>
          <w:color w:val="231F20"/>
        </w:rPr>
        <w:t>(Reef 2050 WQIP) is nested under the water quality theme of the Reef 2050 Plan. The desired outcome of the Reef 2050 WQIP is to ensure that ‘good water qual</w:t>
      </w:r>
      <w:r>
        <w:rPr>
          <w:color w:val="231F20"/>
        </w:rPr>
        <w:t xml:space="preserve">ity sustains the OUV of the Reef, builds resilience, improves ecosystem health and </w:t>
      </w:r>
      <w:proofErr w:type="gramStart"/>
      <w:r>
        <w:rPr>
          <w:color w:val="231F20"/>
        </w:rPr>
        <w:t>benefits</w:t>
      </w:r>
      <w:r>
        <w:rPr>
          <w:color w:val="231F20"/>
          <w:spacing w:val="-2"/>
        </w:rPr>
        <w:t xml:space="preserve"> </w:t>
      </w:r>
      <w:r>
        <w:rPr>
          <w:color w:val="231F20"/>
        </w:rPr>
        <w:t>communities’</w:t>
      </w:r>
      <w:proofErr w:type="gramEnd"/>
      <w:r>
        <w:rPr>
          <w:color w:val="231F20"/>
        </w:rPr>
        <w:t>.</w:t>
      </w:r>
    </w:p>
    <w:p w:rsidR="00D1511D" w:rsidRDefault="003F0CB3">
      <w:pPr>
        <w:pStyle w:val="BodyText"/>
        <w:spacing w:before="166" w:line="280" w:lineRule="auto"/>
        <w:ind w:left="1700" w:right="1585"/>
      </w:pPr>
      <w:r>
        <w:rPr>
          <w:color w:val="231F20"/>
        </w:rPr>
        <w:t xml:space="preserve">This revised Reef 2050 WQIP builds on water quality achievements to date, while </w:t>
      </w:r>
      <w:proofErr w:type="spellStart"/>
      <w:r>
        <w:rPr>
          <w:color w:val="231F20"/>
        </w:rPr>
        <w:t>recognising</w:t>
      </w:r>
      <w:proofErr w:type="spellEnd"/>
      <w:r>
        <w:rPr>
          <w:color w:val="231F20"/>
        </w:rPr>
        <w:t xml:space="preserve"> the need to accelerate adoption of improved land and catch</w:t>
      </w:r>
      <w:r>
        <w:rPr>
          <w:color w:val="231F20"/>
        </w:rPr>
        <w:t>ment management. It takes an adaptive management approach, informed by best available science, with regular monitoring of actions to ensure continuous improvement.</w:t>
      </w:r>
    </w:p>
    <w:p w:rsidR="00D1511D" w:rsidRDefault="003F0CB3">
      <w:pPr>
        <w:pStyle w:val="BodyText"/>
        <w:spacing w:line="280" w:lineRule="auto"/>
        <w:ind w:left="1700" w:right="1431"/>
      </w:pPr>
      <w:r>
        <w:rPr>
          <w:color w:val="231F20"/>
        </w:rPr>
        <w:t>The revised plan builds on the work many landholders are doing already to reduce pollution r</w:t>
      </w:r>
      <w:r>
        <w:rPr>
          <w:color w:val="231F20"/>
        </w:rPr>
        <w:t>un-off into local waterways, making a clear, long-term and tangible difference to Reef water quality and the World Heritage Area’s overall health. The Reef 2050 WQIP:</w:t>
      </w:r>
    </w:p>
    <w:p w:rsidR="00D1511D" w:rsidRDefault="003F0CB3">
      <w:pPr>
        <w:pStyle w:val="ListParagraph"/>
        <w:numPr>
          <w:ilvl w:val="0"/>
          <w:numId w:val="12"/>
        </w:numPr>
        <w:tabs>
          <w:tab w:val="left" w:pos="2060"/>
          <w:tab w:val="left" w:pos="2061"/>
        </w:tabs>
        <w:spacing w:before="165" w:line="280" w:lineRule="auto"/>
        <w:ind w:right="1983"/>
        <w:rPr>
          <w:sz w:val="20"/>
        </w:rPr>
      </w:pPr>
      <w:r>
        <w:rPr>
          <w:color w:val="231F20"/>
          <w:sz w:val="20"/>
        </w:rPr>
        <w:t>includes all sources of land-based water pollution (agriculture, industry, urban and publ</w:t>
      </w:r>
      <w:r>
        <w:rPr>
          <w:color w:val="231F20"/>
          <w:sz w:val="20"/>
        </w:rPr>
        <w:t xml:space="preserve">ic lands) </w:t>
      </w:r>
      <w:r>
        <w:rPr>
          <w:color w:val="231F20"/>
          <w:spacing w:val="-3"/>
          <w:sz w:val="20"/>
        </w:rPr>
        <w:t xml:space="preserve">while </w:t>
      </w:r>
      <w:proofErr w:type="spellStart"/>
      <w:r>
        <w:rPr>
          <w:color w:val="231F20"/>
          <w:sz w:val="20"/>
        </w:rPr>
        <w:t>recognising</w:t>
      </w:r>
      <w:proofErr w:type="spellEnd"/>
      <w:r>
        <w:rPr>
          <w:color w:val="231F20"/>
          <w:sz w:val="20"/>
        </w:rPr>
        <w:t xml:space="preserve"> that most water pollution still arises from</w:t>
      </w:r>
      <w:r>
        <w:rPr>
          <w:color w:val="231F20"/>
          <w:spacing w:val="-1"/>
          <w:sz w:val="20"/>
        </w:rPr>
        <w:t xml:space="preserve"> </w:t>
      </w:r>
      <w:r>
        <w:rPr>
          <w:color w:val="231F20"/>
          <w:sz w:val="20"/>
        </w:rPr>
        <w:t>agriculture</w:t>
      </w:r>
    </w:p>
    <w:p w:rsidR="00D1511D" w:rsidRDefault="003F0CB3">
      <w:pPr>
        <w:pStyle w:val="ListParagraph"/>
        <w:numPr>
          <w:ilvl w:val="0"/>
          <w:numId w:val="12"/>
        </w:numPr>
        <w:tabs>
          <w:tab w:val="left" w:pos="2060"/>
          <w:tab w:val="left" w:pos="2061"/>
        </w:tabs>
        <w:spacing w:before="55" w:line="280" w:lineRule="auto"/>
        <w:ind w:right="1531"/>
        <w:rPr>
          <w:sz w:val="20"/>
        </w:rPr>
      </w:pPr>
      <w:r>
        <w:rPr>
          <w:color w:val="231F20"/>
          <w:sz w:val="20"/>
        </w:rPr>
        <w:t xml:space="preserve">incorporates human dimensions of change: our social, cultural and economic values and why we take </w:t>
      </w:r>
      <w:r>
        <w:rPr>
          <w:color w:val="231F20"/>
          <w:spacing w:val="-3"/>
          <w:sz w:val="20"/>
        </w:rPr>
        <w:t xml:space="preserve">action </w:t>
      </w:r>
      <w:r>
        <w:rPr>
          <w:color w:val="231F20"/>
          <w:sz w:val="20"/>
        </w:rPr>
        <w:t xml:space="preserve">to improve water </w:t>
      </w:r>
      <w:r>
        <w:rPr>
          <w:color w:val="231F20"/>
          <w:spacing w:val="-3"/>
          <w:sz w:val="20"/>
        </w:rPr>
        <w:t>quality,</w:t>
      </w:r>
      <w:r>
        <w:rPr>
          <w:color w:val="231F20"/>
          <w:spacing w:val="-1"/>
          <w:sz w:val="20"/>
        </w:rPr>
        <w:t xml:space="preserve"> </w:t>
      </w:r>
      <w:r>
        <w:rPr>
          <w:color w:val="231F20"/>
          <w:sz w:val="20"/>
        </w:rPr>
        <w:t>and</w:t>
      </w:r>
    </w:p>
    <w:p w:rsidR="00D1511D" w:rsidRDefault="003F0CB3">
      <w:pPr>
        <w:pStyle w:val="ListParagraph"/>
        <w:numPr>
          <w:ilvl w:val="0"/>
          <w:numId w:val="12"/>
        </w:numPr>
        <w:tabs>
          <w:tab w:val="left" w:pos="2060"/>
          <w:tab w:val="left" w:pos="2061"/>
        </w:tabs>
        <w:spacing w:before="55" w:line="280" w:lineRule="auto"/>
        <w:ind w:right="1662"/>
        <w:rPr>
          <w:sz w:val="20"/>
        </w:rPr>
      </w:pPr>
      <w:r>
        <w:rPr>
          <w:color w:val="231F20"/>
          <w:sz w:val="20"/>
        </w:rPr>
        <w:t>sets individual catchment targets for</w:t>
      </w:r>
      <w:r>
        <w:rPr>
          <w:color w:val="231F20"/>
          <w:sz w:val="20"/>
        </w:rPr>
        <w:t xml:space="preserve"> reducing water pollution, enabling action to be targeted to where it </w:t>
      </w:r>
      <w:r>
        <w:rPr>
          <w:color w:val="231F20"/>
          <w:spacing w:val="-8"/>
          <w:sz w:val="20"/>
        </w:rPr>
        <w:t xml:space="preserve">is </w:t>
      </w:r>
      <w:r>
        <w:rPr>
          <w:color w:val="231F20"/>
          <w:sz w:val="20"/>
        </w:rPr>
        <w:t>most needed in all 35 catchments flowing to the</w:t>
      </w:r>
      <w:r>
        <w:rPr>
          <w:color w:val="231F20"/>
          <w:spacing w:val="-2"/>
          <w:sz w:val="20"/>
        </w:rPr>
        <w:t xml:space="preserve"> </w:t>
      </w:r>
      <w:r>
        <w:rPr>
          <w:color w:val="231F20"/>
          <w:sz w:val="20"/>
        </w:rPr>
        <w:t>Reef.</w:t>
      </w:r>
    </w:p>
    <w:p w:rsidR="00D1511D" w:rsidRDefault="003F0CB3">
      <w:pPr>
        <w:pStyle w:val="BodyText"/>
        <w:spacing w:before="169" w:line="280" w:lineRule="auto"/>
        <w:ind w:left="1700" w:right="1613"/>
      </w:pPr>
      <w:r>
        <w:rPr>
          <w:color w:val="231F20"/>
        </w:rPr>
        <w:t xml:space="preserve">Measures to address declining water quality are underpinned by an extensive body of science brought together in the </w:t>
      </w:r>
      <w:r>
        <w:rPr>
          <w:i/>
          <w:color w:val="231F20"/>
        </w:rPr>
        <w:t>2017 Scientif</w:t>
      </w:r>
      <w:r>
        <w:rPr>
          <w:i/>
          <w:color w:val="231F20"/>
        </w:rPr>
        <w:t>ic Consensus Statement: Land use impacts on Great Barrier Reef water quality and ecosystem condition</w:t>
      </w:r>
      <w:r>
        <w:rPr>
          <w:color w:val="231F20"/>
        </w:rPr>
        <w:t xml:space="preserve">. The 2017 Scientific Consensus Statement is an authoritative synthesis of Reef water quality science and draws on independent, peer reviewed research from </w:t>
      </w:r>
      <w:r>
        <w:rPr>
          <w:color w:val="231F20"/>
        </w:rPr>
        <w:t>more than 1600 reports. It was prepared by a panel of 48 scientists and government officials from a range of disciplines with expertise in Reef water quality science and management.</w:t>
      </w:r>
    </w:p>
    <w:p w:rsidR="00D1511D" w:rsidRDefault="00D1511D">
      <w:pPr>
        <w:pStyle w:val="BodyText"/>
        <w:rPr>
          <w:sz w:val="24"/>
        </w:rPr>
      </w:pPr>
    </w:p>
    <w:p w:rsidR="00D1511D" w:rsidRDefault="00D1511D">
      <w:pPr>
        <w:pStyle w:val="BodyText"/>
        <w:rPr>
          <w:sz w:val="24"/>
        </w:rPr>
      </w:pPr>
    </w:p>
    <w:p w:rsidR="00D1511D" w:rsidRDefault="00D1511D">
      <w:pPr>
        <w:pStyle w:val="BodyText"/>
        <w:spacing w:before="6"/>
        <w:rPr>
          <w:sz w:val="32"/>
        </w:rPr>
      </w:pPr>
    </w:p>
    <w:p w:rsidR="00D1511D" w:rsidRDefault="003F0CB3">
      <w:pPr>
        <w:ind w:right="1415"/>
        <w:jc w:val="right"/>
        <w:rPr>
          <w:rFonts w:ascii="Myriad Pro"/>
          <w:sz w:val="16"/>
        </w:rPr>
      </w:pPr>
      <w:r>
        <w:rPr>
          <w:rFonts w:ascii="Myriad Pro"/>
          <w:color w:val="231F20"/>
          <w:sz w:val="16"/>
        </w:rPr>
        <w:t>25</w:t>
      </w:r>
    </w:p>
    <w:p w:rsidR="00D1511D" w:rsidRDefault="00D1511D">
      <w:pPr>
        <w:jc w:val="right"/>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8"/>
        <w:rPr>
          <w:rFonts w:ascii="Myriad Pro"/>
        </w:rPr>
      </w:pPr>
    </w:p>
    <w:p w:rsidR="00D1511D" w:rsidRDefault="003F0CB3">
      <w:pPr>
        <w:pStyle w:val="BodyText"/>
        <w:spacing w:before="98" w:line="280" w:lineRule="auto"/>
        <w:ind w:left="1700" w:right="1409"/>
      </w:pPr>
      <w:r>
        <w:rPr>
          <w:color w:val="231F20"/>
        </w:rPr>
        <w:t xml:space="preserve">The most recent progress towards the Reef 2050 WQIP targets is detailed in the Reef Water Quality Report Card 2017 and 2018, which assessed the results of the Reef 2050 WQIP actions reported up to June 2018. Progress against targets is outlined in section </w:t>
      </w:r>
      <w:r>
        <w:rPr>
          <w:color w:val="231F20"/>
        </w:rPr>
        <w:t>4.3 below.</w:t>
      </w:r>
    </w:p>
    <w:p w:rsidR="00D1511D" w:rsidRDefault="003F0CB3">
      <w:pPr>
        <w:pStyle w:val="BodyText"/>
        <w:spacing w:before="168" w:line="280" w:lineRule="auto"/>
        <w:ind w:left="1700" w:right="1585"/>
      </w:pPr>
      <w:r>
        <w:rPr>
          <w:color w:val="231F20"/>
        </w:rPr>
        <w:t xml:space="preserve">The report card outlines results captured through the </w:t>
      </w:r>
      <w:hyperlink r:id="rId57">
        <w:r>
          <w:rPr>
            <w:color w:val="1B5BAA"/>
            <w:u w:val="single" w:color="1B5BAA"/>
          </w:rPr>
          <w:t>Paddock to Reef Integrated Monitoring, Modelling and</w:t>
        </w:r>
      </w:hyperlink>
      <w:r>
        <w:rPr>
          <w:color w:val="1B5BAA"/>
        </w:rPr>
        <w:t xml:space="preserve"> </w:t>
      </w:r>
      <w:hyperlink r:id="rId58">
        <w:r>
          <w:rPr>
            <w:color w:val="1B5BAA"/>
            <w:u w:val="single" w:color="1B5BAA"/>
          </w:rPr>
          <w:t>Reporting Program</w:t>
        </w:r>
      </w:hyperlink>
      <w:r>
        <w:rPr>
          <w:color w:val="231F20"/>
        </w:rPr>
        <w:t>, and details a range of results including levels of sediment reduction and improvements in best practice nutrient management. It shows the progress being made in improving water quality across regions and r</w:t>
      </w:r>
      <w:r>
        <w:rPr>
          <w:color w:val="231F20"/>
        </w:rPr>
        <w:t>iver catchments, sets out progress towards achieving the finer-scale water quality targets for the 35 major river basins that flow into the Reef and provides a clearer view of where actions have been successful.</w:t>
      </w:r>
    </w:p>
    <w:p w:rsidR="00D1511D" w:rsidRDefault="003F0CB3">
      <w:pPr>
        <w:pStyle w:val="BodyText"/>
        <w:spacing w:before="166" w:line="280" w:lineRule="auto"/>
        <w:ind w:left="1700" w:right="1802"/>
      </w:pPr>
      <w:r>
        <w:rPr>
          <w:color w:val="231F20"/>
        </w:rPr>
        <w:t>Further information on the outcomes of the R</w:t>
      </w:r>
      <w:r>
        <w:rPr>
          <w:color w:val="231F20"/>
        </w:rPr>
        <w:t xml:space="preserve">eef 2050 WQIP and the Reef Water Quality Report Cards is available at: </w:t>
      </w:r>
      <w:hyperlink r:id="rId59">
        <w:r>
          <w:rPr>
            <w:color w:val="1B5BAA"/>
            <w:u w:val="single" w:color="1B5BAA"/>
          </w:rPr>
          <w:t>https://www.reefplan.qld.gov.au/tracking-progress/outcomes</w:t>
        </w:r>
      </w:hyperlink>
      <w:r>
        <w:rPr>
          <w:color w:val="231F20"/>
        </w:rPr>
        <w:t>.</w:t>
      </w:r>
    </w:p>
    <w:p w:rsidR="00D1511D" w:rsidRDefault="003F0CB3">
      <w:pPr>
        <w:pStyle w:val="BodyText"/>
        <w:spacing w:before="168" w:line="280" w:lineRule="auto"/>
        <w:ind w:left="1700" w:right="1359"/>
      </w:pPr>
      <w:r>
        <w:pict>
          <v:rect id="_x0000_s1264" alt="" style="position:absolute;left:0;text-align:left;margin-left:84.7pt;margin-top:71.65pt;width:439.7pt;height:377.85pt;z-index:-256988160;mso-wrap-edited:f;mso-width-percent:0;mso-height-percent:0;mso-position-horizontal-relative:page;mso-width-percent:0;mso-height-percent:0" fillcolor="#fecc96" stroked="f">
            <w10:wrap anchorx="page"/>
          </v:rect>
        </w:pict>
      </w:r>
      <w:r>
        <w:rPr>
          <w:color w:val="231F20"/>
        </w:rPr>
        <w:t>Work is also underway on an independent review</w:t>
      </w:r>
      <w:r>
        <w:rPr>
          <w:color w:val="231F20"/>
        </w:rPr>
        <w:t xml:space="preserve"> of Regional Water Quality Improvement Plans to ensure that they reflect the latest available information including alignment with the Reef 2050 WQIP. This review will identify any major gaps and areas for improvement, along with opportunities to strengthe</w:t>
      </w:r>
      <w:r>
        <w:rPr>
          <w:color w:val="231F20"/>
        </w:rPr>
        <w:t>n and simplify the plans so that they are a useful resource for multiple stakeholders. This work will be complete in early 2020.</w:t>
      </w:r>
    </w:p>
    <w:p w:rsidR="00D1511D" w:rsidRDefault="00D1511D">
      <w:pPr>
        <w:pStyle w:val="BodyText"/>
        <w:spacing w:before="5"/>
        <w:rPr>
          <w:sz w:val="29"/>
        </w:rPr>
      </w:pPr>
    </w:p>
    <w:p w:rsidR="00D1511D" w:rsidRDefault="003F0CB3">
      <w:pPr>
        <w:pStyle w:val="Heading3"/>
        <w:ind w:left="1984"/>
      </w:pPr>
      <w:r>
        <w:rPr>
          <w:color w:val="005695"/>
        </w:rPr>
        <w:t>Case study: Regulation to improve water quality from land-based run-off</w:t>
      </w:r>
    </w:p>
    <w:p w:rsidR="00D1511D" w:rsidRDefault="003F0CB3">
      <w:pPr>
        <w:pStyle w:val="BodyText"/>
        <w:spacing w:before="195" w:line="280" w:lineRule="auto"/>
        <w:ind w:left="1984" w:right="1710"/>
      </w:pPr>
      <w:r>
        <w:rPr>
          <w:color w:val="231F20"/>
          <w:spacing w:val="-4"/>
        </w:rPr>
        <w:t xml:space="preserve">Water </w:t>
      </w:r>
      <w:r>
        <w:rPr>
          <w:color w:val="231F20"/>
        </w:rPr>
        <w:t>quality management for the Reef is expected to improve following the approval of new legislation by</w:t>
      </w:r>
      <w:r>
        <w:rPr>
          <w:color w:val="231F20"/>
          <w:spacing w:val="-6"/>
        </w:rPr>
        <w:t xml:space="preserve"> </w:t>
      </w:r>
      <w:r>
        <w:rPr>
          <w:color w:val="231F20"/>
        </w:rPr>
        <w:t>the</w:t>
      </w:r>
      <w:r>
        <w:rPr>
          <w:color w:val="231F20"/>
          <w:spacing w:val="-6"/>
        </w:rPr>
        <w:t xml:space="preserve"> </w:t>
      </w:r>
      <w:r>
        <w:rPr>
          <w:color w:val="231F20"/>
        </w:rPr>
        <w:t>Queensland</w:t>
      </w:r>
      <w:r>
        <w:rPr>
          <w:color w:val="231F20"/>
          <w:spacing w:val="-6"/>
        </w:rPr>
        <w:t xml:space="preserve"> </w:t>
      </w:r>
      <w:r>
        <w:rPr>
          <w:color w:val="231F20"/>
        </w:rPr>
        <w:t>Parliament</w:t>
      </w:r>
      <w:r>
        <w:rPr>
          <w:color w:val="231F20"/>
          <w:spacing w:val="-6"/>
        </w:rPr>
        <w:t xml:space="preserve"> </w:t>
      </w:r>
      <w:r>
        <w:rPr>
          <w:color w:val="231F20"/>
        </w:rPr>
        <w:t>on</w:t>
      </w:r>
      <w:r>
        <w:rPr>
          <w:color w:val="231F20"/>
          <w:spacing w:val="-5"/>
        </w:rPr>
        <w:t xml:space="preserve"> </w:t>
      </w:r>
      <w:r>
        <w:rPr>
          <w:color w:val="231F20"/>
        </w:rPr>
        <w:t>19</w:t>
      </w:r>
      <w:r>
        <w:rPr>
          <w:color w:val="231F20"/>
          <w:spacing w:val="-6"/>
        </w:rPr>
        <w:t xml:space="preserve"> </w:t>
      </w:r>
      <w:r>
        <w:rPr>
          <w:color w:val="231F20"/>
        </w:rPr>
        <w:t>September</w:t>
      </w:r>
      <w:r>
        <w:rPr>
          <w:color w:val="231F20"/>
          <w:spacing w:val="-6"/>
        </w:rPr>
        <w:t xml:space="preserve"> </w:t>
      </w:r>
      <w:r>
        <w:rPr>
          <w:color w:val="231F20"/>
        </w:rPr>
        <w:t>2019.</w:t>
      </w:r>
      <w:r>
        <w:rPr>
          <w:color w:val="231F20"/>
          <w:spacing w:val="-6"/>
        </w:rPr>
        <w:t xml:space="preserve"> </w:t>
      </w:r>
      <w:r>
        <w:rPr>
          <w:color w:val="231F20"/>
        </w:rPr>
        <w:t>The</w:t>
      </w:r>
      <w:r>
        <w:rPr>
          <w:color w:val="231F20"/>
          <w:spacing w:val="-5"/>
        </w:rPr>
        <w:t xml:space="preserve"> </w:t>
      </w:r>
      <w:r>
        <w:rPr>
          <w:color w:val="231F20"/>
        </w:rPr>
        <w:t>legislation</w:t>
      </w:r>
      <w:r>
        <w:rPr>
          <w:color w:val="231F20"/>
          <w:spacing w:val="-6"/>
        </w:rPr>
        <w:t xml:space="preserve"> </w:t>
      </w:r>
      <w:r>
        <w:rPr>
          <w:color w:val="231F20"/>
        </w:rPr>
        <w:t>strengthens</w:t>
      </w:r>
      <w:r>
        <w:rPr>
          <w:color w:val="231F20"/>
          <w:spacing w:val="-6"/>
        </w:rPr>
        <w:t xml:space="preserve"> </w:t>
      </w:r>
      <w:r>
        <w:rPr>
          <w:color w:val="231F20"/>
        </w:rPr>
        <w:t>Queensland’s</w:t>
      </w:r>
      <w:r>
        <w:rPr>
          <w:color w:val="231F20"/>
          <w:spacing w:val="-6"/>
        </w:rPr>
        <w:t xml:space="preserve"> </w:t>
      </w:r>
      <w:r>
        <w:rPr>
          <w:color w:val="231F20"/>
        </w:rPr>
        <w:t>regulatory</w:t>
      </w:r>
    </w:p>
    <w:p w:rsidR="00D1511D" w:rsidRDefault="003F0CB3">
      <w:pPr>
        <w:pStyle w:val="BodyText"/>
        <w:spacing w:line="280" w:lineRule="auto"/>
        <w:ind w:left="1984" w:right="1568"/>
      </w:pPr>
      <w:r>
        <w:rPr>
          <w:color w:val="231F20"/>
        </w:rPr>
        <w:t>framework for reducing nutrient and sediment releases fr</w:t>
      </w:r>
      <w:r>
        <w:rPr>
          <w:color w:val="231F20"/>
        </w:rPr>
        <w:t>om existing and new agricultural activities and new industrial development.</w:t>
      </w:r>
    </w:p>
    <w:p w:rsidR="00D1511D" w:rsidRDefault="003F0CB3">
      <w:pPr>
        <w:pStyle w:val="BodyText"/>
        <w:spacing w:before="167" w:line="280" w:lineRule="auto"/>
        <w:ind w:left="1984" w:right="1589"/>
      </w:pPr>
      <w:r>
        <w:rPr>
          <w:color w:val="231F20"/>
        </w:rPr>
        <w:t xml:space="preserve">These Reef Protection laws regulate agricultural activities to cut excessive </w:t>
      </w:r>
      <w:proofErr w:type="spellStart"/>
      <w:r>
        <w:rPr>
          <w:color w:val="231F20"/>
        </w:rPr>
        <w:t>fertiliser</w:t>
      </w:r>
      <w:proofErr w:type="spellEnd"/>
      <w:r>
        <w:rPr>
          <w:color w:val="231F20"/>
        </w:rPr>
        <w:t xml:space="preserve"> use and to actively manage erosion risks in all Reef catchments. Sugar cane, grazing, banana</w:t>
      </w:r>
      <w:r>
        <w:rPr>
          <w:color w:val="231F20"/>
        </w:rPr>
        <w:t xml:space="preserve">, grains and horticulture operations will be required to meet minimum practice standards that are designed to </w:t>
      </w:r>
      <w:proofErr w:type="spellStart"/>
      <w:r>
        <w:rPr>
          <w:color w:val="231F20"/>
        </w:rPr>
        <w:t>minimise</w:t>
      </w:r>
      <w:proofErr w:type="spellEnd"/>
      <w:r>
        <w:rPr>
          <w:color w:val="231F20"/>
        </w:rPr>
        <w:t xml:space="preserve"> pollution run off</w:t>
      </w:r>
    </w:p>
    <w:p w:rsidR="00D1511D" w:rsidRDefault="003F0CB3">
      <w:pPr>
        <w:pStyle w:val="BodyText"/>
        <w:spacing w:line="280" w:lineRule="auto"/>
        <w:ind w:left="1984" w:right="1681"/>
      </w:pPr>
      <w:r>
        <w:rPr>
          <w:color w:val="231F20"/>
        </w:rPr>
        <w:t xml:space="preserve">while maintaining profitable and productive farms. Additionally, new cropping activities will need to meet farm design </w:t>
      </w:r>
      <w:r>
        <w:rPr>
          <w:color w:val="231F20"/>
        </w:rPr>
        <w:t>standards under a permit to allow for ecologically sustainable development. The Regulations complement the investments of the Australian and Queensland governments and the voluntary action being taken by many farmers, ensuring that the uptake of good pract</w:t>
      </w:r>
      <w:r>
        <w:rPr>
          <w:color w:val="231F20"/>
        </w:rPr>
        <w:t>ice is widespread, driving more rapid improvements in water quality.</w:t>
      </w:r>
    </w:p>
    <w:p w:rsidR="00D1511D" w:rsidRDefault="003F0CB3">
      <w:pPr>
        <w:pStyle w:val="BodyText"/>
        <w:spacing w:before="164" w:line="280" w:lineRule="auto"/>
        <w:ind w:left="1984" w:right="1802"/>
      </w:pPr>
      <w:r>
        <w:rPr>
          <w:color w:val="231F20"/>
        </w:rPr>
        <w:t>The Regulations also require new industrial development, such as sewage treatment plants, mining and aquaculture to avoid, mitigate or offset any sediment and nutrient emissions to Reef w</w:t>
      </w:r>
      <w:r>
        <w:rPr>
          <w:color w:val="231F20"/>
        </w:rPr>
        <w:t>aters.</w:t>
      </w:r>
    </w:p>
    <w:p w:rsidR="00D1511D" w:rsidRDefault="003F0CB3">
      <w:pPr>
        <w:pStyle w:val="BodyText"/>
        <w:spacing w:before="168" w:line="280" w:lineRule="auto"/>
        <w:ind w:left="1984" w:right="1934"/>
      </w:pPr>
      <w:r>
        <w:rPr>
          <w:color w:val="231F20"/>
        </w:rPr>
        <w:t>Implementation of the new regulations is being supported through a $10.1 million support package for farmers and a $3.7 million expanded compliance program.</w:t>
      </w:r>
    </w:p>
    <w:p w:rsidR="00D1511D" w:rsidRDefault="003F0CB3">
      <w:pPr>
        <w:pStyle w:val="BodyText"/>
        <w:spacing w:before="169" w:line="280" w:lineRule="auto"/>
        <w:ind w:left="1984" w:right="1713"/>
      </w:pPr>
      <w:r>
        <w:rPr>
          <w:color w:val="231F20"/>
        </w:rPr>
        <w:t>Compliance data from Queensland’s work with the existing Reef protection regulations shows t</w:t>
      </w:r>
      <w:r>
        <w:rPr>
          <w:color w:val="231F20"/>
        </w:rPr>
        <w:t>hat regulation is effective in encouraging growers to improve their practices. While more than half of farmers visited for the first time are found to be non-compliant with at least one requirement, compliance improves</w:t>
      </w:r>
      <w:r>
        <w:rPr>
          <w:color w:val="231F20"/>
          <w:spacing w:val="-10"/>
        </w:rPr>
        <w:t xml:space="preserve"> </w:t>
      </w:r>
      <w:r>
        <w:rPr>
          <w:color w:val="231F20"/>
        </w:rPr>
        <w:t>with</w:t>
      </w:r>
      <w:r>
        <w:rPr>
          <w:color w:val="231F20"/>
          <w:spacing w:val="-9"/>
        </w:rPr>
        <w:t xml:space="preserve"> </w:t>
      </w:r>
      <w:r>
        <w:rPr>
          <w:color w:val="231F20"/>
        </w:rPr>
        <w:t>repeat</w:t>
      </w:r>
      <w:r>
        <w:rPr>
          <w:color w:val="231F20"/>
          <w:spacing w:val="-9"/>
        </w:rPr>
        <w:t xml:space="preserve"> </w:t>
      </w:r>
      <w:r>
        <w:rPr>
          <w:color w:val="231F20"/>
        </w:rPr>
        <w:t>visits.</w:t>
      </w:r>
      <w:r>
        <w:rPr>
          <w:color w:val="231F20"/>
          <w:spacing w:val="-9"/>
        </w:rPr>
        <w:t xml:space="preserve"> </w:t>
      </w:r>
      <w:r>
        <w:rPr>
          <w:color w:val="231F20"/>
        </w:rPr>
        <w:t>The</w:t>
      </w:r>
      <w:r>
        <w:rPr>
          <w:color w:val="231F20"/>
          <w:spacing w:val="-10"/>
        </w:rPr>
        <w:t xml:space="preserve"> </w:t>
      </w:r>
      <w:r>
        <w:rPr>
          <w:color w:val="231F20"/>
        </w:rPr>
        <w:t>statistics</w:t>
      </w:r>
      <w:r>
        <w:rPr>
          <w:color w:val="231F20"/>
          <w:spacing w:val="-9"/>
        </w:rPr>
        <w:t xml:space="preserve"> </w:t>
      </w:r>
      <w:r>
        <w:rPr>
          <w:color w:val="231F20"/>
        </w:rPr>
        <w:t>are</w:t>
      </w:r>
      <w:r>
        <w:rPr>
          <w:color w:val="231F20"/>
          <w:spacing w:val="-9"/>
        </w:rPr>
        <w:t xml:space="preserve"> </w:t>
      </w:r>
      <w:r>
        <w:rPr>
          <w:color w:val="231F20"/>
        </w:rPr>
        <w:t>available</w:t>
      </w:r>
      <w:r>
        <w:rPr>
          <w:color w:val="231F20"/>
          <w:spacing w:val="-9"/>
        </w:rPr>
        <w:t xml:space="preserve"> </w:t>
      </w:r>
      <w:r>
        <w:rPr>
          <w:color w:val="231F20"/>
        </w:rPr>
        <w:t>at:</w:t>
      </w:r>
      <w:r>
        <w:rPr>
          <w:color w:val="231F20"/>
          <w:spacing w:val="-10"/>
        </w:rPr>
        <w:t xml:space="preserve"> </w:t>
      </w:r>
      <w:hyperlink r:id="rId60">
        <w:r>
          <w:rPr>
            <w:color w:val="1B5BAA"/>
            <w:u w:val="single" w:color="1B5BAA"/>
          </w:rPr>
          <w:t>https://www.qld.gov.au/environment/agriculture/</w:t>
        </w:r>
      </w:hyperlink>
      <w:r>
        <w:rPr>
          <w:color w:val="1B5BAA"/>
        </w:rPr>
        <w:t xml:space="preserve"> </w:t>
      </w:r>
      <w:hyperlink r:id="rId61">
        <w:r>
          <w:rPr>
            <w:color w:val="1B5BAA"/>
            <w:u w:val="single" w:color="1B5BAA"/>
          </w:rPr>
          <w:t>sustainable-farming/reef/reef-regulations/reef-initiatives/cane-farmers.</w:t>
        </w:r>
      </w:hyperlink>
    </w:p>
    <w:p w:rsidR="00D1511D" w:rsidRDefault="00D1511D">
      <w:pPr>
        <w:pStyle w:val="BodyText"/>
        <w:rPr>
          <w:sz w:val="24"/>
        </w:rPr>
      </w:pPr>
    </w:p>
    <w:p w:rsidR="00D1511D" w:rsidRDefault="003F0CB3">
      <w:pPr>
        <w:pStyle w:val="Heading4"/>
        <w:spacing w:before="215"/>
      </w:pPr>
      <w:r>
        <w:rPr>
          <w:color w:val="58595B"/>
        </w:rPr>
        <w:t>Vegetation management legislation to improve water quality</w:t>
      </w:r>
    </w:p>
    <w:p w:rsidR="00D1511D" w:rsidRDefault="003F0CB3">
      <w:pPr>
        <w:pStyle w:val="BodyText"/>
        <w:spacing w:before="205" w:line="280" w:lineRule="auto"/>
        <w:ind w:left="1700" w:right="1802"/>
      </w:pPr>
      <w:r>
        <w:rPr>
          <w:color w:val="231F20"/>
        </w:rPr>
        <w:t>One of the Queensland Gove</w:t>
      </w:r>
      <w:r>
        <w:rPr>
          <w:color w:val="231F20"/>
        </w:rPr>
        <w:t>rnment’s commitments in the Reef 2050 Plan was to strengthen vegetation management legislation to protect remnant and high value regrowth native vegetation, including in riparian</w:t>
      </w:r>
    </w:p>
    <w:p w:rsidR="00D1511D" w:rsidRDefault="00D1511D">
      <w:pPr>
        <w:pStyle w:val="BodyText"/>
        <w:rPr>
          <w:sz w:val="24"/>
        </w:rPr>
      </w:pPr>
    </w:p>
    <w:p w:rsidR="00D1511D" w:rsidRDefault="00D1511D">
      <w:pPr>
        <w:pStyle w:val="BodyText"/>
        <w:rPr>
          <w:sz w:val="24"/>
        </w:rPr>
      </w:pPr>
    </w:p>
    <w:p w:rsidR="00D1511D" w:rsidRDefault="00D1511D">
      <w:pPr>
        <w:pStyle w:val="BodyText"/>
        <w:spacing w:before="7"/>
        <w:rPr>
          <w:sz w:val="28"/>
        </w:rPr>
      </w:pPr>
    </w:p>
    <w:p w:rsidR="00D1511D" w:rsidRDefault="003F0CB3">
      <w:pPr>
        <w:ind w:left="1417"/>
        <w:rPr>
          <w:rFonts w:ascii="Myriad Pro"/>
          <w:sz w:val="16"/>
        </w:rPr>
      </w:pPr>
      <w:r>
        <w:rPr>
          <w:rFonts w:ascii="Myriad Pro"/>
          <w:color w:val="231F20"/>
          <w:sz w:val="16"/>
        </w:rPr>
        <w:t xml:space="preserve">26 / </w:t>
      </w:r>
      <w:r>
        <w:rPr>
          <w:rFonts w:ascii="Myriad Pro"/>
          <w:color w:val="005695"/>
          <w:sz w:val="16"/>
        </w:rPr>
        <w:t xml:space="preserve">State Party Report on the state of conservation of the </w:t>
      </w:r>
      <w:r>
        <w:rPr>
          <w:rFonts w:ascii="Myriad Pro"/>
          <w:b/>
          <w:color w:val="005695"/>
          <w:sz w:val="16"/>
        </w:rPr>
        <w:t xml:space="preserve">Great Barrier </w:t>
      </w:r>
      <w:r>
        <w:rPr>
          <w:rFonts w:ascii="Myriad Pro"/>
          <w:b/>
          <w:color w:val="005695"/>
          <w:sz w:val="16"/>
        </w:rPr>
        <w:t xml:space="preserve">Reef World Heritage Area (Australia) </w:t>
      </w:r>
      <w:r>
        <w:rPr>
          <w:rFonts w:ascii="Myriad Pro"/>
          <w:color w:val="005695"/>
          <w:sz w:val="16"/>
        </w:rPr>
        <w:t>2019</w:t>
      </w:r>
    </w:p>
    <w:p w:rsidR="00D1511D" w:rsidRDefault="00D1511D">
      <w:pPr>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8"/>
        <w:rPr>
          <w:rFonts w:ascii="Myriad Pro"/>
        </w:rPr>
      </w:pPr>
    </w:p>
    <w:p w:rsidR="00D1511D" w:rsidRDefault="003F0CB3">
      <w:pPr>
        <w:pStyle w:val="BodyText"/>
        <w:spacing w:before="98" w:line="280" w:lineRule="auto"/>
        <w:ind w:left="1700" w:right="1473"/>
      </w:pPr>
      <w:r>
        <w:rPr>
          <w:color w:val="231F20"/>
        </w:rPr>
        <w:t>zones. Changes to Queensland’s vegetation management laws were passed in 2018, delivering on this commitment, with the laws boosting protection for important habitats, including waterways leading to the Great Barrier Reef World Heritage Area.</w:t>
      </w:r>
    </w:p>
    <w:p w:rsidR="00D1511D" w:rsidRDefault="003F0CB3">
      <w:pPr>
        <w:pStyle w:val="BodyText"/>
        <w:spacing w:before="168" w:line="280" w:lineRule="auto"/>
        <w:ind w:left="1700" w:right="1762"/>
      </w:pPr>
      <w:r>
        <w:rPr>
          <w:color w:val="231F20"/>
        </w:rPr>
        <w:t>The changes p</w:t>
      </w:r>
      <w:r>
        <w:rPr>
          <w:color w:val="231F20"/>
        </w:rPr>
        <w:t xml:space="preserve">rotect high-value regrowth vegetation in Reef catchments and prevent broadscale clearing of remnant vegetation for new agricultural development. Vegetation clearing within 50 </w:t>
      </w:r>
      <w:proofErr w:type="spellStart"/>
      <w:r>
        <w:rPr>
          <w:color w:val="231F20"/>
        </w:rPr>
        <w:t>metres</w:t>
      </w:r>
      <w:proofErr w:type="spellEnd"/>
      <w:r>
        <w:rPr>
          <w:color w:val="231F20"/>
        </w:rPr>
        <w:t xml:space="preserve"> of a watercourse is also regulated to provide consistent protection of rip</w:t>
      </w:r>
      <w:r>
        <w:rPr>
          <w:color w:val="231F20"/>
        </w:rPr>
        <w:t>arian vegetation in all Reef catchments. Queensland has also improved monitoring and other measures to ensure compliance with the law, and reporting based on latest science.</w:t>
      </w:r>
    </w:p>
    <w:p w:rsidR="00D1511D" w:rsidRDefault="003F0CB3">
      <w:pPr>
        <w:pStyle w:val="BodyText"/>
        <w:spacing w:before="166" w:line="280" w:lineRule="auto"/>
        <w:ind w:left="1700" w:right="1439"/>
      </w:pPr>
      <w:r>
        <w:rPr>
          <w:color w:val="231F20"/>
        </w:rPr>
        <w:t>The changes are expected to deliver reduced carbon emissions and sediment run-off,</w:t>
      </w:r>
      <w:r>
        <w:rPr>
          <w:color w:val="231F20"/>
        </w:rPr>
        <w:t xml:space="preserve"> as well as provide increased protection for endangered, vulnerable and near-threatened species. This is helping to protect the habitats for conservation of biodiversity of the Reef, one of the world heritage criteria for which the Reef was inscribed on th</w:t>
      </w:r>
      <w:r>
        <w:rPr>
          <w:color w:val="231F20"/>
        </w:rPr>
        <w:t>e World Heritage List.</w:t>
      </w:r>
    </w:p>
    <w:p w:rsidR="00D1511D" w:rsidRDefault="00D1511D">
      <w:pPr>
        <w:pStyle w:val="BodyText"/>
        <w:spacing w:before="1"/>
        <w:rPr>
          <w:sz w:val="23"/>
        </w:rPr>
      </w:pPr>
    </w:p>
    <w:p w:rsidR="00D1511D" w:rsidRDefault="003F0CB3">
      <w:pPr>
        <w:pStyle w:val="Heading4"/>
      </w:pPr>
      <w:r>
        <w:rPr>
          <w:color w:val="58595B"/>
        </w:rPr>
        <w:t>Other Reef regulations and water quality improvement policies</w:t>
      </w:r>
    </w:p>
    <w:p w:rsidR="00D1511D" w:rsidRDefault="003F0CB3">
      <w:pPr>
        <w:pStyle w:val="BodyText"/>
        <w:spacing w:before="205" w:line="280" w:lineRule="auto"/>
        <w:ind w:left="1700" w:right="1450"/>
      </w:pPr>
      <w:r>
        <w:rPr>
          <w:color w:val="231F20"/>
        </w:rPr>
        <w:t xml:space="preserve">In June 2015 the Australian Government established a new regulation under the </w:t>
      </w:r>
      <w:r>
        <w:rPr>
          <w:i/>
          <w:color w:val="231F20"/>
        </w:rPr>
        <w:t xml:space="preserve">Great Barrier Reef Marine </w:t>
      </w:r>
      <w:r>
        <w:rPr>
          <w:i/>
          <w:color w:val="231F20"/>
          <w:spacing w:val="-4"/>
        </w:rPr>
        <w:t xml:space="preserve">Park </w:t>
      </w:r>
      <w:r>
        <w:rPr>
          <w:i/>
          <w:color w:val="231F20"/>
        </w:rPr>
        <w:t xml:space="preserve">Regulations 1983 </w:t>
      </w:r>
      <w:r>
        <w:rPr>
          <w:color w:val="231F20"/>
        </w:rPr>
        <w:t xml:space="preserve">that restricted the disposal of dredge material in the Great Barrier Reef Marine </w:t>
      </w:r>
      <w:r>
        <w:rPr>
          <w:color w:val="231F20"/>
          <w:spacing w:val="-3"/>
        </w:rPr>
        <w:t xml:space="preserve">Park </w:t>
      </w:r>
      <w:r>
        <w:rPr>
          <w:color w:val="231F20"/>
        </w:rPr>
        <w:t>from</w:t>
      </w:r>
      <w:r>
        <w:rPr>
          <w:color w:val="231F20"/>
          <w:spacing w:val="-33"/>
        </w:rPr>
        <w:t xml:space="preserve"> </w:t>
      </w:r>
      <w:r>
        <w:rPr>
          <w:color w:val="231F20"/>
        </w:rPr>
        <w:t xml:space="preserve">capital dredging projects such as port developments. Under the regulation the Marine </w:t>
      </w:r>
      <w:r>
        <w:rPr>
          <w:color w:val="231F20"/>
          <w:spacing w:val="-3"/>
        </w:rPr>
        <w:t xml:space="preserve">Park </w:t>
      </w:r>
      <w:r>
        <w:rPr>
          <w:color w:val="231F20"/>
        </w:rPr>
        <w:t xml:space="preserve">Authority must not grant a permission for conduct that includes dumping of </w:t>
      </w:r>
      <w:r>
        <w:rPr>
          <w:color w:val="231F20"/>
        </w:rPr>
        <w:t xml:space="preserve">capital dredge material (greater than 15,000 cubic </w:t>
      </w:r>
      <w:proofErr w:type="spellStart"/>
      <w:r>
        <w:rPr>
          <w:color w:val="231F20"/>
        </w:rPr>
        <w:t>metres</w:t>
      </w:r>
      <w:proofErr w:type="spellEnd"/>
      <w:r>
        <w:rPr>
          <w:color w:val="231F20"/>
        </w:rPr>
        <w:t xml:space="preserve">) in the Marine </w:t>
      </w:r>
      <w:r>
        <w:rPr>
          <w:color w:val="231F20"/>
          <w:spacing w:val="-3"/>
        </w:rPr>
        <w:t xml:space="preserve">Park. </w:t>
      </w:r>
      <w:r>
        <w:rPr>
          <w:color w:val="231F20"/>
        </w:rPr>
        <w:t xml:space="preserve">The ban applies to existing permits for conduct that includes uncontained disposal of capital dredge material in the Marine </w:t>
      </w:r>
      <w:r>
        <w:rPr>
          <w:color w:val="231F20"/>
          <w:spacing w:val="-3"/>
        </w:rPr>
        <w:t xml:space="preserve">Park </w:t>
      </w:r>
      <w:r>
        <w:rPr>
          <w:color w:val="231F20"/>
        </w:rPr>
        <w:t>where the permits have yet to</w:t>
      </w:r>
      <w:r>
        <w:rPr>
          <w:color w:val="231F20"/>
          <w:spacing w:val="1"/>
        </w:rPr>
        <w:t xml:space="preserve"> </w:t>
      </w:r>
      <w:r>
        <w:rPr>
          <w:color w:val="231F20"/>
        </w:rPr>
        <w:t>expire.</w:t>
      </w:r>
    </w:p>
    <w:p w:rsidR="00D1511D" w:rsidRDefault="003F0CB3">
      <w:pPr>
        <w:pStyle w:val="BodyText"/>
        <w:spacing w:before="166" w:line="280" w:lineRule="auto"/>
        <w:ind w:left="1700" w:right="1422"/>
      </w:pPr>
      <w:r>
        <w:rPr>
          <w:color w:val="231F20"/>
        </w:rPr>
        <w:t>The Queens</w:t>
      </w:r>
      <w:r>
        <w:rPr>
          <w:color w:val="231F20"/>
        </w:rPr>
        <w:t xml:space="preserve">land Government is also implementing key port-related actions of the Reef 2050 Plan, including through the </w:t>
      </w:r>
      <w:r>
        <w:rPr>
          <w:i/>
          <w:color w:val="231F20"/>
        </w:rPr>
        <w:t xml:space="preserve">Sustainable Ports Development Act 2015 </w:t>
      </w:r>
      <w:r>
        <w:rPr>
          <w:color w:val="231F20"/>
        </w:rPr>
        <w:t>(Ports Act), which came into effect in November 2015. The Ports Act established a legislative framework to bal</w:t>
      </w:r>
      <w:r>
        <w:rPr>
          <w:color w:val="231F20"/>
        </w:rPr>
        <w:t>ance the protection of the Reef with the development of major bulk commodity ports in that region, responding to World Heritage Committee decisions by ensuring the OUV of the Reef is an intrinsic consideration in future port development, as well as prohibi</w:t>
      </w:r>
      <w:r>
        <w:rPr>
          <w:color w:val="231F20"/>
        </w:rPr>
        <w:t>ting the disposal of capital dredge spoil in areas of the World Heritage Area that are not part of the Marine Park.</w:t>
      </w:r>
    </w:p>
    <w:p w:rsidR="00D1511D" w:rsidRDefault="003F0CB3">
      <w:pPr>
        <w:pStyle w:val="BodyText"/>
        <w:spacing w:before="165" w:line="280" w:lineRule="auto"/>
        <w:ind w:left="1700" w:right="1802"/>
      </w:pPr>
      <w:r>
        <w:rPr>
          <w:color w:val="231F20"/>
        </w:rPr>
        <w:t>The Queensland Government has made a range of other improvements to regulations and policies which are providing tangible benefits to the Re</w:t>
      </w:r>
      <w:r>
        <w:rPr>
          <w:color w:val="231F20"/>
        </w:rPr>
        <w:t>ef.</w:t>
      </w:r>
    </w:p>
    <w:p w:rsidR="00D1511D" w:rsidRDefault="003F0CB3">
      <w:pPr>
        <w:pStyle w:val="ListParagraph"/>
        <w:numPr>
          <w:ilvl w:val="0"/>
          <w:numId w:val="11"/>
        </w:numPr>
        <w:tabs>
          <w:tab w:val="left" w:pos="2060"/>
          <w:tab w:val="left" w:pos="2061"/>
        </w:tabs>
        <w:spacing w:before="168" w:line="280" w:lineRule="auto"/>
        <w:ind w:right="1481"/>
        <w:rPr>
          <w:sz w:val="20"/>
        </w:rPr>
      </w:pPr>
      <w:r>
        <w:rPr>
          <w:color w:val="231F20"/>
          <w:sz w:val="20"/>
        </w:rPr>
        <w:t>Three</w:t>
      </w:r>
      <w:r>
        <w:rPr>
          <w:color w:val="231F20"/>
          <w:spacing w:val="-5"/>
          <w:sz w:val="20"/>
        </w:rPr>
        <w:t xml:space="preserve"> </w:t>
      </w:r>
      <w:r>
        <w:rPr>
          <w:color w:val="231F20"/>
          <w:sz w:val="20"/>
        </w:rPr>
        <w:t>net-free</w:t>
      </w:r>
      <w:r>
        <w:rPr>
          <w:color w:val="231F20"/>
          <w:spacing w:val="-4"/>
          <w:sz w:val="20"/>
        </w:rPr>
        <w:t xml:space="preserve"> </w:t>
      </w:r>
      <w:r>
        <w:rPr>
          <w:color w:val="231F20"/>
          <w:sz w:val="20"/>
        </w:rPr>
        <w:t>fishing</w:t>
      </w:r>
      <w:r>
        <w:rPr>
          <w:color w:val="231F20"/>
          <w:spacing w:val="-4"/>
          <w:sz w:val="20"/>
        </w:rPr>
        <w:t xml:space="preserve"> </w:t>
      </w:r>
      <w:r>
        <w:rPr>
          <w:color w:val="231F20"/>
          <w:sz w:val="20"/>
        </w:rPr>
        <w:t>zones</w:t>
      </w:r>
      <w:r>
        <w:rPr>
          <w:color w:val="231F20"/>
          <w:spacing w:val="-4"/>
          <w:sz w:val="20"/>
        </w:rPr>
        <w:t xml:space="preserve"> </w:t>
      </w:r>
      <w:r>
        <w:rPr>
          <w:color w:val="231F20"/>
          <w:sz w:val="20"/>
        </w:rPr>
        <w:t>were</w:t>
      </w:r>
      <w:r>
        <w:rPr>
          <w:color w:val="231F20"/>
          <w:spacing w:val="-5"/>
          <w:sz w:val="20"/>
        </w:rPr>
        <w:t xml:space="preserve"> </w:t>
      </w:r>
      <w:r>
        <w:rPr>
          <w:color w:val="231F20"/>
          <w:sz w:val="20"/>
        </w:rPr>
        <w:t>introduced</w:t>
      </w:r>
      <w:r>
        <w:rPr>
          <w:color w:val="231F20"/>
          <w:spacing w:val="-4"/>
          <w:sz w:val="20"/>
        </w:rPr>
        <w:t xml:space="preserve"> </w:t>
      </w:r>
      <w:r>
        <w:rPr>
          <w:color w:val="231F20"/>
          <w:sz w:val="20"/>
        </w:rPr>
        <w:t>in</w:t>
      </w:r>
      <w:r>
        <w:rPr>
          <w:color w:val="231F20"/>
          <w:spacing w:val="-4"/>
          <w:sz w:val="20"/>
        </w:rPr>
        <w:t xml:space="preserve"> </w:t>
      </w:r>
      <w:r>
        <w:rPr>
          <w:color w:val="231F20"/>
          <w:sz w:val="20"/>
        </w:rPr>
        <w:t>November</w:t>
      </w:r>
      <w:r>
        <w:rPr>
          <w:color w:val="231F20"/>
          <w:spacing w:val="-4"/>
          <w:sz w:val="20"/>
        </w:rPr>
        <w:t xml:space="preserve"> </w:t>
      </w:r>
      <w:r>
        <w:rPr>
          <w:color w:val="231F20"/>
          <w:sz w:val="20"/>
        </w:rPr>
        <w:t>2015,</w:t>
      </w:r>
      <w:r>
        <w:rPr>
          <w:color w:val="231F20"/>
          <w:spacing w:val="-5"/>
          <w:sz w:val="20"/>
        </w:rPr>
        <w:t xml:space="preserve"> </w:t>
      </w:r>
      <w:r>
        <w:rPr>
          <w:color w:val="231F20"/>
          <w:sz w:val="20"/>
        </w:rPr>
        <w:t>providing</w:t>
      </w:r>
      <w:r>
        <w:rPr>
          <w:color w:val="231F20"/>
          <w:spacing w:val="-4"/>
          <w:sz w:val="20"/>
        </w:rPr>
        <w:t xml:space="preserve"> </w:t>
      </w:r>
      <w:r>
        <w:rPr>
          <w:color w:val="231F20"/>
          <w:sz w:val="20"/>
        </w:rPr>
        <w:t>a</w:t>
      </w:r>
      <w:r>
        <w:rPr>
          <w:color w:val="231F20"/>
          <w:spacing w:val="-4"/>
          <w:sz w:val="20"/>
        </w:rPr>
        <w:t xml:space="preserve"> </w:t>
      </w:r>
      <w:r>
        <w:rPr>
          <w:color w:val="231F20"/>
          <w:sz w:val="20"/>
        </w:rPr>
        <w:t>1400</w:t>
      </w:r>
      <w:r>
        <w:rPr>
          <w:color w:val="231F20"/>
          <w:spacing w:val="-4"/>
          <w:sz w:val="20"/>
        </w:rPr>
        <w:t xml:space="preserve"> </w:t>
      </w:r>
      <w:r>
        <w:rPr>
          <w:color w:val="231F20"/>
          <w:sz w:val="20"/>
        </w:rPr>
        <w:t>square</w:t>
      </w:r>
      <w:r>
        <w:rPr>
          <w:color w:val="231F20"/>
          <w:spacing w:val="-5"/>
          <w:sz w:val="20"/>
        </w:rPr>
        <w:t xml:space="preserve"> </w:t>
      </w:r>
      <w:proofErr w:type="spellStart"/>
      <w:r>
        <w:rPr>
          <w:color w:val="231F20"/>
          <w:sz w:val="20"/>
        </w:rPr>
        <w:t>kilometre</w:t>
      </w:r>
      <w:proofErr w:type="spellEnd"/>
      <w:r>
        <w:rPr>
          <w:color w:val="231F20"/>
          <w:spacing w:val="-4"/>
          <w:sz w:val="20"/>
        </w:rPr>
        <w:t xml:space="preserve"> </w:t>
      </w:r>
      <w:r>
        <w:rPr>
          <w:color w:val="231F20"/>
          <w:sz w:val="20"/>
        </w:rPr>
        <w:t>boost</w:t>
      </w:r>
      <w:r>
        <w:rPr>
          <w:color w:val="231F20"/>
          <w:spacing w:val="-4"/>
          <w:sz w:val="20"/>
        </w:rPr>
        <w:t xml:space="preserve"> </w:t>
      </w:r>
      <w:r>
        <w:rPr>
          <w:color w:val="231F20"/>
          <w:sz w:val="20"/>
        </w:rPr>
        <w:t>in protection for snub fin dolphins, dugong and turtles which are all listed as either vulnerable or</w:t>
      </w:r>
      <w:r>
        <w:rPr>
          <w:color w:val="231F20"/>
          <w:spacing w:val="-11"/>
          <w:sz w:val="20"/>
        </w:rPr>
        <w:t xml:space="preserve"> </w:t>
      </w:r>
      <w:r>
        <w:rPr>
          <w:color w:val="231F20"/>
          <w:sz w:val="20"/>
        </w:rPr>
        <w:t>endangered.</w:t>
      </w:r>
    </w:p>
    <w:p w:rsidR="00D1511D" w:rsidRDefault="003F0CB3">
      <w:pPr>
        <w:pStyle w:val="ListParagraph"/>
        <w:numPr>
          <w:ilvl w:val="0"/>
          <w:numId w:val="11"/>
        </w:numPr>
        <w:tabs>
          <w:tab w:val="left" w:pos="2060"/>
          <w:tab w:val="left" w:pos="2061"/>
        </w:tabs>
        <w:spacing w:before="169" w:line="280" w:lineRule="auto"/>
        <w:ind w:right="1633"/>
        <w:rPr>
          <w:sz w:val="20"/>
        </w:rPr>
      </w:pPr>
      <w:r>
        <w:rPr>
          <w:color w:val="231F20"/>
          <w:sz w:val="20"/>
        </w:rPr>
        <w:t xml:space="preserve">The Queensland </w:t>
      </w:r>
      <w:r>
        <w:rPr>
          <w:color w:val="231F20"/>
          <w:spacing w:val="-3"/>
          <w:sz w:val="20"/>
        </w:rPr>
        <w:t xml:space="preserve">Government’s </w:t>
      </w:r>
      <w:r>
        <w:rPr>
          <w:color w:val="231F20"/>
          <w:sz w:val="20"/>
        </w:rPr>
        <w:t>revised Planning Act 2016 and associated legislation, which came into effect</w:t>
      </w:r>
      <w:r>
        <w:rPr>
          <w:color w:val="231F20"/>
          <w:spacing w:val="-4"/>
          <w:sz w:val="20"/>
        </w:rPr>
        <w:t xml:space="preserve"> </w:t>
      </w:r>
      <w:r>
        <w:rPr>
          <w:color w:val="231F20"/>
          <w:sz w:val="20"/>
        </w:rPr>
        <w:t>in</w:t>
      </w:r>
      <w:r>
        <w:rPr>
          <w:color w:val="231F20"/>
          <w:spacing w:val="-4"/>
          <w:sz w:val="20"/>
        </w:rPr>
        <w:t xml:space="preserve"> </w:t>
      </w:r>
      <w:r>
        <w:rPr>
          <w:color w:val="231F20"/>
          <w:sz w:val="20"/>
        </w:rPr>
        <w:t>July</w:t>
      </w:r>
      <w:r>
        <w:rPr>
          <w:color w:val="231F20"/>
          <w:spacing w:val="-4"/>
          <w:sz w:val="20"/>
        </w:rPr>
        <w:t xml:space="preserve"> </w:t>
      </w:r>
      <w:r>
        <w:rPr>
          <w:color w:val="231F20"/>
          <w:sz w:val="20"/>
        </w:rPr>
        <w:t>2017,</w:t>
      </w:r>
      <w:r>
        <w:rPr>
          <w:color w:val="231F20"/>
          <w:spacing w:val="-3"/>
          <w:sz w:val="20"/>
        </w:rPr>
        <w:t xml:space="preserve"> </w:t>
      </w:r>
      <w:r>
        <w:rPr>
          <w:color w:val="231F20"/>
          <w:sz w:val="20"/>
        </w:rPr>
        <w:t>established</w:t>
      </w:r>
      <w:r>
        <w:rPr>
          <w:color w:val="231F20"/>
          <w:spacing w:val="-4"/>
          <w:sz w:val="20"/>
        </w:rPr>
        <w:t xml:space="preserve"> </w:t>
      </w:r>
      <w:r>
        <w:rPr>
          <w:color w:val="231F20"/>
          <w:sz w:val="20"/>
        </w:rPr>
        <w:t>ecological</w:t>
      </w:r>
      <w:r>
        <w:rPr>
          <w:color w:val="231F20"/>
          <w:spacing w:val="-4"/>
          <w:sz w:val="20"/>
        </w:rPr>
        <w:t xml:space="preserve"> </w:t>
      </w:r>
      <w:r>
        <w:rPr>
          <w:color w:val="231F20"/>
          <w:sz w:val="20"/>
        </w:rPr>
        <w:t>sustainability</w:t>
      </w:r>
      <w:r>
        <w:rPr>
          <w:color w:val="231F20"/>
          <w:spacing w:val="-3"/>
          <w:sz w:val="20"/>
        </w:rPr>
        <w:t xml:space="preserve"> </w:t>
      </w:r>
      <w:r>
        <w:rPr>
          <w:color w:val="231F20"/>
          <w:sz w:val="20"/>
        </w:rPr>
        <w:t>as</w:t>
      </w:r>
      <w:r>
        <w:rPr>
          <w:color w:val="231F20"/>
          <w:spacing w:val="-4"/>
          <w:sz w:val="20"/>
        </w:rPr>
        <w:t xml:space="preserve"> </w:t>
      </w:r>
      <w:r>
        <w:rPr>
          <w:color w:val="231F20"/>
          <w:sz w:val="20"/>
        </w:rPr>
        <w:t>a</w:t>
      </w:r>
      <w:r>
        <w:rPr>
          <w:color w:val="231F20"/>
          <w:spacing w:val="-4"/>
          <w:sz w:val="20"/>
        </w:rPr>
        <w:t xml:space="preserve"> </w:t>
      </w:r>
      <w:r>
        <w:rPr>
          <w:color w:val="231F20"/>
          <w:sz w:val="20"/>
        </w:rPr>
        <w:t>core</w:t>
      </w:r>
      <w:r>
        <w:rPr>
          <w:color w:val="231F20"/>
          <w:spacing w:val="-3"/>
          <w:sz w:val="20"/>
        </w:rPr>
        <w:t xml:space="preserve"> </w:t>
      </w:r>
      <w:r>
        <w:rPr>
          <w:color w:val="231F20"/>
          <w:sz w:val="20"/>
        </w:rPr>
        <w:t>principle.</w:t>
      </w:r>
      <w:r>
        <w:rPr>
          <w:color w:val="231F20"/>
          <w:spacing w:val="-4"/>
          <w:sz w:val="20"/>
        </w:rPr>
        <w:t xml:space="preserve"> </w:t>
      </w:r>
      <w:r>
        <w:rPr>
          <w:color w:val="231F20"/>
          <w:sz w:val="20"/>
        </w:rPr>
        <w:t>The</w:t>
      </w:r>
      <w:r>
        <w:rPr>
          <w:color w:val="231F20"/>
          <w:spacing w:val="-4"/>
          <w:sz w:val="20"/>
        </w:rPr>
        <w:t xml:space="preserve"> </w:t>
      </w:r>
      <w:r>
        <w:rPr>
          <w:color w:val="231F20"/>
          <w:sz w:val="20"/>
        </w:rPr>
        <w:t>legislative</w:t>
      </w:r>
      <w:r>
        <w:rPr>
          <w:color w:val="231F20"/>
          <w:spacing w:val="-3"/>
          <w:sz w:val="20"/>
        </w:rPr>
        <w:t xml:space="preserve"> </w:t>
      </w:r>
      <w:r>
        <w:rPr>
          <w:color w:val="231F20"/>
          <w:sz w:val="20"/>
        </w:rPr>
        <w:t>changes</w:t>
      </w:r>
      <w:r>
        <w:rPr>
          <w:color w:val="231F20"/>
          <w:spacing w:val="-4"/>
          <w:sz w:val="20"/>
        </w:rPr>
        <w:t xml:space="preserve"> </w:t>
      </w:r>
      <w:r>
        <w:rPr>
          <w:color w:val="231F20"/>
          <w:sz w:val="20"/>
        </w:rPr>
        <w:t>included</w:t>
      </w:r>
    </w:p>
    <w:p w:rsidR="00D1511D" w:rsidRDefault="003F0CB3">
      <w:pPr>
        <w:spacing w:line="280" w:lineRule="auto"/>
        <w:ind w:left="2060" w:right="1467"/>
        <w:rPr>
          <w:sz w:val="20"/>
        </w:rPr>
      </w:pPr>
      <w:r>
        <w:rPr>
          <w:color w:val="231F20"/>
          <w:sz w:val="20"/>
        </w:rPr>
        <w:t xml:space="preserve">reinstatement of coastal land surrender provisions under the </w:t>
      </w:r>
      <w:r>
        <w:rPr>
          <w:i/>
          <w:color w:val="231F20"/>
          <w:sz w:val="20"/>
        </w:rPr>
        <w:t xml:space="preserve">Coastal Protection and Management Act 1995 </w:t>
      </w:r>
      <w:r>
        <w:rPr>
          <w:color w:val="231F20"/>
          <w:sz w:val="20"/>
        </w:rPr>
        <w:t>to ensure areas at high risk of coastal erosion are maintained development free.</w:t>
      </w:r>
    </w:p>
    <w:p w:rsidR="00D1511D" w:rsidRDefault="003F0CB3">
      <w:pPr>
        <w:pStyle w:val="ListParagraph"/>
        <w:numPr>
          <w:ilvl w:val="0"/>
          <w:numId w:val="11"/>
        </w:numPr>
        <w:tabs>
          <w:tab w:val="left" w:pos="2060"/>
          <w:tab w:val="left" w:pos="2061"/>
        </w:tabs>
        <w:spacing w:before="167" w:line="280" w:lineRule="auto"/>
        <w:ind w:right="1628"/>
        <w:rPr>
          <w:sz w:val="20"/>
        </w:rPr>
      </w:pPr>
      <w:r>
        <w:rPr>
          <w:color w:val="231F20"/>
          <w:sz w:val="20"/>
        </w:rPr>
        <w:t xml:space="preserve">The Queensland Government developed the </w:t>
      </w:r>
      <w:r>
        <w:rPr>
          <w:i/>
          <w:color w:val="231F20"/>
          <w:spacing w:val="-3"/>
          <w:sz w:val="20"/>
        </w:rPr>
        <w:t xml:space="preserve">Wetlands </w:t>
      </w:r>
      <w:r>
        <w:rPr>
          <w:i/>
          <w:color w:val="231F20"/>
          <w:sz w:val="20"/>
        </w:rPr>
        <w:t>in the Great Barrier R</w:t>
      </w:r>
      <w:r>
        <w:rPr>
          <w:i/>
          <w:color w:val="231F20"/>
          <w:sz w:val="20"/>
        </w:rPr>
        <w:t xml:space="preserve">eef Catchments Management Strategy 2016–2021 </w:t>
      </w:r>
      <w:r>
        <w:rPr>
          <w:color w:val="231F20"/>
          <w:sz w:val="20"/>
        </w:rPr>
        <w:t xml:space="preserve">to outline an integrated approach to catchment and coastal environment management that considers the multiple values of wetlands and the role they play in ecosystem health of the </w:t>
      </w:r>
      <w:r>
        <w:rPr>
          <w:color w:val="231F20"/>
          <w:spacing w:val="-4"/>
          <w:sz w:val="20"/>
        </w:rPr>
        <w:t xml:space="preserve">World </w:t>
      </w:r>
      <w:r>
        <w:rPr>
          <w:color w:val="231F20"/>
          <w:sz w:val="20"/>
        </w:rPr>
        <w:t>Heritage Area. The strateg</w:t>
      </w:r>
      <w:r>
        <w:rPr>
          <w:color w:val="231F20"/>
          <w:sz w:val="20"/>
        </w:rPr>
        <w:t>y provides a whole-of-system framework for catchment management and the protection, maintenance and restoration of wetland</w:t>
      </w:r>
      <w:r>
        <w:rPr>
          <w:color w:val="231F20"/>
          <w:spacing w:val="-1"/>
          <w:sz w:val="20"/>
        </w:rPr>
        <w:t xml:space="preserve"> </w:t>
      </w:r>
      <w:r>
        <w:rPr>
          <w:color w:val="231F20"/>
          <w:sz w:val="20"/>
        </w:rPr>
        <w:t>systems.</w:t>
      </w: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spacing w:before="2"/>
        <w:rPr>
          <w:sz w:val="25"/>
        </w:rPr>
      </w:pPr>
    </w:p>
    <w:p w:rsidR="00D1511D" w:rsidRDefault="003F0CB3">
      <w:pPr>
        <w:ind w:right="1415"/>
        <w:jc w:val="right"/>
        <w:rPr>
          <w:rFonts w:ascii="Myriad Pro"/>
          <w:sz w:val="16"/>
        </w:rPr>
      </w:pPr>
      <w:r>
        <w:rPr>
          <w:rFonts w:ascii="Myriad Pro"/>
          <w:color w:val="231F20"/>
          <w:sz w:val="16"/>
        </w:rPr>
        <w:t>27</w:t>
      </w:r>
    </w:p>
    <w:p w:rsidR="00D1511D" w:rsidRDefault="00D1511D">
      <w:pPr>
        <w:jc w:val="right"/>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6"/>
        <w:rPr>
          <w:rFonts w:ascii="Myriad Pro"/>
          <w:sz w:val="26"/>
        </w:rPr>
      </w:pPr>
    </w:p>
    <w:p w:rsidR="00D1511D" w:rsidRDefault="003F0CB3">
      <w:pPr>
        <w:pStyle w:val="Heading3"/>
        <w:numPr>
          <w:ilvl w:val="2"/>
          <w:numId w:val="15"/>
        </w:numPr>
        <w:tabs>
          <w:tab w:val="left" w:pos="2417"/>
        </w:tabs>
        <w:spacing w:before="101"/>
        <w:ind w:left="2416"/>
      </w:pPr>
      <w:r>
        <w:rPr>
          <w:color w:val="005695"/>
          <w:spacing w:val="-3"/>
        </w:rPr>
        <w:t xml:space="preserve">Crown-of-thorns </w:t>
      </w:r>
      <w:r>
        <w:rPr>
          <w:color w:val="005695"/>
        </w:rPr>
        <w:t xml:space="preserve">starfish </w:t>
      </w:r>
      <w:r>
        <w:rPr>
          <w:color w:val="005695"/>
          <w:spacing w:val="-4"/>
        </w:rPr>
        <w:t>control</w:t>
      </w:r>
      <w:r>
        <w:rPr>
          <w:color w:val="005695"/>
          <w:spacing w:val="3"/>
        </w:rPr>
        <w:t xml:space="preserve"> </w:t>
      </w:r>
      <w:r>
        <w:rPr>
          <w:color w:val="005695"/>
          <w:spacing w:val="-3"/>
        </w:rPr>
        <w:t>program</w:t>
      </w:r>
    </w:p>
    <w:p w:rsidR="00D1511D" w:rsidRDefault="003F0CB3">
      <w:pPr>
        <w:pStyle w:val="BodyText"/>
        <w:spacing w:before="195" w:line="280" w:lineRule="auto"/>
        <w:ind w:left="1696" w:right="1359"/>
      </w:pPr>
      <w:r>
        <w:rPr>
          <w:color w:val="231F20"/>
        </w:rPr>
        <w:t>Outbreaks of crown-of-thorns starfish are one of the major sources of coral mortality across the Reef, driving coral decline on a scale comparable to cyclones and severe bleaching events. However, unlike cyclones and bleaching events, crown-of-thorns starf</w:t>
      </w:r>
      <w:r>
        <w:rPr>
          <w:color w:val="231F20"/>
        </w:rPr>
        <w:t>ish outbreaks can be controlled at manageable spatial scales. More than $100 million has been allocated to this essential work.</w:t>
      </w:r>
    </w:p>
    <w:p w:rsidR="00D1511D" w:rsidRDefault="003F0CB3">
      <w:pPr>
        <w:pStyle w:val="BodyText"/>
        <w:spacing w:before="167" w:line="280" w:lineRule="auto"/>
        <w:ind w:left="1696" w:right="1405"/>
      </w:pPr>
      <w:r>
        <w:rPr>
          <w:color w:val="231F20"/>
        </w:rPr>
        <w:t>Efforts to reduce the impact of crown-of-thorns predation on coral have become increasingly critical given the cumulative impact</w:t>
      </w:r>
      <w:r>
        <w:rPr>
          <w:color w:val="231F20"/>
        </w:rPr>
        <w:t xml:space="preserve">s to coral cover from other threats, such as climate change, coral bleaching, tropical cyclones and poor water </w:t>
      </w:r>
      <w:r>
        <w:rPr>
          <w:color w:val="231F20"/>
          <w:spacing w:val="-3"/>
        </w:rPr>
        <w:t xml:space="preserve">quality. </w:t>
      </w:r>
      <w:r>
        <w:rPr>
          <w:color w:val="231F20"/>
        </w:rPr>
        <w:t xml:space="preserve">The Reef Blueprint (see section 4.2.2) identified crown-of-thorns starfish control as one </w:t>
      </w:r>
      <w:r>
        <w:rPr>
          <w:color w:val="231F20"/>
          <w:spacing w:val="-7"/>
        </w:rPr>
        <w:t xml:space="preserve">of </w:t>
      </w:r>
      <w:r>
        <w:rPr>
          <w:color w:val="231F20"/>
        </w:rPr>
        <w:t>the most feasible actions to reduce coral m</w:t>
      </w:r>
      <w:r>
        <w:rPr>
          <w:color w:val="231F20"/>
        </w:rPr>
        <w:t>ortality and improve resilience on the Reef.</w:t>
      </w:r>
    </w:p>
    <w:p w:rsidR="00D1511D" w:rsidRDefault="003F0CB3">
      <w:pPr>
        <w:pStyle w:val="BodyText"/>
        <w:spacing w:before="167" w:line="280" w:lineRule="auto"/>
        <w:ind w:left="1696" w:right="1477"/>
        <w:jc w:val="both"/>
      </w:pPr>
      <w:r>
        <w:rPr>
          <w:color w:val="231F20"/>
        </w:rPr>
        <w:t>The</w:t>
      </w:r>
      <w:r>
        <w:rPr>
          <w:color w:val="231F20"/>
          <w:spacing w:val="-4"/>
        </w:rPr>
        <w:t xml:space="preserve"> </w:t>
      </w:r>
      <w:r>
        <w:rPr>
          <w:color w:val="231F20"/>
        </w:rPr>
        <w:t>largest</w:t>
      </w:r>
      <w:r>
        <w:rPr>
          <w:color w:val="231F20"/>
          <w:spacing w:val="-3"/>
        </w:rPr>
        <w:t xml:space="preserve"> </w:t>
      </w:r>
      <w:r>
        <w:rPr>
          <w:color w:val="231F20"/>
        </w:rPr>
        <w:t>broad-scale,</w:t>
      </w:r>
      <w:r>
        <w:rPr>
          <w:color w:val="231F20"/>
          <w:spacing w:val="-3"/>
        </w:rPr>
        <w:t xml:space="preserve"> </w:t>
      </w:r>
      <w:r>
        <w:rPr>
          <w:color w:val="231F20"/>
        </w:rPr>
        <w:t>government-funded</w:t>
      </w:r>
      <w:r>
        <w:rPr>
          <w:color w:val="231F20"/>
          <w:spacing w:val="-4"/>
        </w:rPr>
        <w:t xml:space="preserve"> </w:t>
      </w:r>
      <w:r>
        <w:rPr>
          <w:color w:val="231F20"/>
        </w:rPr>
        <w:t>crown-of-thorns</w:t>
      </w:r>
      <w:r>
        <w:rPr>
          <w:color w:val="231F20"/>
          <w:spacing w:val="-3"/>
        </w:rPr>
        <w:t xml:space="preserve"> </w:t>
      </w:r>
      <w:r>
        <w:rPr>
          <w:color w:val="231F20"/>
        </w:rPr>
        <w:t>starfish</w:t>
      </w:r>
      <w:r>
        <w:rPr>
          <w:color w:val="231F20"/>
          <w:spacing w:val="-3"/>
        </w:rPr>
        <w:t xml:space="preserve"> </w:t>
      </w:r>
      <w:r>
        <w:rPr>
          <w:color w:val="231F20"/>
        </w:rPr>
        <w:t>control</w:t>
      </w:r>
      <w:r>
        <w:rPr>
          <w:color w:val="231F20"/>
          <w:spacing w:val="-4"/>
        </w:rPr>
        <w:t xml:space="preserve"> </w:t>
      </w:r>
      <w:r>
        <w:rPr>
          <w:color w:val="231F20"/>
        </w:rPr>
        <w:t>program</w:t>
      </w:r>
      <w:r>
        <w:rPr>
          <w:color w:val="231F20"/>
          <w:spacing w:val="-3"/>
        </w:rPr>
        <w:t xml:space="preserve"> </w:t>
      </w:r>
      <w:r>
        <w:rPr>
          <w:color w:val="231F20"/>
        </w:rPr>
        <w:t>began</w:t>
      </w:r>
      <w:r>
        <w:rPr>
          <w:color w:val="231F20"/>
          <w:spacing w:val="-3"/>
        </w:rPr>
        <w:t xml:space="preserve"> </w:t>
      </w:r>
      <w:r>
        <w:rPr>
          <w:color w:val="231F20"/>
        </w:rPr>
        <w:t>in</w:t>
      </w:r>
      <w:r>
        <w:rPr>
          <w:color w:val="231F20"/>
          <w:spacing w:val="-4"/>
        </w:rPr>
        <w:t xml:space="preserve"> </w:t>
      </w:r>
      <w:r>
        <w:rPr>
          <w:color w:val="231F20"/>
        </w:rPr>
        <w:t>2012.</w:t>
      </w:r>
      <w:r>
        <w:rPr>
          <w:color w:val="231F20"/>
          <w:spacing w:val="-12"/>
        </w:rPr>
        <w:t xml:space="preserve"> To</w:t>
      </w:r>
      <w:r>
        <w:rPr>
          <w:color w:val="231F20"/>
          <w:spacing w:val="-4"/>
        </w:rPr>
        <w:t xml:space="preserve"> </w:t>
      </w:r>
      <w:r>
        <w:rPr>
          <w:color w:val="231F20"/>
        </w:rPr>
        <w:t>date</w:t>
      </w:r>
      <w:r>
        <w:rPr>
          <w:color w:val="231F20"/>
          <w:spacing w:val="-3"/>
        </w:rPr>
        <w:t xml:space="preserve"> </w:t>
      </w:r>
      <w:r>
        <w:rPr>
          <w:color w:val="231F20"/>
        </w:rPr>
        <w:t>the control program has been successful in holding starfish densities below thresholds to allow for cora</w:t>
      </w:r>
      <w:r>
        <w:rPr>
          <w:color w:val="231F20"/>
        </w:rPr>
        <w:t xml:space="preserve">l growth on </w:t>
      </w:r>
      <w:r>
        <w:rPr>
          <w:color w:val="231F20"/>
          <w:spacing w:val="-7"/>
        </w:rPr>
        <w:t xml:space="preserve">75 </w:t>
      </w:r>
      <w:r>
        <w:rPr>
          <w:color w:val="231F20"/>
        </w:rPr>
        <w:t xml:space="preserve">per cent of the 57 priority reefs between </w:t>
      </w:r>
      <w:r>
        <w:rPr>
          <w:color w:val="231F20"/>
          <w:spacing w:val="-3"/>
        </w:rPr>
        <w:t xml:space="preserve">Port </w:t>
      </w:r>
      <w:r>
        <w:rPr>
          <w:color w:val="231F20"/>
        </w:rPr>
        <w:t>Douglas and</w:t>
      </w:r>
      <w:r>
        <w:rPr>
          <w:color w:val="231F20"/>
          <w:spacing w:val="-6"/>
        </w:rPr>
        <w:t xml:space="preserve"> </w:t>
      </w:r>
      <w:r>
        <w:rPr>
          <w:color w:val="231F20"/>
          <w:spacing w:val="-3"/>
        </w:rPr>
        <w:t>Townsville.</w:t>
      </w:r>
    </w:p>
    <w:p w:rsidR="00D1511D" w:rsidRDefault="003F0CB3">
      <w:pPr>
        <w:pStyle w:val="BodyText"/>
        <w:spacing w:before="167" w:line="280" w:lineRule="auto"/>
        <w:ind w:left="1696" w:right="1474"/>
      </w:pPr>
      <w:r>
        <w:rPr>
          <w:color w:val="231F20"/>
        </w:rPr>
        <w:t xml:space="preserve">Based on this success, in 2017 and 2018 the Marine Park Authority received additional funding to expand the crown-of-thorns starfish control program. Control of starfish </w:t>
      </w:r>
      <w:r>
        <w:rPr>
          <w:color w:val="231F20"/>
        </w:rPr>
        <w:t>is achieved by a team of divers manually injecting starfish with either vinegar or approved chemicals. Repeat visits to high value reefs by control teams has been key to knocking down starfish numbers and protecting live corals. Total funding directed towa</w:t>
      </w:r>
      <w:r>
        <w:rPr>
          <w:color w:val="231F20"/>
        </w:rPr>
        <w:t>rds crown-of-thorns starfish control from 2012-13 until 2019-20 is $46.9 million. As part of the Australian Government’s Reef Trust Partnership, a further $57.8 million has been committed towards crown-of-thorns starfish control work and research from 2019</w:t>
      </w:r>
      <w:r>
        <w:rPr>
          <w:color w:val="231F20"/>
        </w:rPr>
        <w:t>-20 until 2023-24 under the Reef Trust Partnership.</w:t>
      </w:r>
    </w:p>
    <w:p w:rsidR="00D1511D" w:rsidRDefault="003F0CB3">
      <w:pPr>
        <w:pStyle w:val="BodyText"/>
        <w:spacing w:before="165"/>
        <w:ind w:left="1696"/>
        <w:jc w:val="both"/>
      </w:pPr>
      <w:r>
        <w:rPr>
          <w:color w:val="231F20"/>
        </w:rPr>
        <w:t>The goals of the expanded program are to:</w:t>
      </w:r>
    </w:p>
    <w:p w:rsidR="00D1511D" w:rsidRDefault="003F0CB3">
      <w:pPr>
        <w:pStyle w:val="ListParagraph"/>
        <w:numPr>
          <w:ilvl w:val="0"/>
          <w:numId w:val="11"/>
        </w:numPr>
        <w:tabs>
          <w:tab w:val="left" w:pos="2056"/>
          <w:tab w:val="left" w:pos="2057"/>
        </w:tabs>
        <w:spacing w:before="210"/>
        <w:ind w:left="2056" w:hanging="361"/>
        <w:rPr>
          <w:sz w:val="20"/>
        </w:rPr>
      </w:pPr>
      <w:r>
        <w:rPr>
          <w:color w:val="231F20"/>
          <w:sz w:val="20"/>
        </w:rPr>
        <w:t>protect coral cover at reefs that are critical sources of coral larvae to facilitate Reef recovery and</w:t>
      </w:r>
      <w:r>
        <w:rPr>
          <w:color w:val="231F20"/>
          <w:spacing w:val="-9"/>
          <w:sz w:val="20"/>
        </w:rPr>
        <w:t xml:space="preserve"> </w:t>
      </w:r>
      <w:r>
        <w:rPr>
          <w:color w:val="231F20"/>
          <w:sz w:val="20"/>
        </w:rPr>
        <w:t>resilience</w:t>
      </w:r>
    </w:p>
    <w:p w:rsidR="00D1511D" w:rsidRDefault="003F0CB3">
      <w:pPr>
        <w:pStyle w:val="ListParagraph"/>
        <w:numPr>
          <w:ilvl w:val="0"/>
          <w:numId w:val="11"/>
        </w:numPr>
        <w:tabs>
          <w:tab w:val="left" w:pos="2056"/>
          <w:tab w:val="left" w:pos="2057"/>
        </w:tabs>
        <w:spacing w:before="210"/>
        <w:ind w:left="2056" w:hanging="361"/>
        <w:rPr>
          <w:sz w:val="20"/>
        </w:rPr>
      </w:pPr>
      <w:r>
        <w:rPr>
          <w:color w:val="231F20"/>
          <w:sz w:val="20"/>
        </w:rPr>
        <w:t>protect coral cover at reefs of high value for t</w:t>
      </w:r>
      <w:r>
        <w:rPr>
          <w:color w:val="231F20"/>
          <w:sz w:val="20"/>
        </w:rPr>
        <w:t>he tourism</w:t>
      </w:r>
      <w:r>
        <w:rPr>
          <w:color w:val="231F20"/>
          <w:spacing w:val="-1"/>
          <w:sz w:val="20"/>
        </w:rPr>
        <w:t xml:space="preserve"> </w:t>
      </w:r>
      <w:r>
        <w:rPr>
          <w:color w:val="231F20"/>
          <w:sz w:val="20"/>
        </w:rPr>
        <w:t>industry</w:t>
      </w:r>
    </w:p>
    <w:p w:rsidR="00D1511D" w:rsidRDefault="003F0CB3">
      <w:pPr>
        <w:pStyle w:val="ListParagraph"/>
        <w:numPr>
          <w:ilvl w:val="0"/>
          <w:numId w:val="11"/>
        </w:numPr>
        <w:tabs>
          <w:tab w:val="left" w:pos="2056"/>
          <w:tab w:val="left" w:pos="2057"/>
        </w:tabs>
        <w:spacing w:before="210" w:line="280" w:lineRule="auto"/>
        <w:ind w:left="2056" w:right="1858"/>
        <w:rPr>
          <w:sz w:val="20"/>
        </w:rPr>
      </w:pPr>
      <w:r>
        <w:rPr>
          <w:color w:val="231F20"/>
          <w:sz w:val="20"/>
        </w:rPr>
        <w:t>reduce the spread of the outbreak by culling at reefs that have greatest risk of spreading</w:t>
      </w:r>
      <w:r>
        <w:rPr>
          <w:color w:val="231F20"/>
          <w:spacing w:val="-35"/>
          <w:sz w:val="20"/>
        </w:rPr>
        <w:t xml:space="preserve"> </w:t>
      </w:r>
      <w:r>
        <w:rPr>
          <w:color w:val="231F20"/>
          <w:sz w:val="20"/>
        </w:rPr>
        <w:t>crown-of-thorns starfish</w:t>
      </w:r>
      <w:r>
        <w:rPr>
          <w:color w:val="231F20"/>
          <w:spacing w:val="-1"/>
          <w:sz w:val="20"/>
        </w:rPr>
        <w:t xml:space="preserve"> </w:t>
      </w:r>
      <w:r>
        <w:rPr>
          <w:color w:val="231F20"/>
          <w:sz w:val="20"/>
        </w:rPr>
        <w:t>larvae.</w:t>
      </w:r>
    </w:p>
    <w:p w:rsidR="00D1511D" w:rsidRDefault="003F0CB3">
      <w:pPr>
        <w:pStyle w:val="BodyText"/>
        <w:spacing w:before="169" w:line="280" w:lineRule="auto"/>
        <w:ind w:left="1696" w:right="1674"/>
      </w:pPr>
      <w:r>
        <w:rPr>
          <w:color w:val="231F20"/>
        </w:rPr>
        <w:t>The Marine Park Authority works cooperatively with and relies on the National Environmental Science Program (NES</w:t>
      </w:r>
      <w:r>
        <w:rPr>
          <w:color w:val="231F20"/>
        </w:rPr>
        <w:t>P) Integrated Pest Management Program to provide research and advice to continually improve crown-of-thorns starfish control.</w:t>
      </w:r>
    </w:p>
    <w:p w:rsidR="00D1511D" w:rsidRDefault="00D1511D">
      <w:pPr>
        <w:pStyle w:val="BodyText"/>
        <w:spacing w:before="5"/>
        <w:rPr>
          <w:sz w:val="29"/>
        </w:rPr>
      </w:pPr>
    </w:p>
    <w:p w:rsidR="00D1511D" w:rsidRDefault="003F0CB3">
      <w:pPr>
        <w:pStyle w:val="Heading3"/>
        <w:numPr>
          <w:ilvl w:val="2"/>
          <w:numId w:val="15"/>
        </w:numPr>
        <w:tabs>
          <w:tab w:val="left" w:pos="2417"/>
        </w:tabs>
        <w:ind w:left="2416"/>
      </w:pPr>
      <w:r>
        <w:rPr>
          <w:color w:val="005695"/>
          <w:spacing w:val="-4"/>
        </w:rPr>
        <w:t xml:space="preserve">Collaboration </w:t>
      </w:r>
      <w:r>
        <w:rPr>
          <w:color w:val="005695"/>
          <w:spacing w:val="-2"/>
        </w:rPr>
        <w:t xml:space="preserve">and </w:t>
      </w:r>
      <w:r>
        <w:rPr>
          <w:color w:val="005695"/>
          <w:spacing w:val="-4"/>
        </w:rPr>
        <w:t>key</w:t>
      </w:r>
      <w:r>
        <w:rPr>
          <w:color w:val="005695"/>
          <w:spacing w:val="6"/>
        </w:rPr>
        <w:t xml:space="preserve"> </w:t>
      </w:r>
      <w:r>
        <w:rPr>
          <w:color w:val="005695"/>
          <w:spacing w:val="-3"/>
        </w:rPr>
        <w:t>partnerships</w:t>
      </w:r>
    </w:p>
    <w:p w:rsidR="00D1511D" w:rsidRDefault="003F0CB3">
      <w:pPr>
        <w:pStyle w:val="BodyText"/>
        <w:spacing w:before="195" w:line="280" w:lineRule="auto"/>
        <w:ind w:left="1696" w:right="1643"/>
      </w:pPr>
      <w:r>
        <w:rPr>
          <w:color w:val="231F20"/>
          <w:spacing w:val="-3"/>
        </w:rPr>
        <w:t xml:space="preserve">Working </w:t>
      </w:r>
      <w:r>
        <w:rPr>
          <w:color w:val="231F20"/>
        </w:rPr>
        <w:t>with a wide range of partners on Reef management, protection and restoration has enabled the Australian and Queensland governments to accelerate activities and achieve far more than would otherwise have been possible. Formal and informal partnerships, whet</w:t>
      </w:r>
      <w:r>
        <w:rPr>
          <w:color w:val="231F20"/>
        </w:rPr>
        <w:t>her they be international or local,</w:t>
      </w:r>
      <w:r>
        <w:rPr>
          <w:color w:val="231F20"/>
          <w:spacing w:val="-28"/>
        </w:rPr>
        <w:t xml:space="preserve"> </w:t>
      </w:r>
      <w:r>
        <w:rPr>
          <w:color w:val="231F20"/>
        </w:rPr>
        <w:t xml:space="preserve">non-government, industry, community or cultural </w:t>
      </w:r>
      <w:proofErr w:type="spellStart"/>
      <w:r>
        <w:rPr>
          <w:color w:val="231F20"/>
        </w:rPr>
        <w:t>organisations</w:t>
      </w:r>
      <w:proofErr w:type="spellEnd"/>
      <w:r>
        <w:rPr>
          <w:color w:val="231F20"/>
        </w:rPr>
        <w:t>, provide crucial resources, financial co-contributions,</w:t>
      </w:r>
      <w:r>
        <w:rPr>
          <w:color w:val="231F20"/>
          <w:spacing w:val="-25"/>
        </w:rPr>
        <w:t xml:space="preserve"> </w:t>
      </w:r>
      <w:r>
        <w:rPr>
          <w:color w:val="231F20"/>
        </w:rPr>
        <w:t>volunteer</w:t>
      </w:r>
    </w:p>
    <w:p w:rsidR="00D1511D" w:rsidRDefault="003F0CB3">
      <w:pPr>
        <w:pStyle w:val="BodyText"/>
        <w:spacing w:line="280" w:lineRule="auto"/>
        <w:ind w:left="1696" w:right="1422"/>
      </w:pPr>
      <w:r>
        <w:rPr>
          <w:color w:val="231F20"/>
        </w:rPr>
        <w:t>hours and valuable on-the-ground support and knowledge. Partnerships with Traditional Owners</w:t>
      </w:r>
      <w:r>
        <w:rPr>
          <w:color w:val="231F20"/>
        </w:rPr>
        <w:t>, essential to the stewardship of the Reef, are discussed in sections 3.2.2 and 4.3.2c.</w:t>
      </w:r>
    </w:p>
    <w:p w:rsidR="00D1511D" w:rsidRDefault="003F0CB3">
      <w:pPr>
        <w:pStyle w:val="BodyText"/>
        <w:spacing w:before="165" w:line="280" w:lineRule="auto"/>
        <w:ind w:left="1696" w:right="1503"/>
      </w:pPr>
      <w:r>
        <w:rPr>
          <w:color w:val="231F20"/>
        </w:rPr>
        <w:t xml:space="preserve">Internationally, Australia is a founding member of the International Coral Reef Initiative (ICRI- established in 1994), an informal partnership between nations and </w:t>
      </w:r>
      <w:proofErr w:type="spellStart"/>
      <w:r>
        <w:rPr>
          <w:color w:val="231F20"/>
        </w:rPr>
        <w:t>orga</w:t>
      </w:r>
      <w:r>
        <w:rPr>
          <w:color w:val="231F20"/>
        </w:rPr>
        <w:t>nisations</w:t>
      </w:r>
      <w:proofErr w:type="spellEnd"/>
      <w:r>
        <w:rPr>
          <w:color w:val="231F20"/>
        </w:rPr>
        <w:t xml:space="preserve"> that strive to preserve coral reefs and related ecosystems. From mid–2018 to mid–2020 the Marine Park Authority on behalf of Australia, partnering with Monaco and Indonesia, is the Secretariat for ICRI. Australia has made many contributions to in</w:t>
      </w:r>
      <w:r>
        <w:rPr>
          <w:color w:val="231F20"/>
        </w:rPr>
        <w:t>ternational marine science, including a leading role coordinating ICRI’s Global Coral Reef Monitoring Network. Australia’s</w:t>
      </w: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spacing w:before="1"/>
        <w:rPr>
          <w:sz w:val="29"/>
        </w:rPr>
      </w:pPr>
    </w:p>
    <w:p w:rsidR="00D1511D" w:rsidRDefault="003F0CB3">
      <w:pPr>
        <w:spacing w:before="1"/>
        <w:ind w:left="1417"/>
        <w:rPr>
          <w:rFonts w:ascii="Myriad Pro"/>
          <w:sz w:val="16"/>
        </w:rPr>
      </w:pPr>
      <w:r>
        <w:rPr>
          <w:rFonts w:ascii="Myriad Pro"/>
          <w:color w:val="231F20"/>
          <w:sz w:val="16"/>
        </w:rPr>
        <w:t xml:space="preserve">28 / </w:t>
      </w:r>
      <w:r>
        <w:rPr>
          <w:rFonts w:ascii="Myriad Pro"/>
          <w:color w:val="005695"/>
          <w:sz w:val="16"/>
        </w:rPr>
        <w:t xml:space="preserve">State Party Report on the state of conservation of the </w:t>
      </w:r>
      <w:r>
        <w:rPr>
          <w:rFonts w:ascii="Myriad Pro"/>
          <w:b/>
          <w:color w:val="005695"/>
          <w:sz w:val="16"/>
        </w:rPr>
        <w:t xml:space="preserve">Great Barrier Reef World Heritage Area (Australia) </w:t>
      </w:r>
      <w:r>
        <w:rPr>
          <w:rFonts w:ascii="Myriad Pro"/>
          <w:color w:val="005695"/>
          <w:sz w:val="16"/>
        </w:rPr>
        <w:t>2019</w:t>
      </w:r>
    </w:p>
    <w:p w:rsidR="00D1511D" w:rsidRDefault="00D1511D">
      <w:pPr>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8"/>
        <w:rPr>
          <w:rFonts w:ascii="Myriad Pro"/>
        </w:rPr>
      </w:pPr>
    </w:p>
    <w:p w:rsidR="00D1511D" w:rsidRDefault="003F0CB3">
      <w:pPr>
        <w:pStyle w:val="BodyText"/>
        <w:spacing w:before="98" w:line="280" w:lineRule="auto"/>
        <w:ind w:left="1700" w:right="1418"/>
      </w:pPr>
      <w:r>
        <w:rPr>
          <w:color w:val="231F20"/>
        </w:rPr>
        <w:t>emphasis is on sharing and collaborating with international partners to build scientific capacity and innovation in reef management in the face of increasing impacts of climate change.</w:t>
      </w:r>
    </w:p>
    <w:p w:rsidR="00D1511D" w:rsidRDefault="003F0CB3">
      <w:pPr>
        <w:pStyle w:val="BodyText"/>
        <w:spacing w:before="169" w:line="280" w:lineRule="auto"/>
        <w:ind w:left="1700" w:right="1866"/>
      </w:pPr>
      <w:r>
        <w:rPr>
          <w:color w:val="231F20"/>
        </w:rPr>
        <w:t>Domestically, the Australian and Queensland gov</w:t>
      </w:r>
      <w:r>
        <w:rPr>
          <w:color w:val="231F20"/>
        </w:rPr>
        <w:t>ernments work in partnership with experts, industry, community and the non-government sectors. The Reef 2050 Independent Expert Panel (IEP) and the Reef 2050 Advisory Committee (RAC) – the advisory bodies under the Reef 2050 Plan are important forums for c</w:t>
      </w:r>
      <w:r>
        <w:rPr>
          <w:color w:val="231F20"/>
        </w:rPr>
        <w:t>ollaboration on strategies and actions for Reef conservation, under the Reef 2050 Plan.</w:t>
      </w:r>
    </w:p>
    <w:p w:rsidR="00D1511D" w:rsidRDefault="003F0CB3">
      <w:pPr>
        <w:pStyle w:val="BodyText"/>
        <w:spacing w:before="167" w:line="280" w:lineRule="auto"/>
        <w:ind w:left="1700" w:right="1359"/>
      </w:pPr>
      <w:r>
        <w:rPr>
          <w:color w:val="231F20"/>
        </w:rPr>
        <w:t>Partnerships provide additional resources and expertise. The 2018 Reef Trust Partnership with the Great Barrier Reef Foundation, outlined earlier, is an example of a su</w:t>
      </w:r>
      <w:r>
        <w:rPr>
          <w:color w:val="231F20"/>
        </w:rPr>
        <w:t xml:space="preserve">ccessful partnership between government, private investors and philanthropists that is already delivering and building on the Reef 2050 Plan. Further information is available at </w:t>
      </w:r>
      <w:hyperlink r:id="rId62">
        <w:r>
          <w:rPr>
            <w:color w:val="1B5BAA"/>
            <w:u w:val="single" w:color="1B5BAA"/>
          </w:rPr>
          <w:t>https://www.barrierreef.org/science-with-impact/reef-partnership</w:t>
        </w:r>
      </w:hyperlink>
      <w:r>
        <w:rPr>
          <w:color w:val="231F20"/>
        </w:rPr>
        <w:t>.</w:t>
      </w:r>
    </w:p>
    <w:p w:rsidR="00D1511D" w:rsidRDefault="00D1511D">
      <w:pPr>
        <w:pStyle w:val="BodyText"/>
        <w:spacing w:before="5"/>
        <w:rPr>
          <w:sz w:val="30"/>
        </w:rPr>
      </w:pPr>
    </w:p>
    <w:p w:rsidR="00D1511D" w:rsidRDefault="003F0CB3">
      <w:pPr>
        <w:pStyle w:val="Heading3"/>
        <w:spacing w:line="228" w:lineRule="auto"/>
        <w:ind w:left="1984" w:right="1802"/>
      </w:pPr>
      <w:r>
        <w:pict>
          <v:rect id="_x0000_s1263" alt="" style="position:absolute;left:0;text-align:left;margin-left:84.9pt;margin-top:-7.35pt;width:439.7pt;height:353.6pt;z-index:-256987136;mso-wrap-edited:f;mso-width-percent:0;mso-height-percent:0;mso-position-horizontal-relative:page;mso-width-percent:0;mso-height-percent:0" fillcolor="#fecc96" stroked="f">
            <w10:wrap anchorx="page"/>
          </v:rect>
        </w:pict>
      </w:r>
      <w:r>
        <w:rPr>
          <w:color w:val="005695"/>
        </w:rPr>
        <w:t xml:space="preserve">Case </w:t>
      </w:r>
      <w:r>
        <w:rPr>
          <w:color w:val="005695"/>
          <w:spacing w:val="-3"/>
        </w:rPr>
        <w:t xml:space="preserve">Study: </w:t>
      </w:r>
      <w:r>
        <w:rPr>
          <w:color w:val="005695"/>
        </w:rPr>
        <w:t xml:space="preserve">Reef </w:t>
      </w:r>
      <w:r>
        <w:rPr>
          <w:color w:val="005695"/>
          <w:spacing w:val="-4"/>
        </w:rPr>
        <w:t xml:space="preserve">Alliance </w:t>
      </w:r>
      <w:r>
        <w:rPr>
          <w:color w:val="005695"/>
        </w:rPr>
        <w:t xml:space="preserve">– </w:t>
      </w:r>
      <w:r>
        <w:rPr>
          <w:color w:val="005695"/>
          <w:spacing w:val="-4"/>
        </w:rPr>
        <w:t xml:space="preserve">Sugarcane </w:t>
      </w:r>
      <w:r>
        <w:rPr>
          <w:color w:val="005695"/>
        </w:rPr>
        <w:t xml:space="preserve">farmers </w:t>
      </w:r>
      <w:r>
        <w:rPr>
          <w:color w:val="005695"/>
          <w:spacing w:val="-3"/>
        </w:rPr>
        <w:t xml:space="preserve">tackling inorganic nitrogen </w:t>
      </w:r>
      <w:r>
        <w:rPr>
          <w:color w:val="005695"/>
          <w:spacing w:val="-2"/>
        </w:rPr>
        <w:t xml:space="preserve">and </w:t>
      </w:r>
      <w:r>
        <w:rPr>
          <w:color w:val="005695"/>
          <w:spacing w:val="-3"/>
        </w:rPr>
        <w:t>pesticides</w:t>
      </w:r>
    </w:p>
    <w:p w:rsidR="00D1511D" w:rsidRDefault="003F0CB3">
      <w:pPr>
        <w:pStyle w:val="BodyText"/>
        <w:spacing w:before="200" w:line="280" w:lineRule="auto"/>
        <w:ind w:left="1984" w:right="1802"/>
      </w:pPr>
      <w:r>
        <w:rPr>
          <w:color w:val="231F20"/>
        </w:rPr>
        <w:t>The sugar industry is rising to the challenge of changing land management practices to help improve the quality of water flowing into the Reef.</w:t>
      </w:r>
    </w:p>
    <w:p w:rsidR="00D1511D" w:rsidRDefault="003F0CB3">
      <w:pPr>
        <w:pStyle w:val="BodyText"/>
        <w:spacing w:before="168" w:line="280" w:lineRule="auto"/>
        <w:ind w:left="1984" w:right="1585"/>
      </w:pPr>
      <w:r>
        <w:rPr>
          <w:color w:val="231F20"/>
        </w:rPr>
        <w:t>As of June 2019, 580 sugarcane farmers across more than 76,000 hectares in Reef catchments had taken action unde</w:t>
      </w:r>
      <w:r>
        <w:rPr>
          <w:color w:val="231F20"/>
        </w:rPr>
        <w:t xml:space="preserve">r the $45.6 million Reef Alliance Project: Growing a Great Barrier Reef. The Reef Alliance is a partnership 14 </w:t>
      </w:r>
      <w:proofErr w:type="spellStart"/>
      <w:r>
        <w:rPr>
          <w:color w:val="231F20"/>
        </w:rPr>
        <w:t>organisations</w:t>
      </w:r>
      <w:proofErr w:type="spellEnd"/>
      <w:r>
        <w:rPr>
          <w:color w:val="231F20"/>
        </w:rPr>
        <w:t xml:space="preserve"> – industry, regional natural resource management bodies and the conservation sector – all working since March 2016 towards the comm</w:t>
      </w:r>
      <w:r>
        <w:rPr>
          <w:color w:val="231F20"/>
        </w:rPr>
        <w:t>on goal of a healthy Great Barrier Reef.</w:t>
      </w:r>
    </w:p>
    <w:p w:rsidR="00D1511D" w:rsidRDefault="003F0CB3">
      <w:pPr>
        <w:pStyle w:val="BodyText"/>
        <w:spacing w:before="167" w:line="280" w:lineRule="auto"/>
        <w:ind w:left="1984" w:right="1802"/>
      </w:pPr>
      <w:r>
        <w:rPr>
          <w:color w:val="231F20"/>
        </w:rPr>
        <w:t>The project aims to help farmers update and improve their practices beyond industry best management practice and fast track the implementation of innovative practices.</w:t>
      </w:r>
    </w:p>
    <w:p w:rsidR="00D1511D" w:rsidRDefault="003F0CB3">
      <w:pPr>
        <w:pStyle w:val="BodyText"/>
        <w:spacing w:before="169" w:line="280" w:lineRule="auto"/>
        <w:ind w:left="1984" w:right="1802"/>
      </w:pPr>
      <w:r>
        <w:rPr>
          <w:color w:val="231F20"/>
        </w:rPr>
        <w:t xml:space="preserve">By its December 2019 end </w:t>
      </w:r>
      <w:proofErr w:type="gramStart"/>
      <w:r>
        <w:rPr>
          <w:color w:val="231F20"/>
        </w:rPr>
        <w:t>date</w:t>
      </w:r>
      <w:proofErr w:type="gramEnd"/>
      <w:r>
        <w:rPr>
          <w:color w:val="231F20"/>
        </w:rPr>
        <w:t xml:space="preserve"> it aims to suppor</w:t>
      </w:r>
      <w:r>
        <w:rPr>
          <w:color w:val="231F20"/>
        </w:rPr>
        <w:t xml:space="preserve">t up to 1,196 farmers and </w:t>
      </w:r>
      <w:proofErr w:type="spellStart"/>
      <w:r>
        <w:rPr>
          <w:color w:val="231F20"/>
        </w:rPr>
        <w:t>graziers</w:t>
      </w:r>
      <w:proofErr w:type="spellEnd"/>
      <w:r>
        <w:rPr>
          <w:color w:val="231F20"/>
        </w:rPr>
        <w:t xml:space="preserve"> to improve their practices over more than 1.8 million hectares spanning 33 of 35 of the Great Barrier Reef catchments. The project aligns with </w:t>
      </w:r>
      <w:hyperlink r:id="rId63">
        <w:r>
          <w:rPr>
            <w:color w:val="231F20"/>
          </w:rPr>
          <w:t xml:space="preserve">Reef 2050 Plan </w:t>
        </w:r>
      </w:hyperlink>
      <w:r>
        <w:rPr>
          <w:color w:val="231F20"/>
        </w:rPr>
        <w:t xml:space="preserve">and </w:t>
      </w:r>
      <w:hyperlink r:id="rId64">
        <w:r>
          <w:rPr>
            <w:color w:val="231F20"/>
          </w:rPr>
          <w:t>Reef 2050</w:t>
        </w:r>
      </w:hyperlink>
      <w:r>
        <w:rPr>
          <w:color w:val="231F20"/>
        </w:rPr>
        <w:t xml:space="preserve"> targets using the </w:t>
      </w:r>
      <w:hyperlink r:id="rId65">
        <w:r>
          <w:rPr>
            <w:color w:val="1B5BAA"/>
            <w:u w:val="single" w:color="1B5BAA"/>
          </w:rPr>
          <w:t>Water Quality Risk Frameworks</w:t>
        </w:r>
      </w:hyperlink>
      <w:r>
        <w:rPr>
          <w:color w:val="1B5BAA"/>
        </w:rPr>
        <w:t xml:space="preserve"> </w:t>
      </w:r>
      <w:r>
        <w:rPr>
          <w:color w:val="231F20"/>
        </w:rPr>
        <w:t>develope</w:t>
      </w:r>
      <w:r>
        <w:rPr>
          <w:color w:val="231F20"/>
        </w:rPr>
        <w:t xml:space="preserve">d by the </w:t>
      </w:r>
      <w:hyperlink r:id="rId66">
        <w:r>
          <w:rPr>
            <w:color w:val="1B5BAA"/>
            <w:u w:val="single" w:color="1B5BAA"/>
          </w:rPr>
          <w:t>Paddock to Reef Program</w:t>
        </w:r>
        <w:r>
          <w:rPr>
            <w:color w:val="1B5BAA"/>
          </w:rPr>
          <w:t xml:space="preserve"> </w:t>
        </w:r>
      </w:hyperlink>
      <w:r>
        <w:rPr>
          <w:color w:val="231F20"/>
        </w:rPr>
        <w:t xml:space="preserve">to </w:t>
      </w:r>
      <w:proofErr w:type="spellStart"/>
      <w:r>
        <w:rPr>
          <w:color w:val="231F20"/>
        </w:rPr>
        <w:t>prioritise</w:t>
      </w:r>
      <w:proofErr w:type="spellEnd"/>
      <w:r>
        <w:rPr>
          <w:color w:val="231F20"/>
        </w:rPr>
        <w:t xml:space="preserve"> activities.</w:t>
      </w:r>
    </w:p>
    <w:p w:rsidR="00D1511D" w:rsidRDefault="003F0CB3">
      <w:pPr>
        <w:pStyle w:val="BodyText"/>
        <w:spacing w:before="167" w:line="280" w:lineRule="auto"/>
        <w:ind w:left="1984" w:right="1467"/>
      </w:pPr>
      <w:r>
        <w:rPr>
          <w:color w:val="231F20"/>
        </w:rPr>
        <w:t>The project addresses all priority water quality target pollutants by working with the main agriculture groups i</w:t>
      </w:r>
      <w:r>
        <w:rPr>
          <w:color w:val="231F20"/>
        </w:rPr>
        <w:t>n the Reef catchments including sugarcane, grazing, grains, horticulture and dairy.</w:t>
      </w:r>
    </w:p>
    <w:p w:rsidR="00D1511D" w:rsidRDefault="003F0CB3">
      <w:pPr>
        <w:pStyle w:val="BodyText"/>
        <w:spacing w:before="168" w:line="280" w:lineRule="auto"/>
        <w:ind w:left="1984" w:right="1802"/>
      </w:pPr>
      <w:r>
        <w:rPr>
          <w:color w:val="231F20"/>
        </w:rPr>
        <w:t xml:space="preserve">Sugarcane farmers in the Burnett </w:t>
      </w:r>
      <w:r>
        <w:rPr>
          <w:color w:val="231F20"/>
          <w:spacing w:val="-4"/>
        </w:rPr>
        <w:t xml:space="preserve">Mary, </w:t>
      </w:r>
      <w:r>
        <w:rPr>
          <w:color w:val="231F20"/>
        </w:rPr>
        <w:t xml:space="preserve">Burdekin and </w:t>
      </w:r>
      <w:r>
        <w:rPr>
          <w:color w:val="231F20"/>
          <w:spacing w:val="-6"/>
        </w:rPr>
        <w:t xml:space="preserve">Wet </w:t>
      </w:r>
      <w:r>
        <w:rPr>
          <w:color w:val="231F20"/>
          <w:spacing w:val="-4"/>
        </w:rPr>
        <w:t xml:space="preserve">Tropics </w:t>
      </w:r>
      <w:r>
        <w:rPr>
          <w:color w:val="231F20"/>
        </w:rPr>
        <w:t xml:space="preserve">regions are making strides in tackling such pollutants as dissolved inorganic nitrogen and pesticides. </w:t>
      </w:r>
      <w:r>
        <w:rPr>
          <w:color w:val="231F20"/>
          <w:spacing w:val="-3"/>
        </w:rPr>
        <w:t xml:space="preserve">For </w:t>
      </w:r>
      <w:r>
        <w:rPr>
          <w:color w:val="231F20"/>
        </w:rPr>
        <w:t>m</w:t>
      </w:r>
      <w:r>
        <w:rPr>
          <w:color w:val="231F20"/>
        </w:rPr>
        <w:t xml:space="preserve">ore about the work under </w:t>
      </w:r>
      <w:r>
        <w:rPr>
          <w:color w:val="231F20"/>
          <w:spacing w:val="-5"/>
        </w:rPr>
        <w:t>way,</w:t>
      </w:r>
    </w:p>
    <w:p w:rsidR="00D1511D" w:rsidRDefault="003F0CB3">
      <w:pPr>
        <w:pStyle w:val="BodyText"/>
        <w:spacing w:line="280" w:lineRule="auto"/>
        <w:ind w:left="1984" w:right="1976"/>
      </w:pPr>
      <w:r>
        <w:rPr>
          <w:color w:val="231F20"/>
        </w:rPr>
        <w:t xml:space="preserve">see: </w:t>
      </w:r>
      <w:hyperlink r:id="rId67">
        <w:r>
          <w:rPr>
            <w:color w:val="1B5BAA"/>
            <w:u w:val="single" w:color="1B5BAA"/>
          </w:rPr>
          <w:t>https://wtsip.org.au/uncategorized/nutrient-management-plans-over-300-sugarcane-growers</w:t>
        </w:r>
        <w:r>
          <w:rPr>
            <w:color w:val="1B5BAA"/>
            <w:u w:val="single" w:color="1B5BAA"/>
          </w:rPr>
          <w:t>-benef</w:t>
        </w:r>
      </w:hyperlink>
      <w:r>
        <w:rPr>
          <w:color w:val="1B5BAA"/>
        </w:rPr>
        <w:t xml:space="preserve"> </w:t>
      </w:r>
      <w:hyperlink r:id="rId68">
        <w:r>
          <w:rPr>
            <w:color w:val="1B5BAA"/>
            <w:u w:val="single" w:color="1B5BAA"/>
          </w:rPr>
          <w:t>it-from-reef-program/</w:t>
        </w:r>
      </w:hyperlink>
      <w:r>
        <w:rPr>
          <w:color w:val="231F20"/>
        </w:rPr>
        <w:t>.</w:t>
      </w:r>
    </w:p>
    <w:p w:rsidR="00D1511D" w:rsidRDefault="00D1511D">
      <w:pPr>
        <w:pStyle w:val="BodyText"/>
        <w:rPr>
          <w:sz w:val="24"/>
        </w:rPr>
      </w:pPr>
    </w:p>
    <w:p w:rsidR="00D1511D" w:rsidRDefault="00D1511D">
      <w:pPr>
        <w:pStyle w:val="BodyText"/>
        <w:spacing w:before="5"/>
        <w:rPr>
          <w:sz w:val="27"/>
        </w:rPr>
      </w:pPr>
    </w:p>
    <w:p w:rsidR="00D1511D" w:rsidRDefault="003F0CB3">
      <w:pPr>
        <w:pStyle w:val="BodyText"/>
        <w:spacing w:line="280" w:lineRule="auto"/>
        <w:ind w:left="1700" w:right="1662"/>
      </w:pPr>
      <w:r>
        <w:rPr>
          <w:color w:val="231F20"/>
        </w:rPr>
        <w:t>A range of other partnerships established with local governments and communities are contributing to positive outcomes for the Reef.</w:t>
      </w:r>
    </w:p>
    <w:p w:rsidR="00D1511D" w:rsidRDefault="003F0CB3">
      <w:pPr>
        <w:pStyle w:val="ListParagraph"/>
        <w:numPr>
          <w:ilvl w:val="0"/>
          <w:numId w:val="10"/>
        </w:numPr>
        <w:tabs>
          <w:tab w:val="left" w:pos="2060"/>
          <w:tab w:val="left" w:pos="2061"/>
        </w:tabs>
        <w:spacing w:before="168" w:line="280" w:lineRule="auto"/>
        <w:ind w:right="1555"/>
        <w:rPr>
          <w:sz w:val="20"/>
        </w:rPr>
      </w:pPr>
      <w:r>
        <w:rPr>
          <w:color w:val="231F20"/>
          <w:sz w:val="20"/>
        </w:rPr>
        <w:t xml:space="preserve">The 2018 Marine </w:t>
      </w:r>
      <w:r>
        <w:rPr>
          <w:color w:val="231F20"/>
          <w:spacing w:val="-3"/>
          <w:sz w:val="20"/>
        </w:rPr>
        <w:t xml:space="preserve">Park </w:t>
      </w:r>
      <w:r>
        <w:rPr>
          <w:color w:val="231F20"/>
          <w:sz w:val="20"/>
        </w:rPr>
        <w:t>Authority Reef Guardians stewardship grants program provided funding to communities</w:t>
      </w:r>
      <w:r>
        <w:rPr>
          <w:color w:val="231F20"/>
          <w:spacing w:val="-4"/>
          <w:sz w:val="20"/>
        </w:rPr>
        <w:t xml:space="preserve"> </w:t>
      </w:r>
      <w:r>
        <w:rPr>
          <w:color w:val="231F20"/>
          <w:sz w:val="20"/>
        </w:rPr>
        <w:t>to</w:t>
      </w:r>
      <w:r>
        <w:rPr>
          <w:color w:val="231F20"/>
          <w:spacing w:val="-4"/>
          <w:sz w:val="20"/>
        </w:rPr>
        <w:t xml:space="preserve"> </w:t>
      </w:r>
      <w:r>
        <w:rPr>
          <w:color w:val="231F20"/>
          <w:sz w:val="20"/>
        </w:rPr>
        <w:t>undertake</w:t>
      </w:r>
      <w:r>
        <w:rPr>
          <w:color w:val="231F20"/>
          <w:spacing w:val="-4"/>
          <w:sz w:val="20"/>
        </w:rPr>
        <w:t xml:space="preserve"> </w:t>
      </w:r>
      <w:r>
        <w:rPr>
          <w:color w:val="231F20"/>
          <w:sz w:val="20"/>
        </w:rPr>
        <w:t>locally</w:t>
      </w:r>
      <w:r>
        <w:rPr>
          <w:color w:val="231F20"/>
          <w:spacing w:val="-4"/>
          <w:sz w:val="20"/>
        </w:rPr>
        <w:t xml:space="preserve"> </w:t>
      </w:r>
      <w:r>
        <w:rPr>
          <w:color w:val="231F20"/>
          <w:sz w:val="20"/>
        </w:rPr>
        <w:t>relevant</w:t>
      </w:r>
      <w:r>
        <w:rPr>
          <w:color w:val="231F20"/>
          <w:spacing w:val="-4"/>
          <w:sz w:val="20"/>
        </w:rPr>
        <w:t xml:space="preserve"> </w:t>
      </w:r>
      <w:r>
        <w:rPr>
          <w:color w:val="231F20"/>
          <w:sz w:val="20"/>
        </w:rPr>
        <w:t>Reef</w:t>
      </w:r>
      <w:r>
        <w:rPr>
          <w:color w:val="231F20"/>
          <w:spacing w:val="-4"/>
          <w:sz w:val="20"/>
        </w:rPr>
        <w:t xml:space="preserve"> </w:t>
      </w:r>
      <w:r>
        <w:rPr>
          <w:color w:val="231F20"/>
          <w:sz w:val="20"/>
        </w:rPr>
        <w:t>protection</w:t>
      </w:r>
      <w:r>
        <w:rPr>
          <w:color w:val="231F20"/>
          <w:spacing w:val="-4"/>
          <w:sz w:val="20"/>
        </w:rPr>
        <w:t xml:space="preserve"> </w:t>
      </w:r>
      <w:r>
        <w:rPr>
          <w:color w:val="231F20"/>
          <w:sz w:val="20"/>
        </w:rPr>
        <w:t>projects.</w:t>
      </w:r>
      <w:r>
        <w:rPr>
          <w:color w:val="231F20"/>
          <w:spacing w:val="-4"/>
          <w:sz w:val="20"/>
        </w:rPr>
        <w:t xml:space="preserve"> </w:t>
      </w:r>
      <w:r>
        <w:rPr>
          <w:color w:val="231F20"/>
          <w:sz w:val="20"/>
        </w:rPr>
        <w:t>This</w:t>
      </w:r>
      <w:r>
        <w:rPr>
          <w:color w:val="231F20"/>
          <w:spacing w:val="-4"/>
          <w:sz w:val="20"/>
        </w:rPr>
        <w:t xml:space="preserve"> </w:t>
      </w:r>
      <w:r>
        <w:rPr>
          <w:color w:val="231F20"/>
          <w:sz w:val="20"/>
        </w:rPr>
        <w:t>includes</w:t>
      </w:r>
      <w:r>
        <w:rPr>
          <w:color w:val="231F20"/>
          <w:spacing w:val="-4"/>
          <w:sz w:val="20"/>
        </w:rPr>
        <w:t xml:space="preserve"> </w:t>
      </w:r>
      <w:r>
        <w:rPr>
          <w:color w:val="231F20"/>
          <w:sz w:val="20"/>
        </w:rPr>
        <w:t>the</w:t>
      </w:r>
      <w:r>
        <w:rPr>
          <w:color w:val="231F20"/>
          <w:spacing w:val="-4"/>
          <w:sz w:val="20"/>
        </w:rPr>
        <w:t xml:space="preserve"> </w:t>
      </w:r>
      <w:r>
        <w:rPr>
          <w:color w:val="231F20"/>
          <w:sz w:val="20"/>
        </w:rPr>
        <w:t>Reef</w:t>
      </w:r>
      <w:r>
        <w:rPr>
          <w:color w:val="231F20"/>
          <w:spacing w:val="-4"/>
          <w:sz w:val="20"/>
        </w:rPr>
        <w:t xml:space="preserve"> </w:t>
      </w:r>
      <w:r>
        <w:rPr>
          <w:color w:val="231F20"/>
          <w:sz w:val="20"/>
        </w:rPr>
        <w:t>Guardian</w:t>
      </w:r>
      <w:r>
        <w:rPr>
          <w:color w:val="231F20"/>
          <w:spacing w:val="-3"/>
          <w:sz w:val="20"/>
        </w:rPr>
        <w:t xml:space="preserve"> </w:t>
      </w:r>
      <w:r>
        <w:rPr>
          <w:color w:val="231F20"/>
          <w:sz w:val="20"/>
        </w:rPr>
        <w:t xml:space="preserve">School </w:t>
      </w:r>
      <w:r>
        <w:rPr>
          <w:color w:val="231F20"/>
          <w:spacing w:val="-5"/>
          <w:sz w:val="20"/>
        </w:rPr>
        <w:t xml:space="preserve">Program’s </w:t>
      </w:r>
      <w:r>
        <w:rPr>
          <w:color w:val="231F20"/>
          <w:sz w:val="20"/>
        </w:rPr>
        <w:t xml:space="preserve">annual Future Leaders Eco Challenge. Operating in partnership with </w:t>
      </w:r>
      <w:r>
        <w:rPr>
          <w:color w:val="231F20"/>
          <w:sz w:val="20"/>
        </w:rPr>
        <w:t>local communities, the challenge includes more than 270 schools, 120,000 students and 7,400 teachers and is designed to give students new skills and knowledge to help protect the</w:t>
      </w:r>
      <w:r>
        <w:rPr>
          <w:color w:val="231F20"/>
          <w:spacing w:val="-2"/>
          <w:sz w:val="20"/>
        </w:rPr>
        <w:t xml:space="preserve"> </w:t>
      </w:r>
      <w:r>
        <w:rPr>
          <w:color w:val="231F20"/>
          <w:sz w:val="20"/>
        </w:rPr>
        <w:t>Reef.</w:t>
      </w: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3F0CB3">
      <w:pPr>
        <w:spacing w:before="215"/>
        <w:ind w:right="1415"/>
        <w:jc w:val="right"/>
        <w:rPr>
          <w:rFonts w:ascii="Myriad Pro"/>
          <w:sz w:val="16"/>
        </w:rPr>
      </w:pPr>
      <w:r>
        <w:rPr>
          <w:rFonts w:ascii="Myriad Pro"/>
          <w:color w:val="231F20"/>
          <w:sz w:val="16"/>
        </w:rPr>
        <w:t>29</w:t>
      </w:r>
    </w:p>
    <w:p w:rsidR="00D1511D" w:rsidRDefault="00D1511D">
      <w:pPr>
        <w:jc w:val="right"/>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8"/>
        <w:rPr>
          <w:rFonts w:ascii="Myriad Pro"/>
        </w:rPr>
      </w:pPr>
    </w:p>
    <w:p w:rsidR="00D1511D" w:rsidRDefault="003F0CB3">
      <w:pPr>
        <w:pStyle w:val="ListParagraph"/>
        <w:numPr>
          <w:ilvl w:val="0"/>
          <w:numId w:val="10"/>
        </w:numPr>
        <w:tabs>
          <w:tab w:val="left" w:pos="2067"/>
          <w:tab w:val="left" w:pos="2068"/>
        </w:tabs>
        <w:spacing w:before="98" w:line="280" w:lineRule="auto"/>
        <w:ind w:left="2067" w:right="1598"/>
        <w:rPr>
          <w:sz w:val="20"/>
        </w:rPr>
      </w:pPr>
      <w:r>
        <w:rPr>
          <w:color w:val="231F20"/>
          <w:sz w:val="20"/>
        </w:rPr>
        <w:t>Originally established in 1999, the new t</w:t>
      </w:r>
      <w:r>
        <w:rPr>
          <w:color w:val="231F20"/>
          <w:sz w:val="20"/>
        </w:rPr>
        <w:t xml:space="preserve">erm of the Marine </w:t>
      </w:r>
      <w:r>
        <w:rPr>
          <w:color w:val="231F20"/>
          <w:spacing w:val="-3"/>
          <w:sz w:val="20"/>
        </w:rPr>
        <w:t xml:space="preserve">Park Authority’s </w:t>
      </w:r>
      <w:r>
        <w:rPr>
          <w:color w:val="231F20"/>
          <w:sz w:val="20"/>
        </w:rPr>
        <w:t xml:space="preserve">Local Marine Advisory Committees started in July 2018 with about 180 community members volunteering their advice and </w:t>
      </w:r>
      <w:r>
        <w:rPr>
          <w:color w:val="231F20"/>
          <w:spacing w:val="-4"/>
          <w:sz w:val="20"/>
        </w:rPr>
        <w:t xml:space="preserve">input </w:t>
      </w:r>
      <w:r>
        <w:rPr>
          <w:color w:val="231F20"/>
          <w:sz w:val="20"/>
        </w:rPr>
        <w:t xml:space="preserve">on the management of the Marine </w:t>
      </w:r>
      <w:r>
        <w:rPr>
          <w:color w:val="231F20"/>
          <w:spacing w:val="-3"/>
          <w:sz w:val="20"/>
        </w:rPr>
        <w:t xml:space="preserve">Park, </w:t>
      </w:r>
      <w:r>
        <w:rPr>
          <w:color w:val="231F20"/>
          <w:sz w:val="20"/>
        </w:rPr>
        <w:t>as well as encouraging and participating in actions to</w:t>
      </w:r>
      <w:r>
        <w:rPr>
          <w:color w:val="231F20"/>
          <w:spacing w:val="1"/>
          <w:sz w:val="20"/>
        </w:rPr>
        <w:t xml:space="preserve"> </w:t>
      </w:r>
      <w:r>
        <w:rPr>
          <w:color w:val="231F20"/>
          <w:sz w:val="20"/>
        </w:rPr>
        <w:t>prote</w:t>
      </w:r>
      <w:r>
        <w:rPr>
          <w:color w:val="231F20"/>
          <w:sz w:val="20"/>
        </w:rPr>
        <w:t>ct</w:t>
      </w:r>
    </w:p>
    <w:p w:rsidR="00D1511D" w:rsidRDefault="003F0CB3">
      <w:pPr>
        <w:pStyle w:val="BodyText"/>
        <w:spacing w:line="238" w:lineRule="exact"/>
        <w:ind w:left="2067"/>
      </w:pPr>
      <w:r>
        <w:rPr>
          <w:color w:val="231F20"/>
        </w:rPr>
        <w:t>the Reef.</w:t>
      </w:r>
    </w:p>
    <w:p w:rsidR="00D1511D" w:rsidRDefault="003F0CB3">
      <w:pPr>
        <w:pStyle w:val="ListParagraph"/>
        <w:numPr>
          <w:ilvl w:val="0"/>
          <w:numId w:val="10"/>
        </w:numPr>
        <w:tabs>
          <w:tab w:val="left" w:pos="2067"/>
          <w:tab w:val="left" w:pos="2068"/>
        </w:tabs>
        <w:spacing w:before="210" w:line="280" w:lineRule="auto"/>
        <w:ind w:left="2067" w:right="1719"/>
        <w:rPr>
          <w:sz w:val="20"/>
        </w:rPr>
      </w:pPr>
      <w:r>
        <w:rPr>
          <w:color w:val="231F20"/>
          <w:sz w:val="20"/>
        </w:rPr>
        <w:t>The Queensland Local Government Coastal Hazard Adaptation Program was launched in June 2016. This partnership, delivered by the Local Government Association of Queensland, provides funding, tools and technical support to enable coastal local g</w:t>
      </w:r>
      <w:r>
        <w:rPr>
          <w:color w:val="231F20"/>
          <w:sz w:val="20"/>
        </w:rPr>
        <w:t>overnments, including Reef councils, to develop</w:t>
      </w:r>
      <w:r>
        <w:rPr>
          <w:color w:val="231F20"/>
          <w:spacing w:val="-23"/>
          <w:sz w:val="20"/>
        </w:rPr>
        <w:t xml:space="preserve"> </w:t>
      </w:r>
      <w:r>
        <w:rPr>
          <w:color w:val="231F20"/>
          <w:sz w:val="20"/>
        </w:rPr>
        <w:t>adaptation strategies to address climate change related coastal hazard risks over the</w:t>
      </w:r>
      <w:r>
        <w:rPr>
          <w:color w:val="231F20"/>
          <w:spacing w:val="-4"/>
          <w:sz w:val="20"/>
        </w:rPr>
        <w:t xml:space="preserve"> </w:t>
      </w:r>
      <w:r>
        <w:rPr>
          <w:color w:val="231F20"/>
          <w:sz w:val="20"/>
        </w:rPr>
        <w:t>long-term.</w:t>
      </w:r>
    </w:p>
    <w:p w:rsidR="00D1511D" w:rsidRDefault="003F0CB3">
      <w:pPr>
        <w:pStyle w:val="BodyText"/>
        <w:spacing w:before="167" w:line="280" w:lineRule="auto"/>
        <w:ind w:left="1707" w:right="1585"/>
      </w:pPr>
      <w:r>
        <w:rPr>
          <w:color w:val="231F20"/>
        </w:rPr>
        <w:t xml:space="preserve">Further information on the range of partnerships that have been established to provide positive and enduring outcomes for the Reef is available at: </w:t>
      </w:r>
      <w:hyperlink r:id="rId69">
        <w:r>
          <w:rPr>
            <w:color w:val="1B5BAA"/>
            <w:u w:val="single" w:color="1B5BAA"/>
          </w:rPr>
          <w:t>http://www.environment.gov.au/marin</w:t>
        </w:r>
        <w:r>
          <w:rPr>
            <w:color w:val="1B5BAA"/>
            <w:u w:val="single" w:color="1B5BAA"/>
          </w:rPr>
          <w:t>e/gbr/our-partners</w:t>
        </w:r>
      </w:hyperlink>
      <w:r>
        <w:rPr>
          <w:color w:val="231F20"/>
        </w:rPr>
        <w:t>.</w:t>
      </w: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spacing w:before="9"/>
        <w:rPr>
          <w:sz w:val="22"/>
        </w:rPr>
      </w:pPr>
    </w:p>
    <w:p w:rsidR="00D1511D" w:rsidRDefault="003F0CB3">
      <w:pPr>
        <w:ind w:left="1417"/>
        <w:rPr>
          <w:rFonts w:ascii="Myriad Pro"/>
          <w:sz w:val="16"/>
        </w:rPr>
      </w:pPr>
      <w:r>
        <w:rPr>
          <w:rFonts w:ascii="Myriad Pro"/>
          <w:color w:val="231F20"/>
          <w:sz w:val="16"/>
        </w:rPr>
        <w:t xml:space="preserve">30 / </w:t>
      </w:r>
      <w:r>
        <w:rPr>
          <w:rFonts w:ascii="Myriad Pro"/>
          <w:color w:val="005695"/>
          <w:sz w:val="16"/>
        </w:rPr>
        <w:t xml:space="preserve">State Party Report on the state of conservation of the </w:t>
      </w:r>
      <w:r>
        <w:rPr>
          <w:rFonts w:ascii="Myriad Pro"/>
          <w:b/>
          <w:color w:val="005695"/>
          <w:sz w:val="16"/>
        </w:rPr>
        <w:t xml:space="preserve">Great Barrier Reef World Heritage Area (Australia) </w:t>
      </w:r>
      <w:r>
        <w:rPr>
          <w:rFonts w:ascii="Myriad Pro"/>
          <w:color w:val="005695"/>
          <w:sz w:val="16"/>
        </w:rPr>
        <w:t>2019</w:t>
      </w:r>
    </w:p>
    <w:p w:rsidR="00D1511D" w:rsidRDefault="00D1511D">
      <w:pPr>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11"/>
        <w:rPr>
          <w:rFonts w:ascii="Myriad Pro"/>
          <w:sz w:val="17"/>
        </w:rPr>
      </w:pPr>
    </w:p>
    <w:p w:rsidR="00D1511D" w:rsidRDefault="003F0CB3">
      <w:pPr>
        <w:pStyle w:val="Heading2"/>
        <w:numPr>
          <w:ilvl w:val="1"/>
          <w:numId w:val="15"/>
        </w:numPr>
        <w:tabs>
          <w:tab w:val="left" w:pos="2420"/>
          <w:tab w:val="left" w:pos="2421"/>
        </w:tabs>
        <w:spacing w:before="110" w:line="237" w:lineRule="auto"/>
        <w:ind w:right="1697"/>
      </w:pPr>
      <w:r>
        <w:rPr>
          <w:b w:val="0"/>
        </w:rPr>
        <w:tab/>
      </w:r>
      <w:r>
        <w:rPr>
          <w:color w:val="005695"/>
        </w:rPr>
        <w:t>Effective</w:t>
      </w:r>
      <w:r>
        <w:rPr>
          <w:color w:val="005695"/>
          <w:spacing w:val="-13"/>
        </w:rPr>
        <w:t xml:space="preserve"> </w:t>
      </w:r>
      <w:r>
        <w:rPr>
          <w:color w:val="005695"/>
        </w:rPr>
        <w:t>performance</w:t>
      </w:r>
      <w:r>
        <w:rPr>
          <w:color w:val="005695"/>
          <w:spacing w:val="-13"/>
        </w:rPr>
        <w:t xml:space="preserve"> </w:t>
      </w:r>
      <w:r>
        <w:rPr>
          <w:color w:val="005695"/>
        </w:rPr>
        <w:t>in</w:t>
      </w:r>
      <w:r>
        <w:rPr>
          <w:color w:val="005695"/>
          <w:spacing w:val="-12"/>
        </w:rPr>
        <w:t xml:space="preserve"> </w:t>
      </w:r>
      <w:r>
        <w:rPr>
          <w:color w:val="005695"/>
        </w:rPr>
        <w:t>meeting</w:t>
      </w:r>
      <w:r>
        <w:rPr>
          <w:color w:val="005695"/>
          <w:spacing w:val="-13"/>
        </w:rPr>
        <w:t xml:space="preserve"> </w:t>
      </w:r>
      <w:r>
        <w:rPr>
          <w:color w:val="005695"/>
        </w:rPr>
        <w:t>the</w:t>
      </w:r>
      <w:r>
        <w:rPr>
          <w:color w:val="005695"/>
          <w:spacing w:val="-12"/>
        </w:rPr>
        <w:t xml:space="preserve"> </w:t>
      </w:r>
      <w:r>
        <w:rPr>
          <w:color w:val="005695"/>
        </w:rPr>
        <w:t>targets</w:t>
      </w:r>
      <w:r>
        <w:rPr>
          <w:color w:val="005695"/>
          <w:spacing w:val="-13"/>
        </w:rPr>
        <w:t xml:space="preserve"> </w:t>
      </w:r>
      <w:r>
        <w:rPr>
          <w:color w:val="005695"/>
        </w:rPr>
        <w:t xml:space="preserve">established under the Reef </w:t>
      </w:r>
      <w:r>
        <w:rPr>
          <w:color w:val="005695"/>
          <w:spacing w:val="-4"/>
        </w:rPr>
        <w:t>2050</w:t>
      </w:r>
      <w:r>
        <w:rPr>
          <w:color w:val="005695"/>
          <w:spacing w:val="-1"/>
        </w:rPr>
        <w:t xml:space="preserve"> </w:t>
      </w:r>
      <w:r>
        <w:rPr>
          <w:color w:val="005695"/>
          <w:spacing w:val="-3"/>
        </w:rPr>
        <w:t>Plan</w:t>
      </w:r>
    </w:p>
    <w:p w:rsidR="00D1511D" w:rsidRDefault="003F0CB3">
      <w:pPr>
        <w:pStyle w:val="BodyText"/>
        <w:spacing w:before="3"/>
        <w:rPr>
          <w:rFonts w:ascii="MyriadPro-Semibold"/>
          <w:b/>
          <w:sz w:val="12"/>
        </w:rPr>
      </w:pPr>
      <w:r>
        <w:pict>
          <v:shape id="_x0000_s1262" type="#_x0000_t202" alt="" style="position:absolute;margin-left:85.05pt;margin-top:8.55pt;width:439.4pt;height:105.6pt;z-index:-251634688;mso-wrap-style:square;mso-wrap-edited:f;mso-width-percent:0;mso-height-percent:0;mso-wrap-distance-left:0;mso-wrap-distance-right:0;mso-position-horizontal-relative:page;mso-width-percent:0;mso-height-percent:0;v-text-anchor:top" fillcolor="#cddfed" stroked="f">
            <v:textbox inset="0,0,0,0">
              <w:txbxContent>
                <w:p w:rsidR="00D1511D" w:rsidRDefault="00D1511D">
                  <w:pPr>
                    <w:pStyle w:val="BodyText"/>
                    <w:spacing w:before="3"/>
                    <w:rPr>
                      <w:rFonts w:ascii="MyriadPro-Semibold"/>
                      <w:b/>
                    </w:rPr>
                  </w:pPr>
                </w:p>
                <w:p w:rsidR="00D1511D" w:rsidRDefault="003F0CB3">
                  <w:pPr>
                    <w:pStyle w:val="BodyText"/>
                    <w:spacing w:line="280" w:lineRule="auto"/>
                    <w:ind w:left="283" w:right="299"/>
                  </w:pPr>
                  <w:r>
                    <w:rPr>
                      <w:b/>
                      <w:color w:val="231F20"/>
                    </w:rPr>
                    <w:t>41 COM 7B.24 Paragraph 6</w:t>
                  </w:r>
                  <w:r>
                    <w:rPr>
                      <w:color w:val="231F20"/>
                    </w:rPr>
                    <w:t>: Reiterates its request to the State Party to submit to the World Heritage Centre, by 1 December 2019, an overall report on the state of conservation of the property demonstrating the effective and sustained protection of the property’s Outstanding Univer</w:t>
                  </w:r>
                  <w:r>
                    <w:rPr>
                      <w:color w:val="231F20"/>
                    </w:rPr>
                    <w:t xml:space="preserve">sal Value and </w:t>
                  </w:r>
                  <w:r>
                    <w:rPr>
                      <w:b/>
                      <w:color w:val="231F20"/>
                    </w:rPr>
                    <w:t xml:space="preserve">effective performance in meeting the targets established under the 2050 LTSP, </w:t>
                  </w:r>
                  <w:r>
                    <w:rPr>
                      <w:color w:val="231F20"/>
                    </w:rPr>
                    <w:t>linked to the findings of the 2014 and 2019 Great Barrier Reef outlook reports, for examination by the World Heritage Committee at its 44th session in 2020.</w:t>
                  </w:r>
                </w:p>
              </w:txbxContent>
            </v:textbox>
            <w10:wrap type="topAndBottom" anchorx="page"/>
          </v:shape>
        </w:pict>
      </w:r>
    </w:p>
    <w:p w:rsidR="00D1511D" w:rsidRDefault="00D1511D">
      <w:pPr>
        <w:pStyle w:val="BodyText"/>
        <w:spacing w:before="3"/>
        <w:rPr>
          <w:rFonts w:ascii="MyriadPro-Semibold"/>
          <w:b/>
          <w:sz w:val="6"/>
        </w:rPr>
      </w:pPr>
    </w:p>
    <w:p w:rsidR="00D1511D" w:rsidRDefault="003F0CB3">
      <w:pPr>
        <w:pStyle w:val="Heading5"/>
      </w:pPr>
      <w:r>
        <w:rPr>
          <w:color w:val="231F20"/>
        </w:rPr>
        <w:t>State Party’s Response</w:t>
      </w:r>
    </w:p>
    <w:p w:rsidR="00D1511D" w:rsidRDefault="003F0CB3">
      <w:pPr>
        <w:pStyle w:val="ListParagraph"/>
        <w:numPr>
          <w:ilvl w:val="2"/>
          <w:numId w:val="15"/>
        </w:numPr>
        <w:tabs>
          <w:tab w:val="left" w:pos="2421"/>
        </w:tabs>
        <w:spacing w:before="169"/>
        <w:rPr>
          <w:rFonts w:ascii="Myriad Pro"/>
          <w:sz w:val="28"/>
        </w:rPr>
      </w:pPr>
      <w:r>
        <w:rPr>
          <w:rFonts w:ascii="Myriad Pro"/>
          <w:color w:val="005695"/>
          <w:spacing w:val="-4"/>
          <w:sz w:val="28"/>
        </w:rPr>
        <w:t xml:space="preserve">Progress </w:t>
      </w:r>
      <w:r>
        <w:rPr>
          <w:rFonts w:ascii="Myriad Pro"/>
          <w:color w:val="005695"/>
          <w:spacing w:val="-3"/>
          <w:sz w:val="28"/>
        </w:rPr>
        <w:t xml:space="preserve">implementing </w:t>
      </w:r>
      <w:r>
        <w:rPr>
          <w:rFonts w:ascii="Myriad Pro"/>
          <w:color w:val="005695"/>
          <w:spacing w:val="-2"/>
          <w:sz w:val="28"/>
        </w:rPr>
        <w:t xml:space="preserve">the </w:t>
      </w:r>
      <w:r>
        <w:rPr>
          <w:rFonts w:ascii="Myriad Pro"/>
          <w:color w:val="005695"/>
          <w:sz w:val="28"/>
        </w:rPr>
        <w:t xml:space="preserve">Reef </w:t>
      </w:r>
      <w:r>
        <w:rPr>
          <w:rFonts w:ascii="Myriad Pro"/>
          <w:color w:val="005695"/>
          <w:spacing w:val="-5"/>
          <w:sz w:val="28"/>
        </w:rPr>
        <w:t>2050</w:t>
      </w:r>
      <w:r>
        <w:rPr>
          <w:rFonts w:ascii="Myriad Pro"/>
          <w:color w:val="005695"/>
          <w:spacing w:val="9"/>
          <w:sz w:val="28"/>
        </w:rPr>
        <w:t xml:space="preserve"> </w:t>
      </w:r>
      <w:r>
        <w:rPr>
          <w:rFonts w:ascii="Myriad Pro"/>
          <w:color w:val="005695"/>
          <w:spacing w:val="-4"/>
          <w:sz w:val="28"/>
        </w:rPr>
        <w:t>Plan</w:t>
      </w:r>
    </w:p>
    <w:p w:rsidR="00D1511D" w:rsidRDefault="003F0CB3">
      <w:pPr>
        <w:pStyle w:val="BodyText"/>
        <w:spacing w:before="195" w:line="280" w:lineRule="auto"/>
        <w:ind w:left="1700" w:right="1923"/>
      </w:pPr>
      <w:r>
        <w:rPr>
          <w:color w:val="231F20"/>
        </w:rPr>
        <w:t>The Reef was seriously affected by extreme weather events after the development of the Reef 2050 Plan in 2015 and this has impacted the ability to meet targets despite the actions of the Austr</w:t>
      </w:r>
      <w:r>
        <w:rPr>
          <w:color w:val="231F20"/>
        </w:rPr>
        <w:t>alian and Queensland</w:t>
      </w:r>
    </w:p>
    <w:p w:rsidR="00D1511D" w:rsidRDefault="003F0CB3">
      <w:pPr>
        <w:pStyle w:val="BodyText"/>
        <w:spacing w:line="280" w:lineRule="auto"/>
        <w:ind w:left="1700" w:right="1467"/>
      </w:pPr>
      <w:r>
        <w:rPr>
          <w:color w:val="231F20"/>
        </w:rPr>
        <w:t>governments, their partners and stakeholders. The mass coral bleaching events of 2016 and 2017, together with the impacts of six tropical cyclones since 2014, significantly impacted ecosystem health and biodiversity and this is reflect</w:t>
      </w:r>
      <w:r>
        <w:rPr>
          <w:color w:val="231F20"/>
        </w:rPr>
        <w:t>ed in the performance measures set out below.</w:t>
      </w:r>
    </w:p>
    <w:p w:rsidR="00D1511D" w:rsidRDefault="003F0CB3">
      <w:pPr>
        <w:pStyle w:val="BodyText"/>
        <w:spacing w:before="166" w:line="280" w:lineRule="auto"/>
        <w:ind w:left="1700" w:right="1419"/>
        <w:jc w:val="both"/>
      </w:pPr>
      <w:r>
        <w:rPr>
          <w:color w:val="231F20"/>
          <w:spacing w:val="-3"/>
        </w:rPr>
        <w:t xml:space="preserve">Similarly, </w:t>
      </w:r>
      <w:r>
        <w:rPr>
          <w:color w:val="231F20"/>
        </w:rPr>
        <w:t>poor water quality is a big, system-wide challenge. The changes in land management needed to improve water quality require substantial investment and take time to implement – this means it can be yea</w:t>
      </w:r>
      <w:r>
        <w:rPr>
          <w:color w:val="231F20"/>
        </w:rPr>
        <w:t xml:space="preserve">rs before we </w:t>
      </w:r>
      <w:r>
        <w:rPr>
          <w:color w:val="231F20"/>
          <w:spacing w:val="-5"/>
        </w:rPr>
        <w:t xml:space="preserve">see </w:t>
      </w:r>
      <w:r>
        <w:rPr>
          <w:color w:val="231F20"/>
        </w:rPr>
        <w:t xml:space="preserve">the results on the ground, and this reality is reflected in the performance reported </w:t>
      </w:r>
      <w:r>
        <w:rPr>
          <w:color w:val="231F20"/>
          <w:spacing w:val="-3"/>
        </w:rPr>
        <w:t>below.</w:t>
      </w:r>
    </w:p>
    <w:p w:rsidR="00D1511D" w:rsidRDefault="003F0CB3">
      <w:pPr>
        <w:pStyle w:val="BodyText"/>
        <w:spacing w:before="168" w:line="280" w:lineRule="auto"/>
        <w:ind w:left="1700" w:right="1505"/>
      </w:pPr>
      <w:r>
        <w:rPr>
          <w:noProof/>
        </w:rPr>
        <w:drawing>
          <wp:anchor distT="0" distB="0" distL="0" distR="0" simplePos="0" relativeHeight="24" behindDoc="0" locked="0" layoutInCell="1" allowOverlap="1">
            <wp:simplePos x="0" y="0"/>
            <wp:positionH relativeFrom="page">
              <wp:posOffset>1086540</wp:posOffset>
            </wp:positionH>
            <wp:positionV relativeFrom="paragraph">
              <wp:posOffset>1238209</wp:posOffset>
            </wp:positionV>
            <wp:extent cx="5416770" cy="3644836"/>
            <wp:effectExtent l="0" t="0" r="0" b="0"/>
            <wp:wrapTopAndBottom/>
            <wp:docPr id="7" name="image16.jpeg" descr="This figure shows a summary of progress on the implementation of the Reef 2050 Plan actions, according to the 2017 Annual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jpeg"/>
                    <pic:cNvPicPr/>
                  </pic:nvPicPr>
                  <pic:blipFill>
                    <a:blip r:embed="rId70" cstate="print"/>
                    <a:stretch>
                      <a:fillRect/>
                    </a:stretch>
                  </pic:blipFill>
                  <pic:spPr>
                    <a:xfrm>
                      <a:off x="0" y="0"/>
                      <a:ext cx="5416770" cy="3644836"/>
                    </a:xfrm>
                    <a:prstGeom prst="rect">
                      <a:avLst/>
                    </a:prstGeom>
                  </pic:spPr>
                </pic:pic>
              </a:graphicData>
            </a:graphic>
          </wp:anchor>
        </w:drawing>
      </w:r>
      <w:r>
        <w:rPr>
          <w:color w:val="231F20"/>
        </w:rPr>
        <w:t xml:space="preserve">Progress on the implementation of the Reef 2050 Plan is reported annually. </w:t>
      </w:r>
      <w:hyperlink r:id="rId71">
        <w:r>
          <w:rPr>
            <w:color w:val="1B5BAA"/>
            <w:u w:val="single" w:color="1B5BAA"/>
          </w:rPr>
          <w:t>Annual reports</w:t>
        </w:r>
      </w:hyperlink>
      <w:r>
        <w:rPr>
          <w:color w:val="231F20"/>
        </w:rPr>
        <w:t>, provided to the Great Barrier Reef Ministerial Forum, highlight key achievements during the year and include case studies demonstrating the range of work undertaken by Reef 2050 delivery partners. Substan</w:t>
      </w:r>
      <w:r>
        <w:rPr>
          <w:color w:val="231F20"/>
        </w:rPr>
        <w:t xml:space="preserve">tial progress has been made in implementing the 151 actions under the original Reef 2050 Plan. The Reef 2050 Plan </w:t>
      </w:r>
      <w:hyperlink r:id="rId72">
        <w:r>
          <w:rPr>
            <w:color w:val="1B5BAA"/>
            <w:u w:val="single" w:color="1B5BAA"/>
          </w:rPr>
          <w:t>2017 Annual Report</w:t>
        </w:r>
      </w:hyperlink>
      <w:r>
        <w:rPr>
          <w:color w:val="1B5BAA"/>
        </w:rPr>
        <w:t xml:space="preserve"> </w:t>
      </w:r>
      <w:r>
        <w:rPr>
          <w:color w:val="231F20"/>
        </w:rPr>
        <w:t>showed that more than 25 per cent of the actions were completed or in place and over 70 per cent were on track or underway, as shown in the figure below.</w:t>
      </w:r>
    </w:p>
    <w:p w:rsidR="00D1511D" w:rsidRDefault="003F0CB3">
      <w:pPr>
        <w:spacing w:before="80"/>
        <w:ind w:right="1415"/>
        <w:jc w:val="right"/>
        <w:rPr>
          <w:rFonts w:ascii="Myriad Pro"/>
          <w:sz w:val="16"/>
        </w:rPr>
      </w:pPr>
      <w:r>
        <w:rPr>
          <w:rFonts w:ascii="Myriad Pro"/>
          <w:color w:val="231F20"/>
          <w:sz w:val="16"/>
        </w:rPr>
        <w:t>31</w:t>
      </w:r>
    </w:p>
    <w:p w:rsidR="00D1511D" w:rsidRDefault="00D1511D">
      <w:pPr>
        <w:jc w:val="right"/>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8"/>
        <w:rPr>
          <w:rFonts w:ascii="Myriad Pro"/>
        </w:rPr>
      </w:pPr>
    </w:p>
    <w:p w:rsidR="00D1511D" w:rsidRDefault="003F0CB3">
      <w:pPr>
        <w:pStyle w:val="BodyText"/>
        <w:spacing w:before="98" w:line="280" w:lineRule="auto"/>
        <w:ind w:left="1696" w:right="1383"/>
      </w:pPr>
      <w:r>
        <w:rPr>
          <w:color w:val="231F20"/>
        </w:rPr>
        <w:t>The revised Reef 2050 Plan, released in July 2018, includ</w:t>
      </w:r>
      <w:r>
        <w:rPr>
          <w:color w:val="231F20"/>
        </w:rPr>
        <w:t>ed a set of actions comprised of updated targets from the original Reef 2050 Plan, along with new actions developed to reflect the current state of the Reef. In total, there are 70 actions in the current Reef 2050 Plan. A summary of progress against them i</w:t>
      </w:r>
      <w:r>
        <w:rPr>
          <w:color w:val="231F20"/>
        </w:rPr>
        <w:t>s provided in the figure below:</w:t>
      </w:r>
    </w:p>
    <w:p w:rsidR="00D1511D" w:rsidRDefault="003F0CB3">
      <w:pPr>
        <w:pStyle w:val="BodyText"/>
        <w:spacing w:before="5"/>
        <w:rPr>
          <w:sz w:val="11"/>
        </w:rPr>
      </w:pPr>
      <w:r>
        <w:rPr>
          <w:noProof/>
        </w:rPr>
        <w:drawing>
          <wp:anchor distT="0" distB="0" distL="0" distR="0" simplePos="0" relativeHeight="25" behindDoc="0" locked="0" layoutInCell="1" allowOverlap="1">
            <wp:simplePos x="0" y="0"/>
            <wp:positionH relativeFrom="page">
              <wp:posOffset>1079999</wp:posOffset>
            </wp:positionH>
            <wp:positionV relativeFrom="paragraph">
              <wp:posOffset>111772</wp:posOffset>
            </wp:positionV>
            <wp:extent cx="5589123" cy="1859279"/>
            <wp:effectExtent l="0" t="0" r="0" b="0"/>
            <wp:wrapTopAndBottom/>
            <wp:docPr id="9" name="image17.jpeg" descr="This figure shows a summary of progress on the implementation of the Reef 2050 Plan actions, according to the revised Plan in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jpeg"/>
                    <pic:cNvPicPr/>
                  </pic:nvPicPr>
                  <pic:blipFill>
                    <a:blip r:embed="rId73" cstate="print"/>
                    <a:stretch>
                      <a:fillRect/>
                    </a:stretch>
                  </pic:blipFill>
                  <pic:spPr>
                    <a:xfrm>
                      <a:off x="0" y="0"/>
                      <a:ext cx="5589123" cy="1859279"/>
                    </a:xfrm>
                    <a:prstGeom prst="rect">
                      <a:avLst/>
                    </a:prstGeom>
                  </pic:spPr>
                </pic:pic>
              </a:graphicData>
            </a:graphic>
          </wp:anchor>
        </w:drawing>
      </w:r>
    </w:p>
    <w:p w:rsidR="00D1511D" w:rsidRDefault="003F0CB3">
      <w:pPr>
        <w:pStyle w:val="BodyText"/>
        <w:spacing w:before="185" w:line="280" w:lineRule="auto"/>
        <w:ind w:left="1696" w:right="1419"/>
      </w:pPr>
      <w:r>
        <w:rPr>
          <w:color w:val="231F20"/>
        </w:rPr>
        <w:t xml:space="preserve">Comprehensive progress updates for all Reef 2050 Plan actions are published on the Atlas of Living Australia every six months. All Reef 2050 Action Reports are available at: </w:t>
      </w:r>
      <w:hyperlink r:id="rId74" w:anchor="reportView-heading">
        <w:r>
          <w:rPr>
            <w:color w:val="1B5BAA"/>
            <w:u w:val="single" w:color="1B5BAA"/>
          </w:rPr>
          <w:t>https://fieldcapture.ala.org.au/home/projectExplo</w:t>
        </w:r>
      </w:hyperlink>
      <w:r>
        <w:rPr>
          <w:color w:val="1B5BAA"/>
        </w:rPr>
        <w:t xml:space="preserve"> </w:t>
      </w:r>
      <w:hyperlink r:id="rId75" w:anchor="reportView-heading">
        <w:proofErr w:type="spellStart"/>
        <w:r>
          <w:rPr>
            <w:color w:val="1B5BAA"/>
            <w:u w:val="single" w:color="1B5BAA"/>
          </w:rPr>
          <w:t>rer#reportView-heading</w:t>
        </w:r>
        <w:proofErr w:type="spellEnd"/>
      </w:hyperlink>
      <w:r>
        <w:rPr>
          <w:color w:val="231F20"/>
        </w:rPr>
        <w:t>.</w:t>
      </w:r>
    </w:p>
    <w:p w:rsidR="00D1511D" w:rsidRDefault="00D1511D">
      <w:pPr>
        <w:pStyle w:val="BodyText"/>
        <w:spacing w:before="6"/>
        <w:rPr>
          <w:sz w:val="29"/>
        </w:rPr>
      </w:pPr>
    </w:p>
    <w:p w:rsidR="00D1511D" w:rsidRDefault="003F0CB3">
      <w:pPr>
        <w:pStyle w:val="ListParagraph"/>
        <w:numPr>
          <w:ilvl w:val="2"/>
          <w:numId w:val="15"/>
        </w:numPr>
        <w:tabs>
          <w:tab w:val="left" w:pos="2417"/>
        </w:tabs>
        <w:ind w:left="2416"/>
        <w:rPr>
          <w:rFonts w:ascii="Myriad Pro"/>
          <w:sz w:val="28"/>
        </w:rPr>
      </w:pPr>
      <w:r>
        <w:rPr>
          <w:rFonts w:ascii="Myriad Pro"/>
          <w:color w:val="005695"/>
          <w:spacing w:val="-3"/>
          <w:sz w:val="28"/>
        </w:rPr>
        <w:t xml:space="preserve">Assessment </w:t>
      </w:r>
      <w:r>
        <w:rPr>
          <w:rFonts w:ascii="Myriad Pro"/>
          <w:color w:val="005695"/>
          <w:sz w:val="28"/>
        </w:rPr>
        <w:t xml:space="preserve">of </w:t>
      </w:r>
      <w:r>
        <w:rPr>
          <w:rFonts w:ascii="Myriad Pro"/>
          <w:color w:val="005695"/>
          <w:spacing w:val="-3"/>
          <w:sz w:val="28"/>
        </w:rPr>
        <w:t xml:space="preserve">progress against </w:t>
      </w:r>
      <w:r>
        <w:rPr>
          <w:rFonts w:ascii="Myriad Pro"/>
          <w:color w:val="005695"/>
          <w:spacing w:val="-4"/>
          <w:sz w:val="28"/>
        </w:rPr>
        <w:t>current</w:t>
      </w:r>
      <w:r>
        <w:rPr>
          <w:rFonts w:ascii="Myriad Pro"/>
          <w:color w:val="005695"/>
          <w:spacing w:val="6"/>
          <w:sz w:val="28"/>
        </w:rPr>
        <w:t xml:space="preserve"> </w:t>
      </w:r>
      <w:r>
        <w:rPr>
          <w:rFonts w:ascii="Myriad Pro"/>
          <w:color w:val="005695"/>
          <w:sz w:val="28"/>
        </w:rPr>
        <w:t>targets</w:t>
      </w:r>
    </w:p>
    <w:p w:rsidR="00D1511D" w:rsidRDefault="003F0CB3">
      <w:pPr>
        <w:pStyle w:val="BodyText"/>
        <w:spacing w:before="195" w:line="280" w:lineRule="auto"/>
        <w:ind w:left="1696" w:right="1626"/>
      </w:pPr>
      <w:r>
        <w:rPr>
          <w:color w:val="231F20"/>
          <w:spacing w:val="-12"/>
        </w:rPr>
        <w:t xml:space="preserve">To </w:t>
      </w:r>
      <w:r>
        <w:rPr>
          <w:color w:val="231F20"/>
        </w:rPr>
        <w:t>demonstrate the exten</w:t>
      </w:r>
      <w:r>
        <w:rPr>
          <w:color w:val="231F20"/>
        </w:rPr>
        <w:t>t of progress against the Reef 2050 Plan, at least one target from each of the Reef 2050 Plan themes was selected for in-depth assessment. The targets were selected after consideration of</w:t>
      </w:r>
      <w:r>
        <w:rPr>
          <w:color w:val="231F20"/>
          <w:spacing w:val="-23"/>
        </w:rPr>
        <w:t xml:space="preserve"> </w:t>
      </w:r>
      <w:r>
        <w:rPr>
          <w:color w:val="231F20"/>
          <w:spacing w:val="-3"/>
        </w:rPr>
        <w:t xml:space="preserve">whether </w:t>
      </w:r>
      <w:r>
        <w:rPr>
          <w:color w:val="231F20"/>
        </w:rPr>
        <w:t xml:space="preserve">the intent of the target was </w:t>
      </w:r>
      <w:r>
        <w:rPr>
          <w:color w:val="231F20"/>
          <w:spacing w:val="-3"/>
        </w:rPr>
        <w:t xml:space="preserve">clear, </w:t>
      </w:r>
      <w:r>
        <w:rPr>
          <w:color w:val="231F20"/>
        </w:rPr>
        <w:t>what spatial and tempora</w:t>
      </w:r>
      <w:r>
        <w:rPr>
          <w:color w:val="231F20"/>
        </w:rPr>
        <w:t>l scales applied to the target, and whether accurate information was available to support the assessment. These targets cover ecosystem health; biodiversity;</w:t>
      </w:r>
      <w:r>
        <w:rPr>
          <w:color w:val="231F20"/>
          <w:spacing w:val="-30"/>
        </w:rPr>
        <w:t xml:space="preserve"> </w:t>
      </w:r>
      <w:r>
        <w:rPr>
          <w:color w:val="231F20"/>
        </w:rPr>
        <w:t>cultural heritage; water quality; social, community and economic benefits; and governance. The primary source of information that informed this assessment is the 2019 Outlook</w:t>
      </w:r>
      <w:r>
        <w:rPr>
          <w:color w:val="231F20"/>
          <w:spacing w:val="-1"/>
        </w:rPr>
        <w:t xml:space="preserve"> </w:t>
      </w:r>
      <w:r>
        <w:rPr>
          <w:color w:val="231F20"/>
        </w:rPr>
        <w:t>Report.</w:t>
      </w:r>
    </w:p>
    <w:p w:rsidR="00D1511D" w:rsidRDefault="00D1511D">
      <w:pPr>
        <w:pStyle w:val="BodyText"/>
        <w:spacing w:before="3"/>
        <w:rPr>
          <w:sz w:val="29"/>
        </w:rPr>
      </w:pPr>
    </w:p>
    <w:p w:rsidR="00D1511D" w:rsidRDefault="003F0CB3">
      <w:pPr>
        <w:pStyle w:val="Heading3"/>
        <w:ind w:left="1696"/>
      </w:pPr>
      <w:r>
        <w:rPr>
          <w:color w:val="005695"/>
        </w:rPr>
        <w:t>4.3.2a Ecosystem health</w:t>
      </w:r>
    </w:p>
    <w:p w:rsidR="00D1511D" w:rsidRDefault="003F0CB3">
      <w:pPr>
        <w:pStyle w:val="BodyText"/>
        <w:spacing w:before="195"/>
        <w:ind w:left="1696"/>
      </w:pPr>
      <w:r>
        <w:rPr>
          <w:color w:val="231F20"/>
        </w:rPr>
        <w:t>Ecosystem health encompasses habitats and proces</w:t>
      </w:r>
      <w:r>
        <w:rPr>
          <w:color w:val="231F20"/>
        </w:rPr>
        <w:t>ses that operate to keep an ecosystem functioning and resilient.</w:t>
      </w:r>
    </w:p>
    <w:p w:rsidR="00D1511D" w:rsidRDefault="003F0CB3">
      <w:pPr>
        <w:pStyle w:val="BodyText"/>
        <w:spacing w:before="40" w:line="280" w:lineRule="auto"/>
        <w:ind w:left="1696" w:right="1757"/>
      </w:pPr>
      <w:r>
        <w:rPr>
          <w:color w:val="231F20"/>
        </w:rPr>
        <w:t xml:space="preserve">Resilience cannot be measured directly – assessing the resilience of a system depends on how well it responds to and recovers from </w:t>
      </w:r>
      <w:proofErr w:type="gramStart"/>
      <w:r>
        <w:rPr>
          <w:color w:val="231F20"/>
        </w:rPr>
        <w:t>disturbance, and</w:t>
      </w:r>
      <w:proofErr w:type="gramEnd"/>
      <w:r>
        <w:rPr>
          <w:color w:val="231F20"/>
        </w:rPr>
        <w:t xml:space="preserve"> is a function of its health. Changes in hab</w:t>
      </w:r>
      <w:r>
        <w:rPr>
          <w:color w:val="231F20"/>
        </w:rPr>
        <w:t>itats and species listed below can only be used as an approximate indicator of ecosystem status – the 2019 Outlook Report also includes an assessment of key ecosystem processes (refer Chapter 3 of the Outlook Report).</w:t>
      </w:r>
    </w:p>
    <w:p w:rsidR="00D1511D" w:rsidRDefault="003F0CB3">
      <w:pPr>
        <w:pStyle w:val="BodyText"/>
        <w:spacing w:before="167" w:line="280" w:lineRule="auto"/>
        <w:ind w:left="1696" w:right="1673"/>
      </w:pPr>
      <w:r>
        <w:rPr>
          <w:color w:val="231F20"/>
        </w:rPr>
        <w:t>The ecosystem health targets within th</w:t>
      </w:r>
      <w:r>
        <w:rPr>
          <w:color w:val="231F20"/>
        </w:rPr>
        <w:t xml:space="preserve">e Reef 2050 Plan focus on key ecological and biological processes important to Reef function. Two selected targets against which progress has been measured are detailed </w:t>
      </w:r>
      <w:proofErr w:type="gramStart"/>
      <w:r>
        <w:rPr>
          <w:color w:val="231F20"/>
        </w:rPr>
        <w:t>below, and</w:t>
      </w:r>
      <w:proofErr w:type="gramEnd"/>
      <w:r>
        <w:rPr>
          <w:color w:val="231F20"/>
        </w:rPr>
        <w:t xml:space="preserve"> relate to key habitats and coastal ecosystems.</w:t>
      </w:r>
    </w:p>
    <w:p w:rsidR="00D1511D" w:rsidRDefault="00D1511D">
      <w:pPr>
        <w:pStyle w:val="BodyText"/>
      </w:pPr>
    </w:p>
    <w:p w:rsidR="00D1511D" w:rsidRDefault="003F0CB3">
      <w:pPr>
        <w:pStyle w:val="BodyText"/>
        <w:spacing w:before="2"/>
        <w:rPr>
          <w:sz w:val="11"/>
        </w:rPr>
      </w:pPr>
      <w:r>
        <w:pict>
          <v:shape id="_x0000_s1261" type="#_x0000_t202" alt="" style="position:absolute;margin-left:85.05pt;margin-top:7.9pt;width:439.7pt;height:98.55pt;z-index:-251631616;mso-wrap-style:square;mso-wrap-edited:f;mso-width-percent:0;mso-height-percent:0;mso-wrap-distance-left:0;mso-wrap-distance-right:0;mso-position-horizontal-relative:page;mso-width-percent:0;mso-height-percent:0;v-text-anchor:top" fillcolor="#d2e3de" stroked="f">
            <v:textbox inset="0,0,0,0">
              <w:txbxContent>
                <w:p w:rsidR="00D1511D" w:rsidRDefault="00D1511D">
                  <w:pPr>
                    <w:pStyle w:val="BodyText"/>
                    <w:spacing w:before="3"/>
                    <w:rPr>
                      <w:sz w:val="18"/>
                    </w:rPr>
                  </w:pPr>
                </w:p>
                <w:p w:rsidR="00D1511D" w:rsidRDefault="003F0CB3">
                  <w:pPr>
                    <w:pStyle w:val="BodyText"/>
                    <w:spacing w:line="280" w:lineRule="auto"/>
                    <w:ind w:left="278" w:right="194"/>
                  </w:pPr>
                  <w:r>
                    <w:rPr>
                      <w:color w:val="231F20"/>
                    </w:rPr>
                    <w:t>Target: Condition and resilience indicators for coral reefs, seagrass meadows, islands, estuaries, shoals and inter-</w:t>
                  </w:r>
                  <w:proofErr w:type="spellStart"/>
                  <w:r>
                    <w:rPr>
                      <w:color w:val="231F20"/>
                    </w:rPr>
                    <w:t>reefal</w:t>
                  </w:r>
                  <w:proofErr w:type="spellEnd"/>
                  <w:r>
                    <w:rPr>
                      <w:color w:val="231F20"/>
                    </w:rPr>
                    <w:t xml:space="preserve"> shelf habitats are on a trajectory towards at least good condition at local, regional and Reef-wide scales (EHT5).</w:t>
                  </w:r>
                </w:p>
                <w:p w:rsidR="00D1511D" w:rsidRDefault="003F0CB3">
                  <w:pPr>
                    <w:pStyle w:val="BodyText"/>
                    <w:spacing w:before="168" w:line="280" w:lineRule="auto"/>
                    <w:ind w:left="278"/>
                  </w:pPr>
                  <w:r>
                    <w:rPr>
                      <w:color w:val="231F20"/>
                    </w:rPr>
                    <w:t>In this target ‘co</w:t>
                  </w:r>
                  <w:r>
                    <w:rPr>
                      <w:color w:val="231F20"/>
                    </w:rPr>
                    <w:t>ndition and resilience indicators’ included consideration of the abundance, diversity, and recruitment success or reproductive potential of the listed habitats (where data was available).</w:t>
                  </w:r>
                </w:p>
              </w:txbxContent>
            </v:textbox>
            <w10:wrap type="topAndBottom" anchorx="page"/>
          </v:shape>
        </w:pict>
      </w:r>
    </w:p>
    <w:p w:rsidR="00D1511D" w:rsidRDefault="00D1511D">
      <w:pPr>
        <w:pStyle w:val="BodyText"/>
      </w:pPr>
    </w:p>
    <w:p w:rsidR="00D1511D" w:rsidRDefault="00D1511D">
      <w:pPr>
        <w:pStyle w:val="BodyText"/>
      </w:pPr>
    </w:p>
    <w:p w:rsidR="00D1511D" w:rsidRDefault="00D1511D">
      <w:pPr>
        <w:pStyle w:val="BodyText"/>
      </w:pPr>
    </w:p>
    <w:p w:rsidR="00D1511D" w:rsidRDefault="00D1511D">
      <w:pPr>
        <w:pStyle w:val="BodyText"/>
        <w:spacing w:before="6"/>
        <w:rPr>
          <w:sz w:val="23"/>
        </w:rPr>
      </w:pPr>
    </w:p>
    <w:p w:rsidR="00D1511D" w:rsidRDefault="003F0CB3">
      <w:pPr>
        <w:spacing w:before="106"/>
        <w:ind w:left="1417"/>
        <w:rPr>
          <w:rFonts w:ascii="Myriad Pro"/>
          <w:sz w:val="16"/>
        </w:rPr>
      </w:pPr>
      <w:r>
        <w:rPr>
          <w:rFonts w:ascii="Myriad Pro"/>
          <w:color w:val="231F20"/>
          <w:sz w:val="16"/>
        </w:rPr>
        <w:t xml:space="preserve">32 / </w:t>
      </w:r>
      <w:r>
        <w:rPr>
          <w:rFonts w:ascii="Myriad Pro"/>
          <w:color w:val="005695"/>
          <w:sz w:val="16"/>
        </w:rPr>
        <w:t xml:space="preserve">State Party Report on the state of conservation of the </w:t>
      </w:r>
      <w:r>
        <w:rPr>
          <w:rFonts w:ascii="Myriad Pro"/>
          <w:b/>
          <w:color w:val="005695"/>
          <w:sz w:val="16"/>
        </w:rPr>
        <w:t>Gre</w:t>
      </w:r>
      <w:r>
        <w:rPr>
          <w:rFonts w:ascii="Myriad Pro"/>
          <w:b/>
          <w:color w:val="005695"/>
          <w:sz w:val="16"/>
        </w:rPr>
        <w:t xml:space="preserve">at Barrier Reef World Heritage Area (Australia) </w:t>
      </w:r>
      <w:r>
        <w:rPr>
          <w:rFonts w:ascii="Myriad Pro"/>
          <w:color w:val="005695"/>
          <w:sz w:val="16"/>
        </w:rPr>
        <w:t>2019</w:t>
      </w:r>
    </w:p>
    <w:p w:rsidR="00D1511D" w:rsidRDefault="00D1511D">
      <w:pPr>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7"/>
        <w:rPr>
          <w:rFonts w:ascii="Myriad Pro"/>
          <w:sz w:val="11"/>
        </w:rPr>
      </w:pPr>
    </w:p>
    <w:p w:rsidR="00D1511D" w:rsidRDefault="003F0CB3">
      <w:pPr>
        <w:pStyle w:val="BodyText"/>
        <w:ind w:left="1693"/>
        <w:rPr>
          <w:rFonts w:ascii="Myriad Pro"/>
        </w:rPr>
      </w:pPr>
      <w:r>
        <w:rPr>
          <w:rFonts w:ascii="Myriad Pro"/>
        </w:rPr>
      </w:r>
      <w:r>
        <w:rPr>
          <w:rFonts w:ascii="Myriad Pro"/>
        </w:rPr>
        <w:pict>
          <v:shape id="_x0000_s1260" type="#_x0000_t202" alt="" style="width:439.7pt;height:122.3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d2e3de" stroked="f">
            <v:textbox inset="0,0,0,0">
              <w:txbxContent>
                <w:p w:rsidR="00D1511D" w:rsidRDefault="00D1511D">
                  <w:pPr>
                    <w:pStyle w:val="BodyText"/>
                    <w:spacing w:before="7"/>
                    <w:rPr>
                      <w:rFonts w:ascii="Myriad Pro"/>
                    </w:rPr>
                  </w:pPr>
                </w:p>
                <w:p w:rsidR="00D1511D" w:rsidRDefault="003F0CB3">
                  <w:pPr>
                    <w:pStyle w:val="BodyText"/>
                    <w:ind w:left="291"/>
                  </w:pPr>
                  <w:r>
                    <w:rPr>
                      <w:color w:val="231F20"/>
                    </w:rPr>
                    <w:t>Key lines of evidence used to measure progress:</w:t>
                  </w:r>
                </w:p>
                <w:p w:rsidR="00D1511D" w:rsidRDefault="003F0CB3">
                  <w:pPr>
                    <w:pStyle w:val="BodyText"/>
                    <w:numPr>
                      <w:ilvl w:val="0"/>
                      <w:numId w:val="39"/>
                    </w:numPr>
                    <w:tabs>
                      <w:tab w:val="left" w:pos="651"/>
                      <w:tab w:val="left" w:pos="652"/>
                    </w:tabs>
                    <w:spacing w:before="210" w:line="280" w:lineRule="auto"/>
                    <w:ind w:right="1139"/>
                  </w:pPr>
                  <w:r>
                    <w:rPr>
                      <w:color w:val="231F20"/>
                    </w:rPr>
                    <w:t xml:space="preserve">Current condition and trend for listed habitats in 2019 Great Barrier Reef Outlook </w:t>
                  </w:r>
                  <w:r>
                    <w:rPr>
                      <w:color w:val="231F20"/>
                      <w:spacing w:val="-4"/>
                    </w:rPr>
                    <w:t xml:space="preserve">Report </w:t>
                  </w:r>
                  <w:r>
                    <w:rPr>
                      <w:color w:val="231F20"/>
                    </w:rPr>
                    <w:t>(Region-wide</w:t>
                  </w:r>
                  <w:r>
                    <w:rPr>
                      <w:color w:val="231F20"/>
                      <w:spacing w:val="-1"/>
                    </w:rPr>
                    <w:t xml:space="preserve"> </w:t>
                  </w:r>
                  <w:r>
                    <w:rPr>
                      <w:color w:val="231F20"/>
                    </w:rPr>
                    <w:t>scale)</w:t>
                  </w:r>
                </w:p>
                <w:p w:rsidR="00D1511D" w:rsidRDefault="003F0CB3">
                  <w:pPr>
                    <w:pStyle w:val="BodyText"/>
                    <w:numPr>
                      <w:ilvl w:val="0"/>
                      <w:numId w:val="39"/>
                    </w:numPr>
                    <w:tabs>
                      <w:tab w:val="left" w:pos="651"/>
                      <w:tab w:val="left" w:pos="652"/>
                    </w:tabs>
                    <w:spacing w:before="168"/>
                    <w:ind w:hanging="361"/>
                  </w:pPr>
                  <w:r>
                    <w:rPr>
                      <w:color w:val="231F20"/>
                    </w:rPr>
                    <w:t>Marine Monitoring Program (for inshore coral reefs and seagrass) (local and regional</w:t>
                  </w:r>
                  <w:r>
                    <w:rPr>
                      <w:color w:val="231F20"/>
                      <w:spacing w:val="-9"/>
                    </w:rPr>
                    <w:t xml:space="preserve"> </w:t>
                  </w:r>
                  <w:r>
                    <w:rPr>
                      <w:color w:val="231F20"/>
                    </w:rPr>
                    <w:t>scale)</w:t>
                  </w:r>
                </w:p>
                <w:p w:rsidR="00D1511D" w:rsidRDefault="003F0CB3">
                  <w:pPr>
                    <w:pStyle w:val="BodyText"/>
                    <w:numPr>
                      <w:ilvl w:val="0"/>
                      <w:numId w:val="39"/>
                    </w:numPr>
                    <w:tabs>
                      <w:tab w:val="left" w:pos="651"/>
                      <w:tab w:val="left" w:pos="652"/>
                    </w:tabs>
                    <w:spacing w:before="210"/>
                    <w:ind w:hanging="361"/>
                  </w:pPr>
                  <w:r>
                    <w:rPr>
                      <w:color w:val="231F20"/>
                    </w:rPr>
                    <w:t>Long-term coral monitoring program (local and regional</w:t>
                  </w:r>
                  <w:r>
                    <w:rPr>
                      <w:color w:val="231F20"/>
                      <w:spacing w:val="-1"/>
                    </w:rPr>
                    <w:t xml:space="preserve"> </w:t>
                  </w:r>
                  <w:r>
                    <w:rPr>
                      <w:color w:val="231F20"/>
                    </w:rPr>
                    <w:t>scale)</w:t>
                  </w:r>
                </w:p>
              </w:txbxContent>
            </v:textbox>
            <w10:anchorlock/>
          </v:shape>
        </w:pict>
      </w:r>
    </w:p>
    <w:p w:rsidR="00D1511D" w:rsidRDefault="00D1511D">
      <w:pPr>
        <w:pStyle w:val="BodyText"/>
        <w:spacing w:before="5"/>
        <w:rPr>
          <w:rFonts w:ascii="Myriad Pro"/>
          <w:sz w:val="7"/>
        </w:rPr>
      </w:pPr>
    </w:p>
    <w:p w:rsidR="00D1511D" w:rsidRDefault="003F0CB3">
      <w:pPr>
        <w:pStyle w:val="Heading4"/>
        <w:spacing w:before="100"/>
      </w:pPr>
      <w:r>
        <w:rPr>
          <w:color w:val="58595B"/>
        </w:rPr>
        <w:t>Progress Summary</w:t>
      </w:r>
    </w:p>
    <w:p w:rsidR="00D1511D" w:rsidRDefault="003F0CB3">
      <w:pPr>
        <w:pStyle w:val="BodyText"/>
        <w:spacing w:before="205" w:line="280" w:lineRule="auto"/>
        <w:ind w:left="1700" w:right="1467"/>
      </w:pPr>
      <w:r>
        <w:rPr>
          <w:color w:val="231F20"/>
        </w:rPr>
        <w:t>The assessment has shown a stable to deteriorating trend in the listed habitats and species for this indicator; particularly for coral reefs and corals. This is only a subset of habitats, species and ec</w:t>
      </w:r>
      <w:r>
        <w:rPr>
          <w:color w:val="231F20"/>
        </w:rPr>
        <w:t>osystem health processes assessed in the 2019 Outlook Report, which shows some habitats in good to very good condition. Events such as floods and cyclones, along with changes in physical processes such as increasing sea temperature caused by global warming</w:t>
      </w:r>
      <w:r>
        <w:rPr>
          <w:color w:val="231F20"/>
        </w:rPr>
        <w:t>, have resulted in limited progress against some ecosystem health targets under the Reef 2050 Plan.</w:t>
      </w:r>
    </w:p>
    <w:p w:rsidR="00D1511D" w:rsidRDefault="00D1511D">
      <w:pPr>
        <w:pStyle w:val="BodyText"/>
        <w:spacing w:before="7"/>
        <w:rPr>
          <w:sz w:val="12"/>
        </w:rPr>
      </w:pPr>
    </w:p>
    <w:tbl>
      <w:tblPr>
        <w:tblW w:w="0" w:type="auto"/>
        <w:tblInd w:w="1705"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033"/>
        <w:gridCol w:w="1248"/>
        <w:gridCol w:w="1364"/>
        <w:gridCol w:w="1624"/>
        <w:gridCol w:w="1928"/>
        <w:gridCol w:w="1987"/>
      </w:tblGrid>
      <w:tr w:rsidR="00D1511D">
        <w:trPr>
          <w:trHeight w:val="479"/>
        </w:trPr>
        <w:tc>
          <w:tcPr>
            <w:tcW w:w="1033" w:type="dxa"/>
            <w:vMerge w:val="restart"/>
          </w:tcPr>
          <w:p w:rsidR="00D1511D" w:rsidRDefault="003F0CB3">
            <w:pPr>
              <w:pStyle w:val="TableParagraph"/>
              <w:spacing w:before="71"/>
              <w:ind w:left="113"/>
              <w:rPr>
                <w:b/>
                <w:sz w:val="20"/>
              </w:rPr>
            </w:pPr>
            <w:r>
              <w:rPr>
                <w:b/>
                <w:color w:val="231F20"/>
                <w:sz w:val="20"/>
              </w:rPr>
              <w:t>Habitat</w:t>
            </w:r>
          </w:p>
        </w:tc>
        <w:tc>
          <w:tcPr>
            <w:tcW w:w="2612" w:type="dxa"/>
            <w:gridSpan w:val="2"/>
          </w:tcPr>
          <w:p w:rsidR="00D1511D" w:rsidRDefault="003F0CB3">
            <w:pPr>
              <w:pStyle w:val="TableParagraph"/>
              <w:spacing w:before="71"/>
              <w:ind w:left="228"/>
              <w:rPr>
                <w:b/>
                <w:sz w:val="11"/>
              </w:rPr>
            </w:pPr>
            <w:r>
              <w:rPr>
                <w:b/>
                <w:color w:val="231F20"/>
                <w:sz w:val="20"/>
              </w:rPr>
              <w:t>Condition and trend</w:t>
            </w:r>
            <w:r>
              <w:rPr>
                <w:b/>
                <w:color w:val="231F20"/>
                <w:position w:val="7"/>
                <w:sz w:val="11"/>
              </w:rPr>
              <w:t>5</w:t>
            </w:r>
          </w:p>
        </w:tc>
        <w:tc>
          <w:tcPr>
            <w:tcW w:w="1624" w:type="dxa"/>
            <w:vMerge w:val="restart"/>
          </w:tcPr>
          <w:p w:rsidR="00D1511D" w:rsidRDefault="003F0CB3">
            <w:pPr>
              <w:pStyle w:val="TableParagraph"/>
              <w:spacing w:before="71"/>
              <w:ind w:left="113"/>
              <w:rPr>
                <w:b/>
                <w:sz w:val="20"/>
              </w:rPr>
            </w:pPr>
            <w:r>
              <w:rPr>
                <w:b/>
                <w:color w:val="231F20"/>
                <w:sz w:val="20"/>
              </w:rPr>
              <w:t>Progress</w:t>
            </w:r>
          </w:p>
        </w:tc>
        <w:tc>
          <w:tcPr>
            <w:tcW w:w="1928" w:type="dxa"/>
            <w:vMerge w:val="restart"/>
          </w:tcPr>
          <w:p w:rsidR="00D1511D" w:rsidRDefault="003F0CB3">
            <w:pPr>
              <w:pStyle w:val="TableParagraph"/>
              <w:spacing w:before="71" w:line="280" w:lineRule="auto"/>
              <w:ind w:left="114" w:right="148"/>
              <w:rPr>
                <w:b/>
                <w:sz w:val="20"/>
              </w:rPr>
            </w:pPr>
            <w:r>
              <w:rPr>
                <w:b/>
                <w:color w:val="231F20"/>
                <w:sz w:val="20"/>
              </w:rPr>
              <w:t>Reason for current state</w:t>
            </w:r>
          </w:p>
        </w:tc>
        <w:tc>
          <w:tcPr>
            <w:tcW w:w="1987" w:type="dxa"/>
            <w:vMerge w:val="restart"/>
          </w:tcPr>
          <w:p w:rsidR="00D1511D" w:rsidRDefault="003F0CB3">
            <w:pPr>
              <w:pStyle w:val="TableParagraph"/>
              <w:spacing w:before="93"/>
              <w:ind w:left="113"/>
              <w:rPr>
                <w:b/>
                <w:sz w:val="20"/>
              </w:rPr>
            </w:pPr>
            <w:r>
              <w:rPr>
                <w:b/>
                <w:color w:val="231F20"/>
                <w:sz w:val="20"/>
              </w:rPr>
              <w:t>Key progress enablers</w:t>
            </w:r>
          </w:p>
        </w:tc>
      </w:tr>
      <w:tr w:rsidR="00D1511D">
        <w:trPr>
          <w:trHeight w:val="375"/>
        </w:trPr>
        <w:tc>
          <w:tcPr>
            <w:tcW w:w="1033" w:type="dxa"/>
            <w:vMerge/>
            <w:tcBorders>
              <w:top w:val="nil"/>
            </w:tcBorders>
          </w:tcPr>
          <w:p w:rsidR="00D1511D" w:rsidRDefault="00D1511D">
            <w:pPr>
              <w:rPr>
                <w:sz w:val="2"/>
                <w:szCs w:val="2"/>
              </w:rPr>
            </w:pPr>
          </w:p>
        </w:tc>
        <w:tc>
          <w:tcPr>
            <w:tcW w:w="1248" w:type="dxa"/>
          </w:tcPr>
          <w:p w:rsidR="00D1511D" w:rsidRDefault="003F0CB3">
            <w:pPr>
              <w:pStyle w:val="TableParagraph"/>
              <w:spacing w:before="71"/>
              <w:ind w:left="114"/>
              <w:rPr>
                <w:b/>
                <w:sz w:val="20"/>
              </w:rPr>
            </w:pPr>
            <w:r>
              <w:rPr>
                <w:b/>
                <w:color w:val="231F20"/>
                <w:sz w:val="20"/>
              </w:rPr>
              <w:t>2014</w:t>
            </w:r>
          </w:p>
        </w:tc>
        <w:tc>
          <w:tcPr>
            <w:tcW w:w="1364" w:type="dxa"/>
          </w:tcPr>
          <w:p w:rsidR="00D1511D" w:rsidRDefault="003F0CB3">
            <w:pPr>
              <w:pStyle w:val="TableParagraph"/>
              <w:spacing w:before="71"/>
              <w:ind w:left="113"/>
              <w:rPr>
                <w:b/>
                <w:sz w:val="20"/>
              </w:rPr>
            </w:pPr>
            <w:r>
              <w:rPr>
                <w:b/>
                <w:color w:val="231F20"/>
                <w:sz w:val="20"/>
              </w:rPr>
              <w:t>2019</w:t>
            </w:r>
          </w:p>
        </w:tc>
        <w:tc>
          <w:tcPr>
            <w:tcW w:w="1624" w:type="dxa"/>
            <w:vMerge/>
            <w:tcBorders>
              <w:top w:val="nil"/>
            </w:tcBorders>
          </w:tcPr>
          <w:p w:rsidR="00D1511D" w:rsidRDefault="00D1511D">
            <w:pPr>
              <w:rPr>
                <w:sz w:val="2"/>
                <w:szCs w:val="2"/>
              </w:rPr>
            </w:pPr>
          </w:p>
        </w:tc>
        <w:tc>
          <w:tcPr>
            <w:tcW w:w="1928" w:type="dxa"/>
            <w:vMerge/>
            <w:tcBorders>
              <w:top w:val="nil"/>
            </w:tcBorders>
          </w:tcPr>
          <w:p w:rsidR="00D1511D" w:rsidRDefault="00D1511D">
            <w:pPr>
              <w:rPr>
                <w:sz w:val="2"/>
                <w:szCs w:val="2"/>
              </w:rPr>
            </w:pPr>
          </w:p>
        </w:tc>
        <w:tc>
          <w:tcPr>
            <w:tcW w:w="1987" w:type="dxa"/>
            <w:vMerge/>
            <w:tcBorders>
              <w:top w:val="nil"/>
            </w:tcBorders>
          </w:tcPr>
          <w:p w:rsidR="00D1511D" w:rsidRDefault="00D1511D">
            <w:pPr>
              <w:rPr>
                <w:sz w:val="2"/>
                <w:szCs w:val="2"/>
              </w:rPr>
            </w:pPr>
          </w:p>
        </w:tc>
      </w:tr>
      <w:tr w:rsidR="00D1511D">
        <w:trPr>
          <w:trHeight w:val="4528"/>
        </w:trPr>
        <w:tc>
          <w:tcPr>
            <w:tcW w:w="1033" w:type="dxa"/>
          </w:tcPr>
          <w:p w:rsidR="00D1511D" w:rsidRDefault="003F0CB3">
            <w:pPr>
              <w:pStyle w:val="TableParagraph"/>
              <w:spacing w:before="71" w:line="280" w:lineRule="auto"/>
              <w:ind w:left="113" w:right="133"/>
              <w:rPr>
                <w:sz w:val="20"/>
              </w:rPr>
            </w:pPr>
            <w:proofErr w:type="spellStart"/>
            <w:r>
              <w:rPr>
                <w:color w:val="231F20"/>
                <w:sz w:val="20"/>
              </w:rPr>
              <w:t>Halimeda</w:t>
            </w:r>
            <w:proofErr w:type="spellEnd"/>
            <w:r>
              <w:rPr>
                <w:color w:val="231F20"/>
                <w:sz w:val="20"/>
              </w:rPr>
              <w:t xml:space="preserve"> banks</w:t>
            </w:r>
          </w:p>
        </w:tc>
        <w:tc>
          <w:tcPr>
            <w:tcW w:w="1248" w:type="dxa"/>
            <w:shd w:val="clear" w:color="auto" w:fill="008752"/>
          </w:tcPr>
          <w:p w:rsidR="00D1511D" w:rsidRDefault="003F0CB3">
            <w:pPr>
              <w:pStyle w:val="TableParagraph"/>
              <w:spacing w:before="71"/>
              <w:ind w:left="114"/>
              <w:rPr>
                <w:sz w:val="20"/>
              </w:rPr>
            </w:pPr>
            <w:r>
              <w:rPr>
                <w:color w:val="FFFFFF"/>
                <w:sz w:val="20"/>
              </w:rPr>
              <w:t>Stable</w:t>
            </w:r>
          </w:p>
        </w:tc>
        <w:tc>
          <w:tcPr>
            <w:tcW w:w="1364" w:type="dxa"/>
            <w:shd w:val="clear" w:color="auto" w:fill="008752"/>
          </w:tcPr>
          <w:p w:rsidR="00D1511D" w:rsidRDefault="003F0CB3">
            <w:pPr>
              <w:pStyle w:val="TableParagraph"/>
              <w:spacing w:before="71" w:line="280" w:lineRule="auto"/>
              <w:ind w:left="113"/>
              <w:rPr>
                <w:sz w:val="20"/>
              </w:rPr>
            </w:pPr>
            <w:r>
              <w:rPr>
                <w:color w:val="FFFFFF"/>
                <w:sz w:val="20"/>
              </w:rPr>
              <w:t>No consistent trend</w:t>
            </w:r>
          </w:p>
        </w:tc>
        <w:tc>
          <w:tcPr>
            <w:tcW w:w="1624" w:type="dxa"/>
          </w:tcPr>
          <w:p w:rsidR="00D1511D" w:rsidRDefault="003F0CB3">
            <w:pPr>
              <w:pStyle w:val="TableParagraph"/>
              <w:spacing w:before="71"/>
              <w:ind w:left="113"/>
              <w:rPr>
                <w:sz w:val="20"/>
              </w:rPr>
            </w:pPr>
            <w:r>
              <w:rPr>
                <w:color w:val="231F20"/>
                <w:sz w:val="20"/>
              </w:rPr>
              <w:t>Target met</w:t>
            </w:r>
          </w:p>
        </w:tc>
        <w:tc>
          <w:tcPr>
            <w:tcW w:w="1928" w:type="dxa"/>
          </w:tcPr>
          <w:p w:rsidR="00D1511D" w:rsidRDefault="003F0CB3">
            <w:pPr>
              <w:pStyle w:val="TableParagraph"/>
              <w:spacing w:before="71" w:line="280" w:lineRule="auto"/>
              <w:ind w:left="114" w:right="148"/>
              <w:rPr>
                <w:sz w:val="20"/>
              </w:rPr>
            </w:pPr>
            <w:r>
              <w:rPr>
                <w:color w:val="231F20"/>
                <w:sz w:val="20"/>
              </w:rPr>
              <w:t>Improved spatial analysis has increased understanding of</w:t>
            </w:r>
          </w:p>
          <w:p w:rsidR="00D1511D" w:rsidRDefault="003F0CB3">
            <w:pPr>
              <w:pStyle w:val="TableParagraph"/>
              <w:spacing w:before="0" w:line="280" w:lineRule="auto"/>
              <w:ind w:left="114" w:right="321"/>
              <w:rPr>
                <w:sz w:val="20"/>
              </w:rPr>
            </w:pPr>
            <w:r>
              <w:rPr>
                <w:color w:val="231F20"/>
                <w:sz w:val="20"/>
              </w:rPr>
              <w:t xml:space="preserve">the spatial </w:t>
            </w:r>
            <w:r>
              <w:rPr>
                <w:color w:val="231F20"/>
                <w:spacing w:val="-3"/>
                <w:sz w:val="20"/>
              </w:rPr>
              <w:t xml:space="preserve">coverage </w:t>
            </w:r>
            <w:r>
              <w:rPr>
                <w:color w:val="231F20"/>
                <w:sz w:val="20"/>
              </w:rPr>
              <w:t xml:space="preserve">of </w:t>
            </w:r>
            <w:proofErr w:type="spellStart"/>
            <w:r>
              <w:rPr>
                <w:color w:val="231F20"/>
                <w:sz w:val="20"/>
              </w:rPr>
              <w:t>Halimeda</w:t>
            </w:r>
            <w:proofErr w:type="spellEnd"/>
            <w:r>
              <w:rPr>
                <w:color w:val="231F20"/>
                <w:sz w:val="20"/>
              </w:rPr>
              <w:t xml:space="preserve"> banks. Exposure</w:t>
            </w:r>
            <w:r>
              <w:rPr>
                <w:color w:val="231F20"/>
                <w:spacing w:val="-4"/>
                <w:sz w:val="20"/>
              </w:rPr>
              <w:t xml:space="preserve"> </w:t>
            </w:r>
            <w:r>
              <w:rPr>
                <w:color w:val="231F20"/>
                <w:sz w:val="20"/>
              </w:rPr>
              <w:t>to</w:t>
            </w:r>
          </w:p>
          <w:p w:rsidR="00D1511D" w:rsidRDefault="003F0CB3">
            <w:pPr>
              <w:pStyle w:val="TableParagraph"/>
              <w:spacing w:before="0" w:line="280" w:lineRule="auto"/>
              <w:ind w:left="114" w:right="106"/>
              <w:rPr>
                <w:sz w:val="20"/>
              </w:rPr>
            </w:pPr>
            <w:r>
              <w:rPr>
                <w:color w:val="231F20"/>
                <w:sz w:val="20"/>
              </w:rPr>
              <w:t xml:space="preserve">potentially damaging cyclonic waves and thermal stress in </w:t>
            </w:r>
            <w:r>
              <w:rPr>
                <w:color w:val="231F20"/>
                <w:spacing w:val="-4"/>
                <w:sz w:val="20"/>
              </w:rPr>
              <w:t xml:space="preserve">some </w:t>
            </w:r>
            <w:r>
              <w:rPr>
                <w:color w:val="231F20"/>
                <w:sz w:val="20"/>
              </w:rPr>
              <w:t>areas has occurred since 2014, but impacts are inferred to be limited given their isolation and depth</w:t>
            </w:r>
          </w:p>
        </w:tc>
        <w:tc>
          <w:tcPr>
            <w:tcW w:w="1987" w:type="dxa"/>
          </w:tcPr>
          <w:p w:rsidR="00D1511D" w:rsidRDefault="003F0CB3">
            <w:pPr>
              <w:pStyle w:val="TableParagraph"/>
              <w:spacing w:before="71" w:line="280" w:lineRule="auto"/>
              <w:ind w:left="113" w:right="652"/>
              <w:rPr>
                <w:sz w:val="20"/>
              </w:rPr>
            </w:pPr>
            <w:r>
              <w:rPr>
                <w:color w:val="231F20"/>
                <w:sz w:val="20"/>
              </w:rPr>
              <w:t>Isolation from populated areas</w:t>
            </w:r>
          </w:p>
          <w:p w:rsidR="00D1511D" w:rsidRDefault="00D1511D">
            <w:pPr>
              <w:pStyle w:val="TableParagraph"/>
              <w:spacing w:before="2"/>
              <w:rPr>
                <w:sz w:val="23"/>
              </w:rPr>
            </w:pPr>
          </w:p>
          <w:p w:rsidR="00D1511D" w:rsidRDefault="003F0CB3">
            <w:pPr>
              <w:pStyle w:val="TableParagraph"/>
              <w:spacing w:before="0" w:line="280" w:lineRule="auto"/>
              <w:ind w:left="113" w:right="149"/>
              <w:rPr>
                <w:sz w:val="20"/>
              </w:rPr>
            </w:pPr>
            <w:r>
              <w:rPr>
                <w:color w:val="231F20"/>
                <w:sz w:val="20"/>
              </w:rPr>
              <w:t xml:space="preserve">Great Barrier Reef Marine Park Zoning Plan 2003 (and </w:t>
            </w:r>
            <w:proofErr w:type="spellStart"/>
            <w:r>
              <w:rPr>
                <w:color w:val="231F20"/>
                <w:sz w:val="20"/>
              </w:rPr>
              <w:t>complementarry</w:t>
            </w:r>
            <w:proofErr w:type="spellEnd"/>
            <w:r>
              <w:rPr>
                <w:color w:val="231F20"/>
                <w:sz w:val="20"/>
              </w:rPr>
              <w:t xml:space="preserve"> State zoning) protection and enforcement</w:t>
            </w:r>
          </w:p>
          <w:p w:rsidR="00D1511D" w:rsidRDefault="00D1511D">
            <w:pPr>
              <w:pStyle w:val="TableParagraph"/>
              <w:spacing w:before="11"/>
            </w:pPr>
          </w:p>
          <w:p w:rsidR="00D1511D" w:rsidRDefault="003F0CB3">
            <w:pPr>
              <w:pStyle w:val="TableParagraph"/>
              <w:spacing w:before="0" w:line="280" w:lineRule="auto"/>
              <w:ind w:left="113" w:right="149"/>
              <w:rPr>
                <w:sz w:val="20"/>
              </w:rPr>
            </w:pPr>
            <w:r>
              <w:rPr>
                <w:color w:val="231F20"/>
                <w:sz w:val="20"/>
              </w:rPr>
              <w:t>Depth and pr</w:t>
            </w:r>
            <w:r>
              <w:rPr>
                <w:color w:val="231F20"/>
                <w:sz w:val="20"/>
              </w:rPr>
              <w:t>oximity to high water movement</w:t>
            </w:r>
          </w:p>
        </w:tc>
      </w:tr>
    </w:tbl>
    <w:p w:rsidR="00D1511D" w:rsidRDefault="003F0CB3">
      <w:pPr>
        <w:pStyle w:val="BodyText"/>
        <w:spacing w:before="9"/>
        <w:rPr>
          <w:sz w:val="21"/>
        </w:rPr>
      </w:pPr>
      <w:r>
        <w:pict>
          <v:shape id="_x0000_s1259" alt="" style="position:absolute;margin-left:85.05pt;margin-top:15.25pt;width:124.75pt;height:.1pt;z-index:-251629568;mso-wrap-edited:f;mso-width-percent:0;mso-height-percent:0;mso-wrap-distance-left:0;mso-wrap-distance-right:0;mso-position-horizontal-relative:page;mso-position-vertical-relative:text;mso-width-percent:0;mso-height-percent:0" coordsize="2495,1270" path="m,l2494,e" filled="f" strokecolor="#231f20" strokeweight=".5pt">
            <v:path arrowok="t" o:connecttype="custom" o:connectlocs="0,0;1583690,0" o:connectangles="0,0"/>
            <w10:wrap type="topAndBottom" anchorx="page"/>
          </v:shape>
        </w:pict>
      </w:r>
    </w:p>
    <w:p w:rsidR="00D1511D" w:rsidRDefault="003F0CB3">
      <w:pPr>
        <w:pStyle w:val="ListParagraph"/>
        <w:numPr>
          <w:ilvl w:val="0"/>
          <w:numId w:val="9"/>
        </w:numPr>
        <w:tabs>
          <w:tab w:val="left" w:pos="1851"/>
        </w:tabs>
        <w:spacing w:before="62" w:after="41"/>
        <w:ind w:hanging="151"/>
        <w:rPr>
          <w:rFonts w:ascii="Myriad Pro"/>
          <w:sz w:val="16"/>
        </w:rPr>
      </w:pPr>
      <w:r>
        <w:rPr>
          <w:rFonts w:ascii="Myriad Pro"/>
          <w:color w:val="231F20"/>
          <w:sz w:val="16"/>
        </w:rPr>
        <w:t>2019 Outlook grading key:</w:t>
      </w:r>
    </w:p>
    <w:tbl>
      <w:tblPr>
        <w:tblW w:w="0" w:type="auto"/>
        <w:tblInd w:w="1705"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2197"/>
        <w:gridCol w:w="2197"/>
        <w:gridCol w:w="2197"/>
        <w:gridCol w:w="2192"/>
      </w:tblGrid>
      <w:tr w:rsidR="00D1511D">
        <w:trPr>
          <w:trHeight w:val="299"/>
        </w:trPr>
        <w:tc>
          <w:tcPr>
            <w:tcW w:w="2197" w:type="dxa"/>
            <w:shd w:val="clear" w:color="auto" w:fill="008752"/>
          </w:tcPr>
          <w:p w:rsidR="00D1511D" w:rsidRDefault="003F0CB3">
            <w:pPr>
              <w:pStyle w:val="TableParagraph"/>
              <w:spacing w:before="37"/>
              <w:ind w:left="675"/>
              <w:rPr>
                <w:sz w:val="20"/>
              </w:rPr>
            </w:pPr>
            <w:r>
              <w:rPr>
                <w:color w:val="FFFFFF"/>
                <w:sz w:val="20"/>
              </w:rPr>
              <w:t>Very Good</w:t>
            </w:r>
          </w:p>
        </w:tc>
        <w:tc>
          <w:tcPr>
            <w:tcW w:w="2197" w:type="dxa"/>
            <w:shd w:val="clear" w:color="auto" w:fill="A8D59D"/>
          </w:tcPr>
          <w:p w:rsidR="00D1511D" w:rsidRDefault="003F0CB3">
            <w:pPr>
              <w:pStyle w:val="TableParagraph"/>
              <w:spacing w:before="37"/>
              <w:ind w:left="708" w:right="704"/>
              <w:jc w:val="center"/>
              <w:rPr>
                <w:sz w:val="20"/>
              </w:rPr>
            </w:pPr>
            <w:r>
              <w:rPr>
                <w:color w:val="231F20"/>
                <w:sz w:val="20"/>
              </w:rPr>
              <w:t>Good</w:t>
            </w:r>
          </w:p>
        </w:tc>
        <w:tc>
          <w:tcPr>
            <w:tcW w:w="2197" w:type="dxa"/>
            <w:shd w:val="clear" w:color="auto" w:fill="FBDBCD"/>
          </w:tcPr>
          <w:p w:rsidR="00D1511D" w:rsidRDefault="003F0CB3">
            <w:pPr>
              <w:pStyle w:val="TableParagraph"/>
              <w:spacing w:before="37"/>
              <w:ind w:left="708" w:right="704"/>
              <w:jc w:val="center"/>
              <w:rPr>
                <w:sz w:val="20"/>
              </w:rPr>
            </w:pPr>
            <w:r>
              <w:rPr>
                <w:color w:val="231F20"/>
                <w:sz w:val="20"/>
              </w:rPr>
              <w:t>Poor</w:t>
            </w:r>
          </w:p>
        </w:tc>
        <w:tc>
          <w:tcPr>
            <w:tcW w:w="2192" w:type="dxa"/>
            <w:shd w:val="clear" w:color="auto" w:fill="E31B23"/>
          </w:tcPr>
          <w:p w:rsidR="00D1511D" w:rsidRDefault="003F0CB3">
            <w:pPr>
              <w:pStyle w:val="TableParagraph"/>
              <w:spacing w:before="37"/>
              <w:ind w:left="705" w:right="702"/>
              <w:jc w:val="center"/>
              <w:rPr>
                <w:sz w:val="20"/>
              </w:rPr>
            </w:pPr>
            <w:proofErr w:type="spellStart"/>
            <w:r>
              <w:rPr>
                <w:color w:val="FFFFFF"/>
                <w:sz w:val="20"/>
              </w:rPr>
              <w:t>VeryPoor</w:t>
            </w:r>
            <w:proofErr w:type="spellEnd"/>
          </w:p>
        </w:tc>
      </w:tr>
    </w:tbl>
    <w:p w:rsidR="00D1511D" w:rsidRDefault="003F0CB3">
      <w:pPr>
        <w:spacing w:before="152"/>
        <w:ind w:left="1734"/>
        <w:rPr>
          <w:rFonts w:ascii="Myriad Pro"/>
          <w:sz w:val="16"/>
        </w:rPr>
      </w:pPr>
      <w:r>
        <w:rPr>
          <w:rFonts w:ascii="Myriad Pro"/>
          <w:color w:val="231F20"/>
          <w:sz w:val="16"/>
        </w:rPr>
        <w:t xml:space="preserve">Further detail is available in the 2019 Outlook Report available at: </w:t>
      </w:r>
      <w:hyperlink r:id="rId76">
        <w:r>
          <w:rPr>
            <w:rFonts w:ascii="Myriad Pro"/>
            <w:color w:val="1B5BAA"/>
            <w:sz w:val="16"/>
            <w:u w:val="single" w:color="1B5BAA"/>
          </w:rPr>
          <w:t>www.gbrmpa.gov.au</w:t>
        </w:r>
      </w:hyperlink>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3F0CB3">
      <w:pPr>
        <w:spacing w:before="113"/>
        <w:ind w:right="1415"/>
        <w:jc w:val="right"/>
        <w:rPr>
          <w:rFonts w:ascii="Myriad Pro"/>
          <w:sz w:val="16"/>
        </w:rPr>
      </w:pPr>
      <w:r>
        <w:rPr>
          <w:rFonts w:ascii="Myriad Pro"/>
          <w:color w:val="231F20"/>
          <w:sz w:val="16"/>
        </w:rPr>
        <w:t>33</w:t>
      </w:r>
    </w:p>
    <w:p w:rsidR="00D1511D" w:rsidRDefault="00D1511D">
      <w:pPr>
        <w:jc w:val="right"/>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1"/>
        <w:rPr>
          <w:rFonts w:ascii="Myriad Pro"/>
          <w:sz w:val="13"/>
        </w:rPr>
      </w:pPr>
    </w:p>
    <w:tbl>
      <w:tblPr>
        <w:tblW w:w="0" w:type="auto"/>
        <w:tblInd w:w="1705"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034"/>
        <w:gridCol w:w="1247"/>
        <w:gridCol w:w="1363"/>
        <w:gridCol w:w="1625"/>
        <w:gridCol w:w="1927"/>
        <w:gridCol w:w="1986"/>
      </w:tblGrid>
      <w:tr w:rsidR="00D1511D">
        <w:trPr>
          <w:trHeight w:val="562"/>
        </w:trPr>
        <w:tc>
          <w:tcPr>
            <w:tcW w:w="1034" w:type="dxa"/>
            <w:vMerge w:val="restart"/>
          </w:tcPr>
          <w:p w:rsidR="00D1511D" w:rsidRDefault="003F0CB3">
            <w:pPr>
              <w:pStyle w:val="TableParagraph"/>
              <w:spacing w:before="71"/>
              <w:ind w:left="113"/>
              <w:rPr>
                <w:b/>
                <w:sz w:val="20"/>
              </w:rPr>
            </w:pPr>
            <w:r>
              <w:rPr>
                <w:b/>
                <w:color w:val="231F20"/>
                <w:sz w:val="20"/>
              </w:rPr>
              <w:t>Habitat</w:t>
            </w:r>
          </w:p>
        </w:tc>
        <w:tc>
          <w:tcPr>
            <w:tcW w:w="2610" w:type="dxa"/>
            <w:gridSpan w:val="2"/>
          </w:tcPr>
          <w:p w:rsidR="00D1511D" w:rsidRDefault="003F0CB3">
            <w:pPr>
              <w:pStyle w:val="TableParagraph"/>
              <w:spacing w:before="71"/>
              <w:ind w:left="487"/>
              <w:rPr>
                <w:b/>
                <w:sz w:val="11"/>
              </w:rPr>
            </w:pPr>
            <w:r>
              <w:rPr>
                <w:b/>
                <w:color w:val="231F20"/>
                <w:sz w:val="20"/>
              </w:rPr>
              <w:t>Condition and trend</w:t>
            </w:r>
            <w:r>
              <w:rPr>
                <w:b/>
                <w:color w:val="231F20"/>
                <w:position w:val="7"/>
                <w:sz w:val="11"/>
              </w:rPr>
              <w:t>6</w:t>
            </w:r>
          </w:p>
        </w:tc>
        <w:tc>
          <w:tcPr>
            <w:tcW w:w="1625" w:type="dxa"/>
            <w:vMerge w:val="restart"/>
          </w:tcPr>
          <w:p w:rsidR="00D1511D" w:rsidRDefault="003F0CB3">
            <w:pPr>
              <w:pStyle w:val="TableParagraph"/>
              <w:spacing w:before="71"/>
              <w:ind w:left="114"/>
              <w:rPr>
                <w:b/>
                <w:sz w:val="20"/>
              </w:rPr>
            </w:pPr>
            <w:r>
              <w:rPr>
                <w:b/>
                <w:color w:val="231F20"/>
                <w:sz w:val="20"/>
              </w:rPr>
              <w:t>Progress</w:t>
            </w:r>
          </w:p>
        </w:tc>
        <w:tc>
          <w:tcPr>
            <w:tcW w:w="1927" w:type="dxa"/>
            <w:vMerge w:val="restart"/>
          </w:tcPr>
          <w:p w:rsidR="00D1511D" w:rsidRDefault="003F0CB3">
            <w:pPr>
              <w:pStyle w:val="TableParagraph"/>
              <w:spacing w:before="71" w:line="280" w:lineRule="auto"/>
              <w:ind w:left="114" w:right="123"/>
              <w:rPr>
                <w:b/>
                <w:sz w:val="20"/>
              </w:rPr>
            </w:pPr>
            <w:r>
              <w:rPr>
                <w:b/>
                <w:color w:val="231F20"/>
                <w:sz w:val="20"/>
              </w:rPr>
              <w:t>Reason for current state</w:t>
            </w:r>
          </w:p>
        </w:tc>
        <w:tc>
          <w:tcPr>
            <w:tcW w:w="1986" w:type="dxa"/>
            <w:vMerge w:val="restart"/>
          </w:tcPr>
          <w:p w:rsidR="00D1511D" w:rsidRDefault="003F0CB3">
            <w:pPr>
              <w:pStyle w:val="TableParagraph"/>
              <w:spacing w:before="71" w:line="280" w:lineRule="auto"/>
              <w:ind w:left="114" w:right="278"/>
              <w:rPr>
                <w:b/>
                <w:sz w:val="20"/>
              </w:rPr>
            </w:pPr>
            <w:r>
              <w:rPr>
                <w:b/>
                <w:color w:val="231F20"/>
                <w:sz w:val="20"/>
              </w:rPr>
              <w:t>Key progress enablers</w:t>
            </w:r>
          </w:p>
        </w:tc>
      </w:tr>
      <w:tr w:rsidR="00D1511D">
        <w:trPr>
          <w:trHeight w:val="417"/>
        </w:trPr>
        <w:tc>
          <w:tcPr>
            <w:tcW w:w="1034" w:type="dxa"/>
            <w:vMerge/>
            <w:tcBorders>
              <w:top w:val="nil"/>
            </w:tcBorders>
          </w:tcPr>
          <w:p w:rsidR="00D1511D" w:rsidRDefault="00D1511D">
            <w:pPr>
              <w:rPr>
                <w:sz w:val="2"/>
                <w:szCs w:val="2"/>
              </w:rPr>
            </w:pPr>
          </w:p>
        </w:tc>
        <w:tc>
          <w:tcPr>
            <w:tcW w:w="1247" w:type="dxa"/>
          </w:tcPr>
          <w:p w:rsidR="00D1511D" w:rsidRDefault="003F0CB3">
            <w:pPr>
              <w:pStyle w:val="TableParagraph"/>
              <w:spacing w:before="96"/>
              <w:ind w:left="113"/>
              <w:rPr>
                <w:b/>
                <w:sz w:val="20"/>
              </w:rPr>
            </w:pPr>
            <w:r>
              <w:rPr>
                <w:b/>
                <w:color w:val="231F20"/>
                <w:sz w:val="20"/>
              </w:rPr>
              <w:t>2014</w:t>
            </w:r>
          </w:p>
        </w:tc>
        <w:tc>
          <w:tcPr>
            <w:tcW w:w="1363" w:type="dxa"/>
          </w:tcPr>
          <w:p w:rsidR="00D1511D" w:rsidRDefault="003F0CB3">
            <w:pPr>
              <w:pStyle w:val="TableParagraph"/>
              <w:spacing w:before="96"/>
              <w:ind w:left="114"/>
              <w:rPr>
                <w:b/>
                <w:sz w:val="20"/>
              </w:rPr>
            </w:pPr>
            <w:r>
              <w:rPr>
                <w:b/>
                <w:color w:val="231F20"/>
                <w:sz w:val="20"/>
              </w:rPr>
              <w:t>2019</w:t>
            </w:r>
          </w:p>
        </w:tc>
        <w:tc>
          <w:tcPr>
            <w:tcW w:w="1625" w:type="dxa"/>
            <w:vMerge/>
            <w:tcBorders>
              <w:top w:val="nil"/>
            </w:tcBorders>
          </w:tcPr>
          <w:p w:rsidR="00D1511D" w:rsidRDefault="00D1511D">
            <w:pPr>
              <w:rPr>
                <w:sz w:val="2"/>
                <w:szCs w:val="2"/>
              </w:rPr>
            </w:pPr>
          </w:p>
        </w:tc>
        <w:tc>
          <w:tcPr>
            <w:tcW w:w="1927" w:type="dxa"/>
            <w:vMerge/>
            <w:tcBorders>
              <w:top w:val="nil"/>
            </w:tcBorders>
          </w:tcPr>
          <w:p w:rsidR="00D1511D" w:rsidRDefault="00D1511D">
            <w:pPr>
              <w:rPr>
                <w:sz w:val="2"/>
                <w:szCs w:val="2"/>
              </w:rPr>
            </w:pPr>
          </w:p>
        </w:tc>
        <w:tc>
          <w:tcPr>
            <w:tcW w:w="1986" w:type="dxa"/>
            <w:vMerge/>
            <w:tcBorders>
              <w:top w:val="nil"/>
            </w:tcBorders>
          </w:tcPr>
          <w:p w:rsidR="00D1511D" w:rsidRDefault="00D1511D">
            <w:pPr>
              <w:rPr>
                <w:sz w:val="2"/>
                <w:szCs w:val="2"/>
              </w:rPr>
            </w:pPr>
          </w:p>
        </w:tc>
      </w:tr>
      <w:tr w:rsidR="00D1511D">
        <w:trPr>
          <w:trHeight w:val="4735"/>
        </w:trPr>
        <w:tc>
          <w:tcPr>
            <w:tcW w:w="1034" w:type="dxa"/>
          </w:tcPr>
          <w:p w:rsidR="00D1511D" w:rsidRDefault="003F0CB3">
            <w:pPr>
              <w:pStyle w:val="TableParagraph"/>
              <w:spacing w:before="71"/>
              <w:ind w:left="113"/>
              <w:rPr>
                <w:sz w:val="20"/>
              </w:rPr>
            </w:pPr>
            <w:r>
              <w:rPr>
                <w:color w:val="231F20"/>
                <w:sz w:val="20"/>
              </w:rPr>
              <w:t>Islands</w:t>
            </w:r>
          </w:p>
        </w:tc>
        <w:tc>
          <w:tcPr>
            <w:tcW w:w="1247" w:type="dxa"/>
            <w:shd w:val="clear" w:color="auto" w:fill="A8D59D"/>
          </w:tcPr>
          <w:p w:rsidR="00D1511D" w:rsidRDefault="003F0CB3">
            <w:pPr>
              <w:pStyle w:val="TableParagraph"/>
              <w:spacing w:before="71"/>
              <w:ind w:left="113"/>
              <w:rPr>
                <w:sz w:val="20"/>
              </w:rPr>
            </w:pPr>
            <w:r>
              <w:rPr>
                <w:color w:val="231F20"/>
                <w:sz w:val="20"/>
              </w:rPr>
              <w:t>Deteriorated</w:t>
            </w:r>
          </w:p>
        </w:tc>
        <w:tc>
          <w:tcPr>
            <w:tcW w:w="1363" w:type="dxa"/>
            <w:shd w:val="clear" w:color="auto" w:fill="A8D59D"/>
          </w:tcPr>
          <w:p w:rsidR="00D1511D" w:rsidRDefault="003F0CB3">
            <w:pPr>
              <w:pStyle w:val="TableParagraph"/>
              <w:spacing w:before="71"/>
              <w:ind w:left="114"/>
              <w:rPr>
                <w:sz w:val="20"/>
              </w:rPr>
            </w:pPr>
            <w:r>
              <w:rPr>
                <w:color w:val="231F20"/>
                <w:sz w:val="20"/>
              </w:rPr>
              <w:t>Stable</w:t>
            </w:r>
          </w:p>
        </w:tc>
        <w:tc>
          <w:tcPr>
            <w:tcW w:w="1625" w:type="dxa"/>
          </w:tcPr>
          <w:p w:rsidR="00D1511D" w:rsidRDefault="003F0CB3">
            <w:pPr>
              <w:pStyle w:val="TableParagraph"/>
              <w:spacing w:before="71" w:line="280" w:lineRule="auto"/>
              <w:ind w:left="114" w:right="148"/>
              <w:rPr>
                <w:sz w:val="20"/>
              </w:rPr>
            </w:pPr>
            <w:r>
              <w:rPr>
                <w:color w:val="231F20"/>
                <w:sz w:val="20"/>
              </w:rPr>
              <w:t>Target met – trend improved</w:t>
            </w:r>
          </w:p>
        </w:tc>
        <w:tc>
          <w:tcPr>
            <w:tcW w:w="1927" w:type="dxa"/>
          </w:tcPr>
          <w:p w:rsidR="00D1511D" w:rsidRDefault="003F0CB3">
            <w:pPr>
              <w:pStyle w:val="TableParagraph"/>
              <w:spacing w:before="71" w:line="280" w:lineRule="auto"/>
              <w:ind w:left="114" w:right="315"/>
              <w:rPr>
                <w:sz w:val="20"/>
              </w:rPr>
            </w:pPr>
            <w:proofErr w:type="spellStart"/>
            <w:r>
              <w:rPr>
                <w:color w:val="231F20"/>
                <w:sz w:val="20"/>
              </w:rPr>
              <w:t>Localised</w:t>
            </w:r>
            <w:proofErr w:type="spellEnd"/>
            <w:r>
              <w:rPr>
                <w:color w:val="231F20"/>
                <w:sz w:val="20"/>
              </w:rPr>
              <w:t xml:space="preserve"> damage to some islands has</w:t>
            </w:r>
          </w:p>
          <w:p w:rsidR="00D1511D" w:rsidRDefault="003F0CB3">
            <w:pPr>
              <w:pStyle w:val="TableParagraph"/>
              <w:spacing w:before="0" w:line="280" w:lineRule="auto"/>
              <w:ind w:left="114" w:right="123"/>
              <w:rPr>
                <w:sz w:val="20"/>
              </w:rPr>
            </w:pPr>
            <w:r>
              <w:rPr>
                <w:color w:val="231F20"/>
                <w:sz w:val="20"/>
              </w:rPr>
              <w:t>occurred from severe weather, temperature extremes and pests. Recovery from past impacts is occurring due to management intervention in</w:t>
            </w:r>
          </w:p>
          <w:p w:rsidR="00D1511D" w:rsidRDefault="003F0CB3">
            <w:pPr>
              <w:pStyle w:val="TableParagraph"/>
              <w:spacing w:before="0" w:line="280" w:lineRule="auto"/>
              <w:ind w:left="114" w:right="368"/>
              <w:rPr>
                <w:sz w:val="20"/>
              </w:rPr>
            </w:pPr>
            <w:r>
              <w:rPr>
                <w:color w:val="231F20"/>
                <w:sz w:val="20"/>
              </w:rPr>
              <w:t>the form of pest management and restoration and monitoring of island condition is increasing</w:t>
            </w:r>
          </w:p>
        </w:tc>
        <w:tc>
          <w:tcPr>
            <w:tcW w:w="1986" w:type="dxa"/>
          </w:tcPr>
          <w:p w:rsidR="00D1511D" w:rsidRDefault="003F0CB3">
            <w:pPr>
              <w:pStyle w:val="TableParagraph"/>
              <w:spacing w:before="71" w:line="280" w:lineRule="auto"/>
              <w:ind w:left="114" w:right="142"/>
              <w:rPr>
                <w:sz w:val="20"/>
              </w:rPr>
            </w:pPr>
            <w:r>
              <w:rPr>
                <w:color w:val="231F20"/>
                <w:sz w:val="20"/>
              </w:rPr>
              <w:t>Comprehensive pest manageme</w:t>
            </w:r>
            <w:r>
              <w:rPr>
                <w:color w:val="231F20"/>
                <w:sz w:val="20"/>
              </w:rPr>
              <w:t>nt program</w:t>
            </w:r>
          </w:p>
          <w:p w:rsidR="00D1511D" w:rsidRDefault="003F0CB3">
            <w:pPr>
              <w:pStyle w:val="TableParagraph"/>
              <w:spacing w:before="168" w:line="280" w:lineRule="auto"/>
              <w:ind w:left="114" w:right="147"/>
              <w:rPr>
                <w:sz w:val="20"/>
              </w:rPr>
            </w:pPr>
            <w:r>
              <w:rPr>
                <w:color w:val="231F20"/>
                <w:sz w:val="20"/>
              </w:rPr>
              <w:t xml:space="preserve">Great Barrier Reef Marine Park Zoning Plan 2003 (and </w:t>
            </w:r>
            <w:proofErr w:type="spellStart"/>
            <w:r>
              <w:rPr>
                <w:color w:val="231F20"/>
                <w:sz w:val="20"/>
              </w:rPr>
              <w:t>complementarry</w:t>
            </w:r>
            <w:proofErr w:type="spellEnd"/>
            <w:r>
              <w:rPr>
                <w:color w:val="231F20"/>
                <w:sz w:val="20"/>
              </w:rPr>
              <w:t xml:space="preserve"> State zoning) protection and enforcement</w:t>
            </w:r>
          </w:p>
          <w:p w:rsidR="00D1511D" w:rsidRDefault="003F0CB3">
            <w:pPr>
              <w:pStyle w:val="TableParagraph"/>
              <w:spacing w:before="165" w:line="280" w:lineRule="auto"/>
              <w:ind w:left="114"/>
              <w:rPr>
                <w:sz w:val="20"/>
              </w:rPr>
            </w:pPr>
            <w:r>
              <w:rPr>
                <w:color w:val="231F20"/>
                <w:sz w:val="20"/>
              </w:rPr>
              <w:t xml:space="preserve">Australian and Qld government funding – post cyclone </w:t>
            </w:r>
            <w:proofErr w:type="gramStart"/>
            <w:r>
              <w:rPr>
                <w:color w:val="231F20"/>
                <w:sz w:val="20"/>
              </w:rPr>
              <w:t>clean</w:t>
            </w:r>
            <w:proofErr w:type="gramEnd"/>
            <w:r>
              <w:rPr>
                <w:color w:val="231F20"/>
                <w:sz w:val="20"/>
              </w:rPr>
              <w:t xml:space="preserve"> up and repair</w:t>
            </w:r>
          </w:p>
        </w:tc>
      </w:tr>
      <w:tr w:rsidR="00D1511D">
        <w:trPr>
          <w:trHeight w:val="4095"/>
        </w:trPr>
        <w:tc>
          <w:tcPr>
            <w:tcW w:w="1034" w:type="dxa"/>
          </w:tcPr>
          <w:p w:rsidR="00D1511D" w:rsidRDefault="003F0CB3">
            <w:pPr>
              <w:pStyle w:val="TableParagraph"/>
              <w:spacing w:before="71" w:line="280" w:lineRule="auto"/>
              <w:ind w:left="113" w:right="316"/>
              <w:rPr>
                <w:sz w:val="20"/>
              </w:rPr>
            </w:pPr>
            <w:r>
              <w:rPr>
                <w:color w:val="231F20"/>
                <w:sz w:val="20"/>
              </w:rPr>
              <w:t>Lagoon floor</w:t>
            </w:r>
          </w:p>
        </w:tc>
        <w:tc>
          <w:tcPr>
            <w:tcW w:w="1247" w:type="dxa"/>
            <w:shd w:val="clear" w:color="auto" w:fill="A8D59D"/>
          </w:tcPr>
          <w:p w:rsidR="00D1511D" w:rsidRDefault="003F0CB3">
            <w:pPr>
              <w:pStyle w:val="TableParagraph"/>
              <w:spacing w:before="71"/>
              <w:ind w:left="113"/>
              <w:rPr>
                <w:sz w:val="20"/>
              </w:rPr>
            </w:pPr>
            <w:r>
              <w:rPr>
                <w:color w:val="231F20"/>
                <w:sz w:val="20"/>
              </w:rPr>
              <w:t>Stable</w:t>
            </w:r>
          </w:p>
        </w:tc>
        <w:tc>
          <w:tcPr>
            <w:tcW w:w="1363" w:type="dxa"/>
            <w:shd w:val="clear" w:color="auto" w:fill="A8D59D"/>
          </w:tcPr>
          <w:p w:rsidR="00D1511D" w:rsidRDefault="003F0CB3">
            <w:pPr>
              <w:pStyle w:val="TableParagraph"/>
              <w:spacing w:before="71"/>
              <w:ind w:left="114"/>
              <w:rPr>
                <w:sz w:val="20"/>
              </w:rPr>
            </w:pPr>
            <w:r>
              <w:rPr>
                <w:color w:val="231F20"/>
                <w:sz w:val="20"/>
              </w:rPr>
              <w:t>Deteriorated</w:t>
            </w:r>
          </w:p>
        </w:tc>
        <w:tc>
          <w:tcPr>
            <w:tcW w:w="1625" w:type="dxa"/>
          </w:tcPr>
          <w:p w:rsidR="00D1511D" w:rsidRDefault="003F0CB3">
            <w:pPr>
              <w:pStyle w:val="TableParagraph"/>
              <w:spacing w:before="71" w:line="280" w:lineRule="auto"/>
              <w:ind w:left="114"/>
              <w:rPr>
                <w:sz w:val="20"/>
              </w:rPr>
            </w:pPr>
            <w:r>
              <w:rPr>
                <w:color w:val="231F20"/>
                <w:sz w:val="20"/>
              </w:rPr>
              <w:t>Improvement required</w:t>
            </w:r>
          </w:p>
        </w:tc>
        <w:tc>
          <w:tcPr>
            <w:tcW w:w="1927" w:type="dxa"/>
          </w:tcPr>
          <w:p w:rsidR="00D1511D" w:rsidRDefault="003F0CB3">
            <w:pPr>
              <w:pStyle w:val="TableParagraph"/>
              <w:spacing w:before="71" w:line="280" w:lineRule="auto"/>
              <w:ind w:left="114" w:right="239"/>
              <w:rPr>
                <w:sz w:val="20"/>
              </w:rPr>
            </w:pPr>
            <w:r>
              <w:rPr>
                <w:color w:val="231F20"/>
                <w:sz w:val="20"/>
              </w:rPr>
              <w:t>Some areas of the lagoon floor have been exposed to prolonged thermal stress, impacts associated with dredging and disposal, bottom trawling, vessel anchorage, shipping and potentially damaging cyclonic waves.</w:t>
            </w:r>
          </w:p>
        </w:tc>
        <w:tc>
          <w:tcPr>
            <w:tcW w:w="1986" w:type="dxa"/>
          </w:tcPr>
          <w:p w:rsidR="00D1511D" w:rsidRDefault="003F0CB3">
            <w:pPr>
              <w:pStyle w:val="TableParagraph"/>
              <w:spacing w:before="71" w:line="280" w:lineRule="auto"/>
              <w:ind w:left="114" w:right="278"/>
              <w:rPr>
                <w:sz w:val="20"/>
              </w:rPr>
            </w:pPr>
            <w:r>
              <w:rPr>
                <w:color w:val="231F20"/>
                <w:sz w:val="20"/>
              </w:rPr>
              <w:t>Some isolation from populated areas</w:t>
            </w:r>
          </w:p>
          <w:p w:rsidR="00D1511D" w:rsidRDefault="003F0CB3">
            <w:pPr>
              <w:pStyle w:val="TableParagraph"/>
              <w:spacing w:before="168" w:line="280" w:lineRule="auto"/>
              <w:ind w:left="114" w:right="147"/>
              <w:rPr>
                <w:sz w:val="20"/>
              </w:rPr>
            </w:pPr>
            <w:r>
              <w:rPr>
                <w:color w:val="231F20"/>
                <w:sz w:val="20"/>
              </w:rPr>
              <w:t>Great Barr</w:t>
            </w:r>
            <w:r>
              <w:rPr>
                <w:color w:val="231F20"/>
                <w:sz w:val="20"/>
              </w:rPr>
              <w:t xml:space="preserve">ier Reef Marine Park Zoning Plan 2003 (and </w:t>
            </w:r>
            <w:proofErr w:type="spellStart"/>
            <w:r>
              <w:rPr>
                <w:color w:val="231F20"/>
                <w:sz w:val="20"/>
              </w:rPr>
              <w:t>complementarry</w:t>
            </w:r>
            <w:proofErr w:type="spellEnd"/>
            <w:r>
              <w:rPr>
                <w:color w:val="231F20"/>
                <w:sz w:val="20"/>
              </w:rPr>
              <w:t xml:space="preserve"> State zoning) protection and enforcement</w:t>
            </w:r>
          </w:p>
          <w:p w:rsidR="00D1511D" w:rsidRDefault="003F0CB3">
            <w:pPr>
              <w:pStyle w:val="TableParagraph"/>
              <w:spacing w:before="165" w:line="280" w:lineRule="auto"/>
              <w:ind w:left="114" w:right="651"/>
              <w:rPr>
                <w:sz w:val="20"/>
              </w:rPr>
            </w:pPr>
            <w:r>
              <w:rPr>
                <w:color w:val="231F20"/>
                <w:sz w:val="20"/>
              </w:rPr>
              <w:t>Expansion of Reef protection markers and</w:t>
            </w:r>
          </w:p>
          <w:p w:rsidR="00D1511D" w:rsidRDefault="003F0CB3">
            <w:pPr>
              <w:pStyle w:val="TableParagraph"/>
              <w:spacing w:before="0" w:line="280" w:lineRule="auto"/>
              <w:ind w:left="114" w:right="281"/>
              <w:rPr>
                <w:sz w:val="20"/>
              </w:rPr>
            </w:pPr>
            <w:r>
              <w:rPr>
                <w:color w:val="231F20"/>
                <w:sz w:val="20"/>
              </w:rPr>
              <w:t>moorings to prevent anchor damage</w:t>
            </w:r>
          </w:p>
        </w:tc>
      </w:tr>
    </w:tbl>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3F0CB3">
      <w:pPr>
        <w:pStyle w:val="BodyText"/>
        <w:spacing w:before="11"/>
        <w:rPr>
          <w:rFonts w:ascii="Myriad Pro"/>
        </w:rPr>
      </w:pPr>
      <w:r>
        <w:pict>
          <v:shape id="_x0000_s1258" alt="" style="position:absolute;margin-left:85.05pt;margin-top:14.75pt;width:124.75pt;height:.1pt;z-index:-251628544;mso-wrap-edited:f;mso-width-percent:0;mso-height-percent:0;mso-wrap-distance-left:0;mso-wrap-distance-right:0;mso-position-horizontal-relative:page;mso-width-percent:0;mso-height-percent:0" coordsize="2495,1270" path="m,l2494,e" filled="f" strokecolor="#231f20" strokeweight=".5pt">
            <v:path arrowok="t" o:connecttype="custom" o:connectlocs="0,0;1583690,0" o:connectangles="0,0"/>
            <w10:wrap type="topAndBottom" anchorx="page"/>
          </v:shape>
        </w:pict>
      </w:r>
    </w:p>
    <w:p w:rsidR="00D1511D" w:rsidRDefault="003F0CB3">
      <w:pPr>
        <w:pStyle w:val="ListParagraph"/>
        <w:numPr>
          <w:ilvl w:val="0"/>
          <w:numId w:val="9"/>
        </w:numPr>
        <w:tabs>
          <w:tab w:val="left" w:pos="1851"/>
        </w:tabs>
        <w:spacing w:before="62" w:after="41"/>
        <w:ind w:hanging="151"/>
        <w:rPr>
          <w:rFonts w:ascii="Myriad Pro"/>
          <w:sz w:val="16"/>
        </w:rPr>
      </w:pPr>
      <w:r>
        <w:rPr>
          <w:rFonts w:ascii="Myriad Pro"/>
          <w:color w:val="231F20"/>
          <w:sz w:val="16"/>
        </w:rPr>
        <w:t>2019 Outlook grading key:</w:t>
      </w:r>
    </w:p>
    <w:tbl>
      <w:tblPr>
        <w:tblW w:w="0" w:type="auto"/>
        <w:tblInd w:w="1705"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2197"/>
        <w:gridCol w:w="2197"/>
        <w:gridCol w:w="2197"/>
        <w:gridCol w:w="2192"/>
      </w:tblGrid>
      <w:tr w:rsidR="00D1511D">
        <w:trPr>
          <w:trHeight w:val="299"/>
        </w:trPr>
        <w:tc>
          <w:tcPr>
            <w:tcW w:w="2197" w:type="dxa"/>
            <w:shd w:val="clear" w:color="auto" w:fill="008752"/>
          </w:tcPr>
          <w:p w:rsidR="00D1511D" w:rsidRDefault="003F0CB3">
            <w:pPr>
              <w:pStyle w:val="TableParagraph"/>
              <w:spacing w:before="37"/>
              <w:ind w:left="675"/>
              <w:rPr>
                <w:sz w:val="20"/>
              </w:rPr>
            </w:pPr>
            <w:r>
              <w:rPr>
                <w:color w:val="FFFFFF"/>
                <w:sz w:val="20"/>
              </w:rPr>
              <w:t>Very Good</w:t>
            </w:r>
          </w:p>
        </w:tc>
        <w:tc>
          <w:tcPr>
            <w:tcW w:w="2197" w:type="dxa"/>
            <w:shd w:val="clear" w:color="auto" w:fill="A8D59D"/>
          </w:tcPr>
          <w:p w:rsidR="00D1511D" w:rsidRDefault="003F0CB3">
            <w:pPr>
              <w:pStyle w:val="TableParagraph"/>
              <w:spacing w:before="37"/>
              <w:ind w:left="708" w:right="704"/>
              <w:jc w:val="center"/>
              <w:rPr>
                <w:sz w:val="20"/>
              </w:rPr>
            </w:pPr>
            <w:r>
              <w:rPr>
                <w:color w:val="231F20"/>
                <w:sz w:val="20"/>
              </w:rPr>
              <w:t>Good</w:t>
            </w:r>
          </w:p>
        </w:tc>
        <w:tc>
          <w:tcPr>
            <w:tcW w:w="2197" w:type="dxa"/>
            <w:shd w:val="clear" w:color="auto" w:fill="FBDBCD"/>
          </w:tcPr>
          <w:p w:rsidR="00D1511D" w:rsidRDefault="003F0CB3">
            <w:pPr>
              <w:pStyle w:val="TableParagraph"/>
              <w:spacing w:before="37"/>
              <w:ind w:left="708" w:right="704"/>
              <w:jc w:val="center"/>
              <w:rPr>
                <w:sz w:val="20"/>
              </w:rPr>
            </w:pPr>
            <w:r>
              <w:rPr>
                <w:color w:val="231F20"/>
                <w:sz w:val="20"/>
              </w:rPr>
              <w:t>Poor</w:t>
            </w:r>
          </w:p>
        </w:tc>
        <w:tc>
          <w:tcPr>
            <w:tcW w:w="2192" w:type="dxa"/>
            <w:shd w:val="clear" w:color="auto" w:fill="E31B23"/>
          </w:tcPr>
          <w:p w:rsidR="00D1511D" w:rsidRDefault="003F0CB3">
            <w:pPr>
              <w:pStyle w:val="TableParagraph"/>
              <w:spacing w:before="37"/>
              <w:ind w:left="705" w:right="702"/>
              <w:jc w:val="center"/>
              <w:rPr>
                <w:sz w:val="20"/>
              </w:rPr>
            </w:pPr>
            <w:proofErr w:type="spellStart"/>
            <w:r>
              <w:rPr>
                <w:color w:val="FFFFFF"/>
                <w:sz w:val="20"/>
              </w:rPr>
              <w:t>VeryPoor</w:t>
            </w:r>
            <w:proofErr w:type="spellEnd"/>
          </w:p>
        </w:tc>
      </w:tr>
    </w:tbl>
    <w:p w:rsidR="00D1511D" w:rsidRDefault="003F0CB3">
      <w:pPr>
        <w:spacing w:before="152"/>
        <w:ind w:left="1734"/>
        <w:rPr>
          <w:rFonts w:ascii="Myriad Pro"/>
          <w:sz w:val="16"/>
        </w:rPr>
      </w:pPr>
      <w:r>
        <w:rPr>
          <w:rFonts w:ascii="Myriad Pro"/>
          <w:color w:val="231F20"/>
          <w:sz w:val="16"/>
        </w:rPr>
        <w:t xml:space="preserve">Further detail is available in the 2019 Outlook Report available at: </w:t>
      </w:r>
      <w:hyperlink r:id="rId77">
        <w:r>
          <w:rPr>
            <w:rFonts w:ascii="Myriad Pro"/>
            <w:color w:val="1B5BAA"/>
            <w:sz w:val="16"/>
            <w:u w:val="single" w:color="1B5BAA"/>
          </w:rPr>
          <w:t>www.gbrmpa.gov.au</w:t>
        </w:r>
      </w:hyperlink>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3F0CB3">
      <w:pPr>
        <w:spacing w:before="121"/>
        <w:ind w:left="1417"/>
        <w:rPr>
          <w:rFonts w:ascii="Myriad Pro"/>
          <w:sz w:val="16"/>
        </w:rPr>
      </w:pPr>
      <w:r>
        <w:rPr>
          <w:rFonts w:ascii="Myriad Pro"/>
          <w:color w:val="231F20"/>
          <w:sz w:val="16"/>
        </w:rPr>
        <w:t xml:space="preserve">34 / </w:t>
      </w:r>
      <w:r>
        <w:rPr>
          <w:rFonts w:ascii="Myriad Pro"/>
          <w:color w:val="005695"/>
          <w:sz w:val="16"/>
        </w:rPr>
        <w:t xml:space="preserve">State Party Report on the state of conservation of the </w:t>
      </w:r>
      <w:r>
        <w:rPr>
          <w:rFonts w:ascii="Myriad Pro"/>
          <w:b/>
          <w:color w:val="005695"/>
          <w:sz w:val="16"/>
        </w:rPr>
        <w:t xml:space="preserve">Great Barrier Reef World Heritage Area (Australia) </w:t>
      </w:r>
      <w:r>
        <w:rPr>
          <w:rFonts w:ascii="Myriad Pro"/>
          <w:color w:val="005695"/>
          <w:sz w:val="16"/>
        </w:rPr>
        <w:t>2019</w:t>
      </w:r>
    </w:p>
    <w:p w:rsidR="00D1511D" w:rsidRDefault="00D1511D">
      <w:pPr>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1"/>
        <w:rPr>
          <w:rFonts w:ascii="Myriad Pro"/>
          <w:sz w:val="13"/>
        </w:rPr>
      </w:pPr>
    </w:p>
    <w:tbl>
      <w:tblPr>
        <w:tblW w:w="0" w:type="auto"/>
        <w:tblInd w:w="1705"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034"/>
        <w:gridCol w:w="1247"/>
        <w:gridCol w:w="1363"/>
        <w:gridCol w:w="1625"/>
        <w:gridCol w:w="1927"/>
        <w:gridCol w:w="1986"/>
      </w:tblGrid>
      <w:tr w:rsidR="00D1511D">
        <w:trPr>
          <w:trHeight w:val="531"/>
        </w:trPr>
        <w:tc>
          <w:tcPr>
            <w:tcW w:w="1034" w:type="dxa"/>
            <w:vMerge w:val="restart"/>
          </w:tcPr>
          <w:p w:rsidR="00D1511D" w:rsidRDefault="003F0CB3">
            <w:pPr>
              <w:pStyle w:val="TableParagraph"/>
              <w:spacing w:before="71"/>
              <w:ind w:left="113"/>
              <w:rPr>
                <w:b/>
                <w:sz w:val="20"/>
              </w:rPr>
            </w:pPr>
            <w:r>
              <w:rPr>
                <w:b/>
                <w:color w:val="231F20"/>
                <w:sz w:val="20"/>
              </w:rPr>
              <w:t>Habitat</w:t>
            </w:r>
          </w:p>
        </w:tc>
        <w:tc>
          <w:tcPr>
            <w:tcW w:w="2610" w:type="dxa"/>
            <w:gridSpan w:val="2"/>
          </w:tcPr>
          <w:p w:rsidR="00D1511D" w:rsidRDefault="003F0CB3">
            <w:pPr>
              <w:pStyle w:val="TableParagraph"/>
              <w:spacing w:before="71"/>
              <w:ind w:left="487"/>
              <w:rPr>
                <w:b/>
                <w:sz w:val="11"/>
              </w:rPr>
            </w:pPr>
            <w:r>
              <w:rPr>
                <w:b/>
                <w:color w:val="231F20"/>
                <w:sz w:val="20"/>
              </w:rPr>
              <w:t>Condition and trend</w:t>
            </w:r>
            <w:r>
              <w:rPr>
                <w:b/>
                <w:color w:val="231F20"/>
                <w:position w:val="7"/>
                <w:sz w:val="11"/>
              </w:rPr>
              <w:t>7</w:t>
            </w:r>
          </w:p>
        </w:tc>
        <w:tc>
          <w:tcPr>
            <w:tcW w:w="1625" w:type="dxa"/>
            <w:vMerge w:val="restart"/>
          </w:tcPr>
          <w:p w:rsidR="00D1511D" w:rsidRDefault="003F0CB3">
            <w:pPr>
              <w:pStyle w:val="TableParagraph"/>
              <w:spacing w:before="71"/>
              <w:ind w:left="114"/>
              <w:rPr>
                <w:b/>
                <w:sz w:val="20"/>
              </w:rPr>
            </w:pPr>
            <w:r>
              <w:rPr>
                <w:b/>
                <w:color w:val="231F20"/>
                <w:sz w:val="20"/>
              </w:rPr>
              <w:t>Progress</w:t>
            </w:r>
          </w:p>
        </w:tc>
        <w:tc>
          <w:tcPr>
            <w:tcW w:w="1927" w:type="dxa"/>
            <w:vMerge w:val="restart"/>
          </w:tcPr>
          <w:p w:rsidR="00D1511D" w:rsidRDefault="003F0CB3">
            <w:pPr>
              <w:pStyle w:val="TableParagraph"/>
              <w:spacing w:before="71" w:line="280" w:lineRule="auto"/>
              <w:ind w:left="114" w:right="123"/>
              <w:rPr>
                <w:b/>
                <w:sz w:val="20"/>
              </w:rPr>
            </w:pPr>
            <w:r>
              <w:rPr>
                <w:b/>
                <w:color w:val="231F20"/>
                <w:sz w:val="20"/>
              </w:rPr>
              <w:t>Reason for current state</w:t>
            </w:r>
          </w:p>
        </w:tc>
        <w:tc>
          <w:tcPr>
            <w:tcW w:w="1986" w:type="dxa"/>
            <w:vMerge w:val="restart"/>
          </w:tcPr>
          <w:p w:rsidR="00D1511D" w:rsidRDefault="003F0CB3">
            <w:pPr>
              <w:pStyle w:val="TableParagraph"/>
              <w:spacing w:before="71" w:line="280" w:lineRule="auto"/>
              <w:ind w:left="114" w:right="278"/>
              <w:rPr>
                <w:b/>
                <w:sz w:val="20"/>
              </w:rPr>
            </w:pPr>
            <w:r>
              <w:rPr>
                <w:b/>
                <w:color w:val="231F20"/>
                <w:sz w:val="20"/>
              </w:rPr>
              <w:t>Key progress enablers</w:t>
            </w:r>
          </w:p>
        </w:tc>
      </w:tr>
      <w:tr w:rsidR="00D1511D">
        <w:trPr>
          <w:trHeight w:val="495"/>
        </w:trPr>
        <w:tc>
          <w:tcPr>
            <w:tcW w:w="1034" w:type="dxa"/>
            <w:vMerge/>
            <w:tcBorders>
              <w:top w:val="nil"/>
            </w:tcBorders>
          </w:tcPr>
          <w:p w:rsidR="00D1511D" w:rsidRDefault="00D1511D">
            <w:pPr>
              <w:rPr>
                <w:sz w:val="2"/>
                <w:szCs w:val="2"/>
              </w:rPr>
            </w:pPr>
          </w:p>
        </w:tc>
        <w:tc>
          <w:tcPr>
            <w:tcW w:w="1247" w:type="dxa"/>
          </w:tcPr>
          <w:p w:rsidR="00D1511D" w:rsidRDefault="003F0CB3">
            <w:pPr>
              <w:pStyle w:val="TableParagraph"/>
              <w:spacing w:before="135"/>
              <w:ind w:left="113"/>
              <w:rPr>
                <w:b/>
                <w:sz w:val="20"/>
              </w:rPr>
            </w:pPr>
            <w:r>
              <w:rPr>
                <w:b/>
                <w:color w:val="231F20"/>
                <w:sz w:val="20"/>
              </w:rPr>
              <w:t>2014</w:t>
            </w:r>
          </w:p>
        </w:tc>
        <w:tc>
          <w:tcPr>
            <w:tcW w:w="1363" w:type="dxa"/>
          </w:tcPr>
          <w:p w:rsidR="00D1511D" w:rsidRDefault="003F0CB3">
            <w:pPr>
              <w:pStyle w:val="TableParagraph"/>
              <w:spacing w:before="135"/>
              <w:ind w:left="114"/>
              <w:rPr>
                <w:b/>
                <w:sz w:val="20"/>
              </w:rPr>
            </w:pPr>
            <w:r>
              <w:rPr>
                <w:b/>
                <w:color w:val="231F20"/>
                <w:sz w:val="20"/>
              </w:rPr>
              <w:t>2019</w:t>
            </w:r>
          </w:p>
        </w:tc>
        <w:tc>
          <w:tcPr>
            <w:tcW w:w="1625" w:type="dxa"/>
            <w:vMerge/>
            <w:tcBorders>
              <w:top w:val="nil"/>
            </w:tcBorders>
          </w:tcPr>
          <w:p w:rsidR="00D1511D" w:rsidRDefault="00D1511D">
            <w:pPr>
              <w:rPr>
                <w:sz w:val="2"/>
                <w:szCs w:val="2"/>
              </w:rPr>
            </w:pPr>
          </w:p>
        </w:tc>
        <w:tc>
          <w:tcPr>
            <w:tcW w:w="1927" w:type="dxa"/>
            <w:vMerge/>
            <w:tcBorders>
              <w:top w:val="nil"/>
            </w:tcBorders>
          </w:tcPr>
          <w:p w:rsidR="00D1511D" w:rsidRDefault="00D1511D">
            <w:pPr>
              <w:rPr>
                <w:sz w:val="2"/>
                <w:szCs w:val="2"/>
              </w:rPr>
            </w:pPr>
          </w:p>
        </w:tc>
        <w:tc>
          <w:tcPr>
            <w:tcW w:w="1986" w:type="dxa"/>
            <w:vMerge/>
            <w:tcBorders>
              <w:top w:val="nil"/>
            </w:tcBorders>
          </w:tcPr>
          <w:p w:rsidR="00D1511D" w:rsidRDefault="00D1511D">
            <w:pPr>
              <w:rPr>
                <w:sz w:val="2"/>
                <w:szCs w:val="2"/>
              </w:rPr>
            </w:pPr>
          </w:p>
        </w:tc>
      </w:tr>
      <w:tr w:rsidR="00D1511D">
        <w:trPr>
          <w:trHeight w:val="702"/>
        </w:trPr>
        <w:tc>
          <w:tcPr>
            <w:tcW w:w="1034" w:type="dxa"/>
            <w:tcBorders>
              <w:bottom w:val="nil"/>
            </w:tcBorders>
          </w:tcPr>
          <w:p w:rsidR="00D1511D" w:rsidRDefault="003F0CB3">
            <w:pPr>
              <w:pStyle w:val="TableParagraph"/>
              <w:spacing w:before="71"/>
              <w:ind w:left="113"/>
              <w:rPr>
                <w:sz w:val="20"/>
              </w:rPr>
            </w:pPr>
            <w:r>
              <w:rPr>
                <w:color w:val="231F20"/>
                <w:sz w:val="20"/>
              </w:rPr>
              <w:t>Shoals</w:t>
            </w:r>
          </w:p>
        </w:tc>
        <w:tc>
          <w:tcPr>
            <w:tcW w:w="1247" w:type="dxa"/>
            <w:tcBorders>
              <w:bottom w:val="nil"/>
            </w:tcBorders>
            <w:shd w:val="clear" w:color="auto" w:fill="A8D59D"/>
          </w:tcPr>
          <w:p w:rsidR="00D1511D" w:rsidRDefault="003F0CB3">
            <w:pPr>
              <w:pStyle w:val="TableParagraph"/>
              <w:spacing w:before="71"/>
              <w:ind w:left="113"/>
              <w:rPr>
                <w:sz w:val="20"/>
              </w:rPr>
            </w:pPr>
            <w:r>
              <w:rPr>
                <w:color w:val="231F20"/>
                <w:sz w:val="20"/>
              </w:rPr>
              <w:t>Stable</w:t>
            </w:r>
          </w:p>
        </w:tc>
        <w:tc>
          <w:tcPr>
            <w:tcW w:w="1363" w:type="dxa"/>
            <w:tcBorders>
              <w:bottom w:val="nil"/>
            </w:tcBorders>
            <w:shd w:val="clear" w:color="auto" w:fill="A8D59D"/>
          </w:tcPr>
          <w:p w:rsidR="00D1511D" w:rsidRDefault="003F0CB3">
            <w:pPr>
              <w:pStyle w:val="TableParagraph"/>
              <w:spacing w:before="71"/>
              <w:ind w:left="114"/>
              <w:rPr>
                <w:sz w:val="20"/>
              </w:rPr>
            </w:pPr>
            <w:r>
              <w:rPr>
                <w:color w:val="231F20"/>
                <w:sz w:val="20"/>
              </w:rPr>
              <w:t>Deteriorated</w:t>
            </w:r>
          </w:p>
        </w:tc>
        <w:tc>
          <w:tcPr>
            <w:tcW w:w="1625" w:type="dxa"/>
            <w:tcBorders>
              <w:bottom w:val="nil"/>
            </w:tcBorders>
          </w:tcPr>
          <w:p w:rsidR="00D1511D" w:rsidRDefault="003F0CB3">
            <w:pPr>
              <w:pStyle w:val="TableParagraph"/>
              <w:spacing w:before="71" w:line="280" w:lineRule="auto"/>
              <w:ind w:left="114"/>
              <w:rPr>
                <w:sz w:val="20"/>
              </w:rPr>
            </w:pPr>
            <w:r>
              <w:rPr>
                <w:color w:val="231F20"/>
                <w:sz w:val="20"/>
              </w:rPr>
              <w:t>Improvement required</w:t>
            </w:r>
          </w:p>
        </w:tc>
        <w:tc>
          <w:tcPr>
            <w:tcW w:w="1927" w:type="dxa"/>
            <w:vMerge w:val="restart"/>
          </w:tcPr>
          <w:p w:rsidR="00D1511D" w:rsidRDefault="00D1511D">
            <w:pPr>
              <w:pStyle w:val="TableParagraph"/>
              <w:spacing w:before="0"/>
              <w:rPr>
                <w:rFonts w:ascii="Times New Roman"/>
                <w:sz w:val="18"/>
              </w:rPr>
            </w:pPr>
          </w:p>
        </w:tc>
        <w:tc>
          <w:tcPr>
            <w:tcW w:w="1986" w:type="dxa"/>
            <w:tcBorders>
              <w:bottom w:val="nil"/>
            </w:tcBorders>
          </w:tcPr>
          <w:p w:rsidR="00D1511D" w:rsidRDefault="003F0CB3">
            <w:pPr>
              <w:pStyle w:val="TableParagraph"/>
              <w:spacing w:before="71" w:line="280" w:lineRule="auto"/>
              <w:ind w:left="114" w:right="278"/>
              <w:rPr>
                <w:sz w:val="20"/>
              </w:rPr>
            </w:pPr>
            <w:r>
              <w:rPr>
                <w:color w:val="231F20"/>
                <w:sz w:val="20"/>
              </w:rPr>
              <w:t>Some isolation from populated areas</w:t>
            </w:r>
          </w:p>
        </w:tc>
      </w:tr>
      <w:tr w:rsidR="00D1511D">
        <w:trPr>
          <w:trHeight w:val="1845"/>
        </w:trPr>
        <w:tc>
          <w:tcPr>
            <w:tcW w:w="1034" w:type="dxa"/>
            <w:tcBorders>
              <w:top w:val="nil"/>
              <w:bottom w:val="nil"/>
            </w:tcBorders>
          </w:tcPr>
          <w:p w:rsidR="00D1511D" w:rsidRDefault="00D1511D">
            <w:pPr>
              <w:pStyle w:val="TableParagraph"/>
              <w:spacing w:before="0"/>
              <w:rPr>
                <w:rFonts w:ascii="Times New Roman"/>
                <w:sz w:val="18"/>
              </w:rPr>
            </w:pPr>
          </w:p>
        </w:tc>
        <w:tc>
          <w:tcPr>
            <w:tcW w:w="1247" w:type="dxa"/>
            <w:tcBorders>
              <w:top w:val="nil"/>
              <w:bottom w:val="nil"/>
            </w:tcBorders>
            <w:shd w:val="clear" w:color="auto" w:fill="A8D59D"/>
          </w:tcPr>
          <w:p w:rsidR="00D1511D" w:rsidRDefault="00D1511D">
            <w:pPr>
              <w:pStyle w:val="TableParagraph"/>
              <w:spacing w:before="0"/>
              <w:rPr>
                <w:rFonts w:ascii="Times New Roman"/>
                <w:sz w:val="18"/>
              </w:rPr>
            </w:pPr>
          </w:p>
        </w:tc>
        <w:tc>
          <w:tcPr>
            <w:tcW w:w="1363" w:type="dxa"/>
            <w:tcBorders>
              <w:top w:val="nil"/>
              <w:bottom w:val="nil"/>
            </w:tcBorders>
            <w:shd w:val="clear" w:color="auto" w:fill="A8D59D"/>
          </w:tcPr>
          <w:p w:rsidR="00D1511D" w:rsidRDefault="00D1511D">
            <w:pPr>
              <w:pStyle w:val="TableParagraph"/>
              <w:spacing w:before="0"/>
              <w:rPr>
                <w:rFonts w:ascii="Times New Roman"/>
                <w:sz w:val="18"/>
              </w:rPr>
            </w:pPr>
          </w:p>
        </w:tc>
        <w:tc>
          <w:tcPr>
            <w:tcW w:w="1625" w:type="dxa"/>
            <w:tcBorders>
              <w:top w:val="nil"/>
              <w:bottom w:val="nil"/>
            </w:tcBorders>
          </w:tcPr>
          <w:p w:rsidR="00D1511D" w:rsidRDefault="00D1511D">
            <w:pPr>
              <w:pStyle w:val="TableParagraph"/>
              <w:spacing w:before="0"/>
              <w:rPr>
                <w:rFonts w:ascii="Times New Roman"/>
                <w:sz w:val="18"/>
              </w:rPr>
            </w:pPr>
          </w:p>
        </w:tc>
        <w:tc>
          <w:tcPr>
            <w:tcW w:w="1927" w:type="dxa"/>
            <w:vMerge/>
            <w:tcBorders>
              <w:top w:val="nil"/>
            </w:tcBorders>
          </w:tcPr>
          <w:p w:rsidR="00D1511D" w:rsidRDefault="00D1511D">
            <w:pPr>
              <w:rPr>
                <w:sz w:val="2"/>
                <w:szCs w:val="2"/>
              </w:rPr>
            </w:pPr>
          </w:p>
        </w:tc>
        <w:tc>
          <w:tcPr>
            <w:tcW w:w="1986" w:type="dxa"/>
            <w:tcBorders>
              <w:top w:val="nil"/>
              <w:bottom w:val="nil"/>
            </w:tcBorders>
          </w:tcPr>
          <w:p w:rsidR="00D1511D" w:rsidRDefault="003F0CB3">
            <w:pPr>
              <w:pStyle w:val="TableParagraph"/>
              <w:spacing w:before="94" w:line="280" w:lineRule="auto"/>
              <w:ind w:left="114" w:right="147"/>
              <w:rPr>
                <w:sz w:val="20"/>
              </w:rPr>
            </w:pPr>
            <w:r>
              <w:rPr>
                <w:color w:val="231F20"/>
                <w:sz w:val="20"/>
              </w:rPr>
              <w:t xml:space="preserve">Great Barrier Reef Marine Park Zoning Plan 2003 (and </w:t>
            </w:r>
            <w:proofErr w:type="spellStart"/>
            <w:r>
              <w:rPr>
                <w:color w:val="231F20"/>
                <w:sz w:val="20"/>
              </w:rPr>
              <w:t>complementarry</w:t>
            </w:r>
            <w:proofErr w:type="spellEnd"/>
            <w:r>
              <w:rPr>
                <w:color w:val="231F20"/>
                <w:sz w:val="20"/>
              </w:rPr>
              <w:t xml:space="preserve"> State zoning) protection and enforcement</w:t>
            </w:r>
          </w:p>
        </w:tc>
      </w:tr>
      <w:tr w:rsidR="00D1511D">
        <w:trPr>
          <w:trHeight w:val="1725"/>
        </w:trPr>
        <w:tc>
          <w:tcPr>
            <w:tcW w:w="1034" w:type="dxa"/>
            <w:tcBorders>
              <w:top w:val="nil"/>
            </w:tcBorders>
          </w:tcPr>
          <w:p w:rsidR="00D1511D" w:rsidRDefault="00D1511D">
            <w:pPr>
              <w:pStyle w:val="TableParagraph"/>
              <w:spacing w:before="0"/>
              <w:rPr>
                <w:rFonts w:ascii="Times New Roman"/>
                <w:sz w:val="18"/>
              </w:rPr>
            </w:pPr>
          </w:p>
        </w:tc>
        <w:tc>
          <w:tcPr>
            <w:tcW w:w="1247" w:type="dxa"/>
            <w:tcBorders>
              <w:top w:val="nil"/>
            </w:tcBorders>
            <w:shd w:val="clear" w:color="auto" w:fill="A8D59D"/>
          </w:tcPr>
          <w:p w:rsidR="00D1511D" w:rsidRDefault="00D1511D">
            <w:pPr>
              <w:pStyle w:val="TableParagraph"/>
              <w:spacing w:before="0"/>
              <w:rPr>
                <w:rFonts w:ascii="Times New Roman"/>
                <w:sz w:val="18"/>
              </w:rPr>
            </w:pPr>
          </w:p>
        </w:tc>
        <w:tc>
          <w:tcPr>
            <w:tcW w:w="1363" w:type="dxa"/>
            <w:tcBorders>
              <w:top w:val="nil"/>
            </w:tcBorders>
            <w:shd w:val="clear" w:color="auto" w:fill="A8D59D"/>
          </w:tcPr>
          <w:p w:rsidR="00D1511D" w:rsidRDefault="00D1511D">
            <w:pPr>
              <w:pStyle w:val="TableParagraph"/>
              <w:spacing w:before="0"/>
              <w:rPr>
                <w:rFonts w:ascii="Times New Roman"/>
                <w:sz w:val="18"/>
              </w:rPr>
            </w:pPr>
          </w:p>
        </w:tc>
        <w:tc>
          <w:tcPr>
            <w:tcW w:w="1625" w:type="dxa"/>
            <w:tcBorders>
              <w:top w:val="nil"/>
            </w:tcBorders>
          </w:tcPr>
          <w:p w:rsidR="00D1511D" w:rsidRDefault="00D1511D">
            <w:pPr>
              <w:pStyle w:val="TableParagraph"/>
              <w:spacing w:before="0"/>
              <w:rPr>
                <w:rFonts w:ascii="Times New Roman"/>
                <w:sz w:val="18"/>
              </w:rPr>
            </w:pPr>
          </w:p>
        </w:tc>
        <w:tc>
          <w:tcPr>
            <w:tcW w:w="1927" w:type="dxa"/>
            <w:vMerge/>
            <w:tcBorders>
              <w:top w:val="nil"/>
            </w:tcBorders>
          </w:tcPr>
          <w:p w:rsidR="00D1511D" w:rsidRDefault="00D1511D">
            <w:pPr>
              <w:rPr>
                <w:sz w:val="2"/>
                <w:szCs w:val="2"/>
              </w:rPr>
            </w:pPr>
          </w:p>
        </w:tc>
        <w:tc>
          <w:tcPr>
            <w:tcW w:w="1986" w:type="dxa"/>
            <w:tcBorders>
              <w:top w:val="nil"/>
            </w:tcBorders>
          </w:tcPr>
          <w:p w:rsidR="00D1511D" w:rsidRDefault="003F0CB3">
            <w:pPr>
              <w:pStyle w:val="TableParagraph"/>
              <w:spacing w:before="94" w:line="280" w:lineRule="auto"/>
              <w:ind w:left="114" w:right="385"/>
              <w:rPr>
                <w:sz w:val="20"/>
              </w:rPr>
            </w:pPr>
            <w:r>
              <w:rPr>
                <w:color w:val="231F20"/>
                <w:sz w:val="20"/>
              </w:rPr>
              <w:t>Expansion of Reef protection markers and moorings to prevent anchor damage</w:t>
            </w:r>
          </w:p>
        </w:tc>
      </w:tr>
      <w:tr w:rsidR="00D1511D">
        <w:trPr>
          <w:trHeight w:val="7837"/>
        </w:trPr>
        <w:tc>
          <w:tcPr>
            <w:tcW w:w="1034" w:type="dxa"/>
          </w:tcPr>
          <w:p w:rsidR="00D1511D" w:rsidRDefault="003F0CB3">
            <w:pPr>
              <w:pStyle w:val="TableParagraph"/>
              <w:spacing w:before="71" w:line="280" w:lineRule="auto"/>
              <w:ind w:left="113" w:right="183"/>
              <w:rPr>
                <w:sz w:val="20"/>
              </w:rPr>
            </w:pPr>
            <w:r>
              <w:rPr>
                <w:color w:val="231F20"/>
                <w:sz w:val="20"/>
              </w:rPr>
              <w:t>Seagrass meadows</w:t>
            </w:r>
          </w:p>
        </w:tc>
        <w:tc>
          <w:tcPr>
            <w:tcW w:w="1247" w:type="dxa"/>
            <w:shd w:val="clear" w:color="auto" w:fill="FBDBCD"/>
          </w:tcPr>
          <w:p w:rsidR="00D1511D" w:rsidRDefault="003F0CB3">
            <w:pPr>
              <w:pStyle w:val="TableParagraph"/>
              <w:spacing w:before="71"/>
              <w:ind w:left="113"/>
              <w:rPr>
                <w:sz w:val="20"/>
              </w:rPr>
            </w:pPr>
            <w:r>
              <w:rPr>
                <w:color w:val="231F20"/>
                <w:sz w:val="20"/>
              </w:rPr>
              <w:t>Stable</w:t>
            </w:r>
          </w:p>
        </w:tc>
        <w:tc>
          <w:tcPr>
            <w:tcW w:w="1363" w:type="dxa"/>
            <w:shd w:val="clear" w:color="auto" w:fill="FBDBCD"/>
          </w:tcPr>
          <w:p w:rsidR="00D1511D" w:rsidRDefault="003F0CB3">
            <w:pPr>
              <w:pStyle w:val="TableParagraph"/>
              <w:spacing w:before="71"/>
              <w:ind w:left="114"/>
              <w:rPr>
                <w:sz w:val="20"/>
              </w:rPr>
            </w:pPr>
            <w:r>
              <w:rPr>
                <w:color w:val="231F20"/>
                <w:sz w:val="20"/>
              </w:rPr>
              <w:t>Deteriorated</w:t>
            </w:r>
          </w:p>
        </w:tc>
        <w:tc>
          <w:tcPr>
            <w:tcW w:w="1625" w:type="dxa"/>
          </w:tcPr>
          <w:p w:rsidR="00D1511D" w:rsidRDefault="003F0CB3">
            <w:pPr>
              <w:pStyle w:val="TableParagraph"/>
              <w:spacing w:before="71" w:line="280" w:lineRule="auto"/>
              <w:ind w:left="114"/>
              <w:rPr>
                <w:sz w:val="20"/>
              </w:rPr>
            </w:pPr>
            <w:r>
              <w:rPr>
                <w:color w:val="231F20"/>
                <w:sz w:val="20"/>
              </w:rPr>
              <w:t>Significant improvement required to meet target</w:t>
            </w:r>
          </w:p>
        </w:tc>
        <w:tc>
          <w:tcPr>
            <w:tcW w:w="1927" w:type="dxa"/>
          </w:tcPr>
          <w:p w:rsidR="00D1511D" w:rsidRDefault="003F0CB3">
            <w:pPr>
              <w:pStyle w:val="TableParagraph"/>
              <w:spacing w:before="71" w:line="280" w:lineRule="auto"/>
              <w:ind w:left="114" w:right="123"/>
              <w:rPr>
                <w:sz w:val="20"/>
              </w:rPr>
            </w:pPr>
            <w:r>
              <w:rPr>
                <w:color w:val="231F20"/>
                <w:sz w:val="20"/>
              </w:rPr>
              <w:t>Degradation of inshore seagrass meadows has occurred in a number of areas and recovery has been slowed</w:t>
            </w:r>
          </w:p>
          <w:p w:rsidR="00D1511D" w:rsidRDefault="003F0CB3">
            <w:pPr>
              <w:pStyle w:val="TableParagraph"/>
              <w:spacing w:before="0" w:line="280" w:lineRule="auto"/>
              <w:ind w:left="114" w:right="102"/>
              <w:rPr>
                <w:sz w:val="20"/>
              </w:rPr>
            </w:pPr>
            <w:r>
              <w:rPr>
                <w:color w:val="231F20"/>
                <w:sz w:val="20"/>
              </w:rPr>
              <w:t xml:space="preserve">by a number of disturbances </w:t>
            </w:r>
            <w:r>
              <w:rPr>
                <w:color w:val="231F20"/>
                <w:spacing w:val="-3"/>
                <w:sz w:val="20"/>
              </w:rPr>
              <w:t xml:space="preserve">(Cyclone </w:t>
            </w:r>
            <w:r>
              <w:rPr>
                <w:color w:val="231F20"/>
                <w:sz w:val="20"/>
              </w:rPr>
              <w:t>Debbie near the Whitsundays, poor water quality and marine</w:t>
            </w:r>
            <w:r>
              <w:rPr>
                <w:color w:val="231F20"/>
                <w:spacing w:val="-1"/>
                <w:sz w:val="20"/>
              </w:rPr>
              <w:t xml:space="preserve"> </w:t>
            </w:r>
            <w:r>
              <w:rPr>
                <w:color w:val="231F20"/>
                <w:sz w:val="20"/>
              </w:rPr>
              <w:t>heatwaves).</w:t>
            </w:r>
          </w:p>
          <w:p w:rsidR="00D1511D" w:rsidRDefault="003F0CB3">
            <w:pPr>
              <w:pStyle w:val="TableParagraph"/>
              <w:spacing w:before="0" w:line="280" w:lineRule="auto"/>
              <w:ind w:left="114" w:right="320"/>
              <w:rPr>
                <w:sz w:val="20"/>
              </w:rPr>
            </w:pPr>
            <w:r>
              <w:rPr>
                <w:color w:val="231F20"/>
                <w:sz w:val="20"/>
              </w:rPr>
              <w:t xml:space="preserve">The absence of seed banks and </w:t>
            </w:r>
            <w:r>
              <w:rPr>
                <w:color w:val="231F20"/>
                <w:spacing w:val="-7"/>
                <w:sz w:val="20"/>
              </w:rPr>
              <w:t xml:space="preserve">low </w:t>
            </w:r>
            <w:r>
              <w:rPr>
                <w:color w:val="231F20"/>
                <w:sz w:val="20"/>
              </w:rPr>
              <w:t>reproductiv</w:t>
            </w:r>
            <w:r>
              <w:rPr>
                <w:color w:val="231F20"/>
                <w:sz w:val="20"/>
              </w:rPr>
              <w:t>e</w:t>
            </w:r>
            <w:r>
              <w:rPr>
                <w:color w:val="231F20"/>
                <w:spacing w:val="-10"/>
                <w:sz w:val="20"/>
              </w:rPr>
              <w:t xml:space="preserve"> </w:t>
            </w:r>
            <w:r>
              <w:rPr>
                <w:color w:val="231F20"/>
                <w:sz w:val="20"/>
              </w:rPr>
              <w:t>effort</w:t>
            </w:r>
          </w:p>
          <w:p w:rsidR="00D1511D" w:rsidRDefault="003F0CB3">
            <w:pPr>
              <w:pStyle w:val="TableParagraph"/>
              <w:spacing w:before="0" w:line="280" w:lineRule="auto"/>
              <w:ind w:left="114" w:right="315"/>
              <w:rPr>
                <w:sz w:val="20"/>
              </w:rPr>
            </w:pPr>
            <w:r>
              <w:rPr>
                <w:color w:val="231F20"/>
                <w:sz w:val="20"/>
              </w:rPr>
              <w:t>have resulted in many seagrass meadows being vulnerable</w:t>
            </w:r>
          </w:p>
          <w:p w:rsidR="00D1511D" w:rsidRDefault="003F0CB3">
            <w:pPr>
              <w:pStyle w:val="TableParagraph"/>
              <w:spacing w:before="155" w:line="280" w:lineRule="auto"/>
              <w:ind w:left="114" w:right="283"/>
              <w:rPr>
                <w:sz w:val="20"/>
              </w:rPr>
            </w:pPr>
            <w:r>
              <w:rPr>
                <w:color w:val="231F20"/>
                <w:sz w:val="20"/>
              </w:rPr>
              <w:t xml:space="preserve">A more regional analysis of inshore seagrass meadows shows inshore seagrass remained in poor condition in all regions </w:t>
            </w:r>
            <w:r>
              <w:rPr>
                <w:color w:val="231F20"/>
                <w:spacing w:val="-4"/>
                <w:sz w:val="20"/>
              </w:rPr>
              <w:t xml:space="preserve">except </w:t>
            </w:r>
            <w:r>
              <w:rPr>
                <w:color w:val="231F20"/>
                <w:sz w:val="20"/>
              </w:rPr>
              <w:t>the Burdekin, where it</w:t>
            </w:r>
            <w:r>
              <w:rPr>
                <w:color w:val="231F20"/>
                <w:spacing w:val="-3"/>
                <w:sz w:val="20"/>
              </w:rPr>
              <w:t xml:space="preserve"> </w:t>
            </w:r>
            <w:r>
              <w:rPr>
                <w:color w:val="231F20"/>
                <w:sz w:val="20"/>
              </w:rPr>
              <w:t>remained</w:t>
            </w:r>
          </w:p>
        </w:tc>
        <w:tc>
          <w:tcPr>
            <w:tcW w:w="1986" w:type="dxa"/>
          </w:tcPr>
          <w:p w:rsidR="00D1511D" w:rsidRDefault="003F0CB3">
            <w:pPr>
              <w:pStyle w:val="TableParagraph"/>
              <w:spacing w:before="71" w:line="280" w:lineRule="auto"/>
              <w:ind w:left="114" w:right="142"/>
              <w:rPr>
                <w:sz w:val="20"/>
              </w:rPr>
            </w:pPr>
            <w:r>
              <w:rPr>
                <w:color w:val="231F20"/>
                <w:sz w:val="20"/>
              </w:rPr>
              <w:t>Australian Government climate comm</w:t>
            </w:r>
            <w:r>
              <w:rPr>
                <w:color w:val="231F20"/>
                <w:sz w:val="20"/>
              </w:rPr>
              <w:t>itments (see section 4.2.4)</w:t>
            </w:r>
          </w:p>
          <w:p w:rsidR="00D1511D" w:rsidRDefault="003F0CB3">
            <w:pPr>
              <w:pStyle w:val="TableParagraph"/>
              <w:spacing w:before="166" w:line="280" w:lineRule="auto"/>
              <w:ind w:left="114" w:right="147"/>
              <w:rPr>
                <w:sz w:val="20"/>
              </w:rPr>
            </w:pPr>
            <w:r>
              <w:rPr>
                <w:color w:val="231F20"/>
                <w:sz w:val="20"/>
              </w:rPr>
              <w:t xml:space="preserve">Great Barrier Reef Marine Park Zoning Plan 2003 (and </w:t>
            </w:r>
            <w:proofErr w:type="spellStart"/>
            <w:r>
              <w:rPr>
                <w:color w:val="231F20"/>
                <w:sz w:val="20"/>
              </w:rPr>
              <w:t>complementarry</w:t>
            </w:r>
            <w:proofErr w:type="spellEnd"/>
            <w:r>
              <w:rPr>
                <w:color w:val="231F20"/>
                <w:sz w:val="20"/>
              </w:rPr>
              <w:t xml:space="preserve"> State zoning) protection and enforcement</w:t>
            </w:r>
          </w:p>
          <w:p w:rsidR="00D1511D" w:rsidRDefault="003F0CB3">
            <w:pPr>
              <w:pStyle w:val="TableParagraph"/>
              <w:spacing w:before="166" w:line="280" w:lineRule="auto"/>
              <w:ind w:left="114"/>
              <w:rPr>
                <w:sz w:val="20"/>
              </w:rPr>
            </w:pPr>
            <w:r>
              <w:rPr>
                <w:color w:val="231F20"/>
                <w:sz w:val="20"/>
              </w:rPr>
              <w:t>Reef 2050 Water Quality Improvement Plan – although</w:t>
            </w:r>
          </w:p>
          <w:p w:rsidR="00D1511D" w:rsidRDefault="003F0CB3">
            <w:pPr>
              <w:pStyle w:val="TableParagraph"/>
              <w:spacing w:before="0" w:line="280" w:lineRule="auto"/>
              <w:ind w:left="114" w:right="213"/>
              <w:rPr>
                <w:sz w:val="20"/>
              </w:rPr>
            </w:pPr>
            <w:r>
              <w:rPr>
                <w:color w:val="231F20"/>
                <w:sz w:val="20"/>
              </w:rPr>
              <w:t xml:space="preserve">it takes significant period of time for improved land practices to influence the </w:t>
            </w:r>
            <w:proofErr w:type="spellStart"/>
            <w:r>
              <w:rPr>
                <w:color w:val="231F20"/>
                <w:sz w:val="20"/>
              </w:rPr>
              <w:t>condtion</w:t>
            </w:r>
            <w:proofErr w:type="spellEnd"/>
          </w:p>
          <w:p w:rsidR="00D1511D" w:rsidRDefault="003F0CB3">
            <w:pPr>
              <w:pStyle w:val="TableParagraph"/>
              <w:spacing w:before="0" w:line="236" w:lineRule="exact"/>
              <w:ind w:left="114"/>
              <w:rPr>
                <w:sz w:val="20"/>
              </w:rPr>
            </w:pPr>
            <w:r>
              <w:rPr>
                <w:color w:val="231F20"/>
                <w:sz w:val="20"/>
              </w:rPr>
              <w:t>of inshore</w:t>
            </w:r>
          </w:p>
        </w:tc>
      </w:tr>
    </w:tbl>
    <w:p w:rsidR="00D1511D" w:rsidRDefault="00D1511D">
      <w:pPr>
        <w:pStyle w:val="BodyText"/>
        <w:rPr>
          <w:rFonts w:ascii="Myriad Pro"/>
        </w:rPr>
      </w:pPr>
    </w:p>
    <w:p w:rsidR="00D1511D" w:rsidRDefault="003F0CB3">
      <w:pPr>
        <w:pStyle w:val="BodyText"/>
        <w:spacing w:before="5"/>
        <w:rPr>
          <w:rFonts w:ascii="Myriad Pro"/>
          <w:sz w:val="17"/>
        </w:rPr>
      </w:pPr>
      <w:r>
        <w:pict>
          <v:shape id="_x0000_s1257" alt="" style="position:absolute;margin-left:85.05pt;margin-top:12.7pt;width:124.75pt;height:.1pt;z-index:-251627520;mso-wrap-edited:f;mso-width-percent:0;mso-height-percent:0;mso-wrap-distance-left:0;mso-wrap-distance-right:0;mso-position-horizontal-relative:page;mso-width-percent:0;mso-height-percent:0" coordsize="2495,1270" path="m,l2494,e" filled="f" strokecolor="#231f20" strokeweight=".5pt">
            <v:path arrowok="t" o:connecttype="custom" o:connectlocs="0,0;1583690,0" o:connectangles="0,0"/>
            <w10:wrap type="topAndBottom" anchorx="page"/>
          </v:shape>
        </w:pict>
      </w:r>
    </w:p>
    <w:p w:rsidR="00D1511D" w:rsidRDefault="003F0CB3">
      <w:pPr>
        <w:pStyle w:val="ListParagraph"/>
        <w:numPr>
          <w:ilvl w:val="0"/>
          <w:numId w:val="8"/>
        </w:numPr>
        <w:tabs>
          <w:tab w:val="left" w:pos="1851"/>
        </w:tabs>
        <w:spacing w:before="62" w:after="41"/>
        <w:ind w:hanging="151"/>
        <w:rPr>
          <w:rFonts w:ascii="Myriad Pro"/>
          <w:sz w:val="16"/>
        </w:rPr>
      </w:pPr>
      <w:r>
        <w:rPr>
          <w:rFonts w:ascii="Myriad Pro"/>
          <w:color w:val="231F20"/>
          <w:sz w:val="16"/>
        </w:rPr>
        <w:t>2019 Outlook grading key:</w:t>
      </w:r>
    </w:p>
    <w:tbl>
      <w:tblPr>
        <w:tblW w:w="0" w:type="auto"/>
        <w:tblInd w:w="1705"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2197"/>
        <w:gridCol w:w="2197"/>
        <w:gridCol w:w="2197"/>
        <w:gridCol w:w="2192"/>
      </w:tblGrid>
      <w:tr w:rsidR="00D1511D">
        <w:trPr>
          <w:trHeight w:val="299"/>
        </w:trPr>
        <w:tc>
          <w:tcPr>
            <w:tcW w:w="2197" w:type="dxa"/>
            <w:shd w:val="clear" w:color="auto" w:fill="008752"/>
          </w:tcPr>
          <w:p w:rsidR="00D1511D" w:rsidRDefault="003F0CB3">
            <w:pPr>
              <w:pStyle w:val="TableParagraph"/>
              <w:spacing w:before="37"/>
              <w:ind w:left="675"/>
              <w:rPr>
                <w:sz w:val="20"/>
              </w:rPr>
            </w:pPr>
            <w:r>
              <w:rPr>
                <w:color w:val="FFFFFF"/>
                <w:sz w:val="20"/>
              </w:rPr>
              <w:t>Very Good</w:t>
            </w:r>
          </w:p>
        </w:tc>
        <w:tc>
          <w:tcPr>
            <w:tcW w:w="2197" w:type="dxa"/>
            <w:shd w:val="clear" w:color="auto" w:fill="A8D59D"/>
          </w:tcPr>
          <w:p w:rsidR="00D1511D" w:rsidRDefault="003F0CB3">
            <w:pPr>
              <w:pStyle w:val="TableParagraph"/>
              <w:spacing w:before="37"/>
              <w:ind w:left="708" w:right="704"/>
              <w:jc w:val="center"/>
              <w:rPr>
                <w:sz w:val="20"/>
              </w:rPr>
            </w:pPr>
            <w:r>
              <w:rPr>
                <w:color w:val="231F20"/>
                <w:sz w:val="20"/>
              </w:rPr>
              <w:t>Good</w:t>
            </w:r>
          </w:p>
        </w:tc>
        <w:tc>
          <w:tcPr>
            <w:tcW w:w="2197" w:type="dxa"/>
            <w:shd w:val="clear" w:color="auto" w:fill="FBDBCD"/>
          </w:tcPr>
          <w:p w:rsidR="00D1511D" w:rsidRDefault="003F0CB3">
            <w:pPr>
              <w:pStyle w:val="TableParagraph"/>
              <w:spacing w:before="37"/>
              <w:ind w:left="708" w:right="704"/>
              <w:jc w:val="center"/>
              <w:rPr>
                <w:sz w:val="20"/>
              </w:rPr>
            </w:pPr>
            <w:r>
              <w:rPr>
                <w:color w:val="231F20"/>
                <w:sz w:val="20"/>
              </w:rPr>
              <w:t>Poor</w:t>
            </w:r>
          </w:p>
        </w:tc>
        <w:tc>
          <w:tcPr>
            <w:tcW w:w="2192" w:type="dxa"/>
            <w:shd w:val="clear" w:color="auto" w:fill="E31B23"/>
          </w:tcPr>
          <w:p w:rsidR="00D1511D" w:rsidRDefault="003F0CB3">
            <w:pPr>
              <w:pStyle w:val="TableParagraph"/>
              <w:spacing w:before="37"/>
              <w:ind w:left="705" w:right="702"/>
              <w:jc w:val="center"/>
              <w:rPr>
                <w:sz w:val="20"/>
              </w:rPr>
            </w:pPr>
            <w:proofErr w:type="spellStart"/>
            <w:r>
              <w:rPr>
                <w:color w:val="FFFFFF"/>
                <w:sz w:val="20"/>
              </w:rPr>
              <w:t>VeryPoor</w:t>
            </w:r>
            <w:proofErr w:type="spellEnd"/>
          </w:p>
        </w:tc>
      </w:tr>
    </w:tbl>
    <w:p w:rsidR="00D1511D" w:rsidRDefault="003F0CB3">
      <w:pPr>
        <w:spacing w:before="152"/>
        <w:ind w:left="1734"/>
        <w:rPr>
          <w:rFonts w:ascii="Myriad Pro"/>
          <w:sz w:val="16"/>
        </w:rPr>
      </w:pPr>
      <w:r>
        <w:rPr>
          <w:rFonts w:ascii="Myriad Pro"/>
          <w:color w:val="231F20"/>
          <w:sz w:val="16"/>
        </w:rPr>
        <w:t xml:space="preserve">Further detail is available in the 2019 Outlook Report available at: </w:t>
      </w:r>
      <w:hyperlink r:id="rId78">
        <w:r>
          <w:rPr>
            <w:rFonts w:ascii="Myriad Pro"/>
            <w:color w:val="1B5BAA"/>
            <w:sz w:val="16"/>
            <w:u w:val="single" w:color="1B5BAA"/>
          </w:rPr>
          <w:t>www.gbrmpa.gov.au</w:t>
        </w:r>
      </w:hyperlink>
    </w:p>
    <w:p w:rsidR="00D1511D" w:rsidRDefault="00D1511D">
      <w:pPr>
        <w:pStyle w:val="BodyText"/>
        <w:rPr>
          <w:rFonts w:ascii="Myriad Pro"/>
          <w:sz w:val="18"/>
        </w:rPr>
      </w:pPr>
    </w:p>
    <w:p w:rsidR="00D1511D" w:rsidRDefault="00D1511D">
      <w:pPr>
        <w:pStyle w:val="BodyText"/>
        <w:spacing w:before="7"/>
        <w:rPr>
          <w:rFonts w:ascii="Myriad Pro"/>
          <w:sz w:val="13"/>
        </w:rPr>
      </w:pPr>
    </w:p>
    <w:p w:rsidR="00D1511D" w:rsidRDefault="003F0CB3">
      <w:pPr>
        <w:ind w:right="1415"/>
        <w:jc w:val="right"/>
        <w:rPr>
          <w:rFonts w:ascii="Myriad Pro"/>
          <w:sz w:val="16"/>
        </w:rPr>
      </w:pPr>
      <w:r>
        <w:rPr>
          <w:rFonts w:ascii="Myriad Pro"/>
          <w:color w:val="231F20"/>
          <w:sz w:val="16"/>
        </w:rPr>
        <w:t>35</w:t>
      </w:r>
    </w:p>
    <w:p w:rsidR="00D1511D" w:rsidRDefault="00D1511D">
      <w:pPr>
        <w:jc w:val="right"/>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2"/>
        <w:rPr>
          <w:rFonts w:ascii="Myriad Pro"/>
          <w:sz w:val="12"/>
        </w:rPr>
      </w:pPr>
    </w:p>
    <w:tbl>
      <w:tblPr>
        <w:tblW w:w="0" w:type="auto"/>
        <w:tblInd w:w="1705"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034"/>
        <w:gridCol w:w="1247"/>
        <w:gridCol w:w="1363"/>
        <w:gridCol w:w="1625"/>
        <w:gridCol w:w="1927"/>
        <w:gridCol w:w="1986"/>
      </w:tblGrid>
      <w:tr w:rsidR="00D1511D">
        <w:trPr>
          <w:trHeight w:val="613"/>
        </w:trPr>
        <w:tc>
          <w:tcPr>
            <w:tcW w:w="1034" w:type="dxa"/>
            <w:vMerge w:val="restart"/>
          </w:tcPr>
          <w:p w:rsidR="00D1511D" w:rsidRDefault="003F0CB3">
            <w:pPr>
              <w:pStyle w:val="TableParagraph"/>
              <w:spacing w:before="71"/>
              <w:ind w:left="113"/>
              <w:rPr>
                <w:b/>
                <w:sz w:val="20"/>
              </w:rPr>
            </w:pPr>
            <w:r>
              <w:rPr>
                <w:b/>
                <w:color w:val="231F20"/>
                <w:sz w:val="20"/>
              </w:rPr>
              <w:t>Habitat</w:t>
            </w:r>
          </w:p>
        </w:tc>
        <w:tc>
          <w:tcPr>
            <w:tcW w:w="2610" w:type="dxa"/>
            <w:gridSpan w:val="2"/>
          </w:tcPr>
          <w:p w:rsidR="00D1511D" w:rsidRDefault="003F0CB3">
            <w:pPr>
              <w:pStyle w:val="TableParagraph"/>
              <w:spacing w:before="71"/>
              <w:ind w:left="487"/>
              <w:rPr>
                <w:b/>
                <w:sz w:val="11"/>
              </w:rPr>
            </w:pPr>
            <w:r>
              <w:rPr>
                <w:b/>
                <w:color w:val="231F20"/>
                <w:sz w:val="20"/>
              </w:rPr>
              <w:t>Condition and trend</w:t>
            </w:r>
            <w:r>
              <w:rPr>
                <w:b/>
                <w:color w:val="231F20"/>
                <w:position w:val="7"/>
                <w:sz w:val="11"/>
              </w:rPr>
              <w:t>8</w:t>
            </w:r>
          </w:p>
        </w:tc>
        <w:tc>
          <w:tcPr>
            <w:tcW w:w="1625" w:type="dxa"/>
            <w:vMerge w:val="restart"/>
          </w:tcPr>
          <w:p w:rsidR="00D1511D" w:rsidRDefault="003F0CB3">
            <w:pPr>
              <w:pStyle w:val="TableParagraph"/>
              <w:spacing w:before="71"/>
              <w:ind w:left="114"/>
              <w:rPr>
                <w:b/>
                <w:sz w:val="20"/>
              </w:rPr>
            </w:pPr>
            <w:r>
              <w:rPr>
                <w:b/>
                <w:color w:val="231F20"/>
                <w:sz w:val="20"/>
              </w:rPr>
              <w:t>Progress</w:t>
            </w:r>
          </w:p>
        </w:tc>
        <w:tc>
          <w:tcPr>
            <w:tcW w:w="1927" w:type="dxa"/>
            <w:vMerge w:val="restart"/>
          </w:tcPr>
          <w:p w:rsidR="00D1511D" w:rsidRDefault="003F0CB3">
            <w:pPr>
              <w:pStyle w:val="TableParagraph"/>
              <w:spacing w:before="71" w:line="280" w:lineRule="auto"/>
              <w:ind w:left="114" w:right="123"/>
              <w:rPr>
                <w:b/>
                <w:sz w:val="20"/>
              </w:rPr>
            </w:pPr>
            <w:r>
              <w:rPr>
                <w:b/>
                <w:color w:val="231F20"/>
                <w:sz w:val="20"/>
              </w:rPr>
              <w:t>Reason for current state</w:t>
            </w:r>
          </w:p>
        </w:tc>
        <w:tc>
          <w:tcPr>
            <w:tcW w:w="1986" w:type="dxa"/>
            <w:vMerge w:val="restart"/>
          </w:tcPr>
          <w:p w:rsidR="00D1511D" w:rsidRDefault="003F0CB3">
            <w:pPr>
              <w:pStyle w:val="TableParagraph"/>
              <w:spacing w:before="71" w:line="280" w:lineRule="auto"/>
              <w:ind w:left="114" w:right="278"/>
              <w:rPr>
                <w:b/>
                <w:sz w:val="20"/>
              </w:rPr>
            </w:pPr>
            <w:r>
              <w:rPr>
                <w:b/>
                <w:color w:val="231F20"/>
                <w:sz w:val="20"/>
              </w:rPr>
              <w:t>Key progress enablers</w:t>
            </w:r>
          </w:p>
        </w:tc>
      </w:tr>
      <w:tr w:rsidR="00D1511D">
        <w:trPr>
          <w:trHeight w:val="432"/>
        </w:trPr>
        <w:tc>
          <w:tcPr>
            <w:tcW w:w="1034" w:type="dxa"/>
            <w:vMerge/>
            <w:tcBorders>
              <w:top w:val="nil"/>
            </w:tcBorders>
          </w:tcPr>
          <w:p w:rsidR="00D1511D" w:rsidRDefault="00D1511D">
            <w:pPr>
              <w:rPr>
                <w:sz w:val="2"/>
                <w:szCs w:val="2"/>
              </w:rPr>
            </w:pPr>
          </w:p>
        </w:tc>
        <w:tc>
          <w:tcPr>
            <w:tcW w:w="1247" w:type="dxa"/>
          </w:tcPr>
          <w:p w:rsidR="00D1511D" w:rsidRDefault="003F0CB3">
            <w:pPr>
              <w:pStyle w:val="TableParagraph"/>
              <w:spacing w:before="71"/>
              <w:ind w:left="113"/>
              <w:rPr>
                <w:b/>
                <w:sz w:val="20"/>
              </w:rPr>
            </w:pPr>
            <w:r>
              <w:rPr>
                <w:b/>
                <w:color w:val="231F20"/>
                <w:sz w:val="20"/>
              </w:rPr>
              <w:t>2014</w:t>
            </w:r>
          </w:p>
        </w:tc>
        <w:tc>
          <w:tcPr>
            <w:tcW w:w="1363" w:type="dxa"/>
          </w:tcPr>
          <w:p w:rsidR="00D1511D" w:rsidRDefault="003F0CB3">
            <w:pPr>
              <w:pStyle w:val="TableParagraph"/>
              <w:spacing w:before="71"/>
              <w:ind w:left="114"/>
              <w:rPr>
                <w:b/>
                <w:sz w:val="20"/>
              </w:rPr>
            </w:pPr>
            <w:r>
              <w:rPr>
                <w:b/>
                <w:color w:val="231F20"/>
                <w:sz w:val="20"/>
              </w:rPr>
              <w:t>2019</w:t>
            </w:r>
          </w:p>
        </w:tc>
        <w:tc>
          <w:tcPr>
            <w:tcW w:w="1625" w:type="dxa"/>
            <w:vMerge/>
            <w:tcBorders>
              <w:top w:val="nil"/>
            </w:tcBorders>
          </w:tcPr>
          <w:p w:rsidR="00D1511D" w:rsidRDefault="00D1511D">
            <w:pPr>
              <w:rPr>
                <w:sz w:val="2"/>
                <w:szCs w:val="2"/>
              </w:rPr>
            </w:pPr>
          </w:p>
        </w:tc>
        <w:tc>
          <w:tcPr>
            <w:tcW w:w="1927" w:type="dxa"/>
            <w:vMerge/>
            <w:tcBorders>
              <w:top w:val="nil"/>
            </w:tcBorders>
          </w:tcPr>
          <w:p w:rsidR="00D1511D" w:rsidRDefault="00D1511D">
            <w:pPr>
              <w:rPr>
                <w:sz w:val="2"/>
                <w:szCs w:val="2"/>
              </w:rPr>
            </w:pPr>
          </w:p>
        </w:tc>
        <w:tc>
          <w:tcPr>
            <w:tcW w:w="1986" w:type="dxa"/>
            <w:vMerge/>
            <w:tcBorders>
              <w:top w:val="nil"/>
            </w:tcBorders>
          </w:tcPr>
          <w:p w:rsidR="00D1511D" w:rsidRDefault="00D1511D">
            <w:pPr>
              <w:rPr>
                <w:sz w:val="2"/>
                <w:szCs w:val="2"/>
              </w:rPr>
            </w:pPr>
          </w:p>
        </w:tc>
      </w:tr>
      <w:tr w:rsidR="00D1511D">
        <w:trPr>
          <w:trHeight w:val="7396"/>
        </w:trPr>
        <w:tc>
          <w:tcPr>
            <w:tcW w:w="1034" w:type="dxa"/>
          </w:tcPr>
          <w:p w:rsidR="00D1511D" w:rsidRDefault="003F0CB3">
            <w:pPr>
              <w:pStyle w:val="TableParagraph"/>
              <w:spacing w:before="71" w:line="280" w:lineRule="auto"/>
              <w:ind w:left="113" w:right="463"/>
              <w:rPr>
                <w:sz w:val="20"/>
              </w:rPr>
            </w:pPr>
            <w:r>
              <w:rPr>
                <w:color w:val="231F20"/>
                <w:sz w:val="20"/>
              </w:rPr>
              <w:t>Coral reefs</w:t>
            </w:r>
          </w:p>
        </w:tc>
        <w:tc>
          <w:tcPr>
            <w:tcW w:w="1247" w:type="dxa"/>
            <w:shd w:val="clear" w:color="auto" w:fill="FBDBCD"/>
          </w:tcPr>
          <w:p w:rsidR="00D1511D" w:rsidRDefault="003F0CB3">
            <w:pPr>
              <w:pStyle w:val="TableParagraph"/>
              <w:spacing w:before="71"/>
              <w:ind w:left="113"/>
              <w:rPr>
                <w:sz w:val="20"/>
              </w:rPr>
            </w:pPr>
            <w:r>
              <w:rPr>
                <w:color w:val="231F20"/>
                <w:sz w:val="20"/>
              </w:rPr>
              <w:t>Deteriorated</w:t>
            </w:r>
          </w:p>
        </w:tc>
        <w:tc>
          <w:tcPr>
            <w:tcW w:w="1363" w:type="dxa"/>
            <w:shd w:val="clear" w:color="auto" w:fill="E31B23"/>
          </w:tcPr>
          <w:p w:rsidR="00D1511D" w:rsidRDefault="003F0CB3">
            <w:pPr>
              <w:pStyle w:val="TableParagraph"/>
              <w:spacing w:before="71"/>
              <w:ind w:left="114"/>
              <w:rPr>
                <w:sz w:val="20"/>
              </w:rPr>
            </w:pPr>
            <w:r>
              <w:rPr>
                <w:color w:val="FFFFFF"/>
                <w:sz w:val="20"/>
              </w:rPr>
              <w:t>Deteriorated</w:t>
            </w:r>
          </w:p>
        </w:tc>
        <w:tc>
          <w:tcPr>
            <w:tcW w:w="1625" w:type="dxa"/>
          </w:tcPr>
          <w:p w:rsidR="00D1511D" w:rsidRDefault="003F0CB3">
            <w:pPr>
              <w:pStyle w:val="TableParagraph"/>
              <w:spacing w:before="71" w:line="280" w:lineRule="auto"/>
              <w:ind w:left="114" w:right="408"/>
              <w:rPr>
                <w:sz w:val="20"/>
              </w:rPr>
            </w:pPr>
            <w:r>
              <w:rPr>
                <w:color w:val="231F20"/>
                <w:sz w:val="20"/>
              </w:rPr>
              <w:t>Significant improvement required to meet target</w:t>
            </w:r>
          </w:p>
          <w:p w:rsidR="00D1511D" w:rsidRDefault="003F0CB3">
            <w:pPr>
              <w:pStyle w:val="TableParagraph"/>
              <w:spacing w:before="166" w:line="280" w:lineRule="auto"/>
              <w:ind w:left="114" w:right="148"/>
              <w:rPr>
                <w:sz w:val="20"/>
              </w:rPr>
            </w:pPr>
            <w:r>
              <w:rPr>
                <w:color w:val="231F20"/>
                <w:sz w:val="20"/>
              </w:rPr>
              <w:t>Australian Institute of Marine Science – regional surveys</w:t>
            </w:r>
          </w:p>
          <w:p w:rsidR="00D1511D" w:rsidRDefault="003F0CB3">
            <w:pPr>
              <w:pStyle w:val="TableParagraph"/>
              <w:spacing w:before="167" w:line="280" w:lineRule="auto"/>
              <w:ind w:left="114" w:right="408"/>
              <w:rPr>
                <w:sz w:val="20"/>
              </w:rPr>
            </w:pPr>
            <w:r>
              <w:rPr>
                <w:color w:val="231F20"/>
                <w:sz w:val="20"/>
              </w:rPr>
              <w:t>disturbances have caused widespread damage and loss of coral reef habitat in a number of areas. Coral</w:t>
            </w:r>
          </w:p>
        </w:tc>
        <w:tc>
          <w:tcPr>
            <w:tcW w:w="1927" w:type="dxa"/>
          </w:tcPr>
          <w:p w:rsidR="00D1511D" w:rsidRDefault="003F0CB3">
            <w:pPr>
              <w:pStyle w:val="TableParagraph"/>
              <w:spacing w:before="71" w:line="280" w:lineRule="auto"/>
              <w:ind w:left="114" w:right="286"/>
              <w:rPr>
                <w:sz w:val="20"/>
              </w:rPr>
            </w:pPr>
            <w:r>
              <w:rPr>
                <w:color w:val="231F20"/>
                <w:sz w:val="20"/>
              </w:rPr>
              <w:t>Multiple severe disturbances have caused widespread damage and loss of coral reef habitat in a number of areas.</w:t>
            </w:r>
          </w:p>
          <w:p w:rsidR="00D1511D" w:rsidRDefault="003F0CB3">
            <w:pPr>
              <w:pStyle w:val="TableParagraph"/>
              <w:spacing w:before="0" w:line="280" w:lineRule="auto"/>
              <w:ind w:left="114" w:right="96"/>
              <w:rPr>
                <w:sz w:val="20"/>
              </w:rPr>
            </w:pPr>
            <w:r>
              <w:rPr>
                <w:color w:val="231F20"/>
                <w:sz w:val="20"/>
              </w:rPr>
              <w:t>Coral recruitment has declined significant</w:t>
            </w:r>
            <w:r>
              <w:rPr>
                <w:color w:val="231F20"/>
                <w:sz w:val="20"/>
              </w:rPr>
              <w:t>ly.</w:t>
            </w:r>
          </w:p>
          <w:p w:rsidR="00D1511D" w:rsidRDefault="003F0CB3">
            <w:pPr>
              <w:pStyle w:val="TableParagraph"/>
              <w:spacing w:before="163" w:line="280" w:lineRule="auto"/>
              <w:ind w:left="114" w:right="290"/>
              <w:rPr>
                <w:sz w:val="20"/>
              </w:rPr>
            </w:pPr>
            <w:r>
              <w:rPr>
                <w:color w:val="231F20"/>
                <w:sz w:val="20"/>
              </w:rPr>
              <w:t>More regionally, across the three sectors surveyed that make up the Reef, coral cover in the northern Reef</w:t>
            </w:r>
          </w:p>
          <w:p w:rsidR="00D1511D" w:rsidRDefault="003F0CB3">
            <w:pPr>
              <w:pStyle w:val="TableParagraph"/>
              <w:spacing w:before="0" w:line="280" w:lineRule="auto"/>
              <w:ind w:left="114" w:right="146"/>
              <w:rPr>
                <w:sz w:val="20"/>
              </w:rPr>
            </w:pPr>
            <w:r>
              <w:rPr>
                <w:color w:val="231F20"/>
                <w:sz w:val="20"/>
              </w:rPr>
              <w:t xml:space="preserve">(north of </w:t>
            </w:r>
            <w:proofErr w:type="spellStart"/>
            <w:r>
              <w:rPr>
                <w:color w:val="231F20"/>
                <w:sz w:val="20"/>
              </w:rPr>
              <w:t>Cooktown</w:t>
            </w:r>
            <w:proofErr w:type="spellEnd"/>
            <w:r>
              <w:rPr>
                <w:color w:val="231F20"/>
                <w:sz w:val="20"/>
              </w:rPr>
              <w:t xml:space="preserve">) has </w:t>
            </w:r>
            <w:proofErr w:type="spellStart"/>
            <w:r>
              <w:rPr>
                <w:color w:val="231F20"/>
                <w:sz w:val="20"/>
              </w:rPr>
              <w:t>stabilised</w:t>
            </w:r>
            <w:proofErr w:type="spellEnd"/>
            <w:r>
              <w:rPr>
                <w:color w:val="231F20"/>
                <w:sz w:val="20"/>
              </w:rPr>
              <w:t>, but remains close to</w:t>
            </w:r>
          </w:p>
          <w:p w:rsidR="00D1511D" w:rsidRDefault="003F0CB3">
            <w:pPr>
              <w:pStyle w:val="TableParagraph"/>
              <w:spacing w:before="0" w:line="280" w:lineRule="auto"/>
              <w:ind w:left="114" w:right="163"/>
              <w:rPr>
                <w:sz w:val="20"/>
              </w:rPr>
            </w:pPr>
            <w:r>
              <w:rPr>
                <w:color w:val="231F20"/>
                <w:sz w:val="20"/>
              </w:rPr>
              <w:t>the lowest levels recorded since 1985. Coral cover in the central and southern survey lo</w:t>
            </w:r>
            <w:r>
              <w:rPr>
                <w:color w:val="231F20"/>
                <w:sz w:val="20"/>
              </w:rPr>
              <w:t>cations (the remaining two thirds of the Reef) followed a declining trend.</w:t>
            </w:r>
          </w:p>
        </w:tc>
        <w:tc>
          <w:tcPr>
            <w:tcW w:w="1986" w:type="dxa"/>
          </w:tcPr>
          <w:p w:rsidR="00D1511D" w:rsidRDefault="003F0CB3">
            <w:pPr>
              <w:pStyle w:val="TableParagraph"/>
              <w:spacing w:before="71" w:line="280" w:lineRule="auto"/>
              <w:ind w:left="114" w:right="142"/>
              <w:rPr>
                <w:sz w:val="20"/>
              </w:rPr>
            </w:pPr>
            <w:r>
              <w:rPr>
                <w:color w:val="231F20"/>
                <w:sz w:val="20"/>
              </w:rPr>
              <w:t>Australian Government climate commitments (see section 4.2.4)</w:t>
            </w:r>
          </w:p>
          <w:p w:rsidR="00D1511D" w:rsidRDefault="003F0CB3">
            <w:pPr>
              <w:pStyle w:val="TableParagraph"/>
              <w:spacing w:before="166" w:line="280" w:lineRule="auto"/>
              <w:ind w:left="114" w:right="147"/>
              <w:rPr>
                <w:sz w:val="20"/>
              </w:rPr>
            </w:pPr>
            <w:r>
              <w:rPr>
                <w:color w:val="231F20"/>
                <w:sz w:val="20"/>
              </w:rPr>
              <w:t xml:space="preserve">Great Barrier Reef Marine Park Zoning Plan 2003 (and </w:t>
            </w:r>
            <w:proofErr w:type="spellStart"/>
            <w:r>
              <w:rPr>
                <w:color w:val="231F20"/>
                <w:sz w:val="20"/>
              </w:rPr>
              <w:t>complementarry</w:t>
            </w:r>
            <w:proofErr w:type="spellEnd"/>
            <w:r>
              <w:rPr>
                <w:color w:val="231F20"/>
                <w:sz w:val="20"/>
              </w:rPr>
              <w:t xml:space="preserve"> State zoning) protection and enforcement</w:t>
            </w:r>
          </w:p>
          <w:p w:rsidR="00D1511D" w:rsidRDefault="003F0CB3">
            <w:pPr>
              <w:pStyle w:val="TableParagraph"/>
              <w:spacing w:before="166" w:line="280" w:lineRule="auto"/>
              <w:ind w:left="114" w:right="651"/>
              <w:rPr>
                <w:sz w:val="20"/>
              </w:rPr>
            </w:pPr>
            <w:r>
              <w:rPr>
                <w:color w:val="231F20"/>
                <w:sz w:val="20"/>
              </w:rPr>
              <w:t>Expansion of Reef protection markers and</w:t>
            </w:r>
          </w:p>
          <w:p w:rsidR="00D1511D" w:rsidRDefault="003F0CB3">
            <w:pPr>
              <w:pStyle w:val="TableParagraph"/>
              <w:spacing w:before="0" w:line="280" w:lineRule="auto"/>
              <w:ind w:left="114" w:right="278"/>
              <w:rPr>
                <w:sz w:val="20"/>
              </w:rPr>
            </w:pPr>
            <w:r>
              <w:rPr>
                <w:color w:val="231F20"/>
                <w:sz w:val="20"/>
              </w:rPr>
              <w:t xml:space="preserve">moorings to </w:t>
            </w:r>
            <w:r>
              <w:rPr>
                <w:color w:val="231F20"/>
                <w:spacing w:val="-4"/>
                <w:sz w:val="20"/>
              </w:rPr>
              <w:t xml:space="preserve">prevent </w:t>
            </w:r>
            <w:r>
              <w:rPr>
                <w:color w:val="231F20"/>
                <w:sz w:val="20"/>
              </w:rPr>
              <w:t>anchor damage</w:t>
            </w:r>
          </w:p>
          <w:p w:rsidR="00D1511D" w:rsidRDefault="003F0CB3">
            <w:pPr>
              <w:pStyle w:val="TableParagraph"/>
              <w:spacing w:before="166" w:line="280" w:lineRule="auto"/>
              <w:ind w:left="114" w:right="142"/>
              <w:rPr>
                <w:sz w:val="20"/>
              </w:rPr>
            </w:pPr>
            <w:r>
              <w:rPr>
                <w:color w:val="231F20"/>
                <w:sz w:val="20"/>
              </w:rPr>
              <w:t xml:space="preserve">Reef 2050 </w:t>
            </w:r>
            <w:r>
              <w:rPr>
                <w:color w:val="231F20"/>
                <w:spacing w:val="-4"/>
                <w:sz w:val="20"/>
              </w:rPr>
              <w:t xml:space="preserve">Water </w:t>
            </w:r>
            <w:r>
              <w:rPr>
                <w:color w:val="231F20"/>
                <w:sz w:val="20"/>
              </w:rPr>
              <w:t xml:space="preserve">Quality </w:t>
            </w:r>
            <w:r>
              <w:rPr>
                <w:color w:val="231F20"/>
                <w:spacing w:val="-3"/>
                <w:sz w:val="20"/>
              </w:rPr>
              <w:t xml:space="preserve">Improvement </w:t>
            </w:r>
            <w:r>
              <w:rPr>
                <w:color w:val="231F20"/>
                <w:sz w:val="20"/>
              </w:rPr>
              <w:t>Plan –</w:t>
            </w:r>
            <w:r>
              <w:rPr>
                <w:color w:val="231F20"/>
                <w:spacing w:val="-1"/>
                <w:sz w:val="20"/>
              </w:rPr>
              <w:t xml:space="preserve"> </w:t>
            </w:r>
            <w:r>
              <w:rPr>
                <w:color w:val="231F20"/>
                <w:sz w:val="20"/>
              </w:rPr>
              <w:t>although</w:t>
            </w:r>
          </w:p>
          <w:p w:rsidR="00D1511D" w:rsidRDefault="003F0CB3">
            <w:pPr>
              <w:pStyle w:val="TableParagraph"/>
              <w:spacing w:before="0" w:line="280" w:lineRule="auto"/>
              <w:ind w:left="114" w:right="213"/>
              <w:rPr>
                <w:sz w:val="20"/>
              </w:rPr>
            </w:pPr>
            <w:r>
              <w:rPr>
                <w:color w:val="231F20"/>
                <w:sz w:val="20"/>
              </w:rPr>
              <w:t>it takes significant</w:t>
            </w:r>
            <w:r>
              <w:rPr>
                <w:color w:val="231F20"/>
                <w:sz w:val="20"/>
              </w:rPr>
              <w:t xml:space="preserve"> period of time for improved land practices to influence the </w:t>
            </w:r>
            <w:proofErr w:type="spellStart"/>
            <w:r>
              <w:rPr>
                <w:color w:val="231F20"/>
                <w:sz w:val="20"/>
              </w:rPr>
              <w:t>condtion</w:t>
            </w:r>
            <w:proofErr w:type="spellEnd"/>
            <w:r>
              <w:rPr>
                <w:color w:val="231F20"/>
                <w:sz w:val="20"/>
              </w:rPr>
              <w:t xml:space="preserve"> of inshore ecosystems</w:t>
            </w:r>
          </w:p>
        </w:tc>
      </w:tr>
    </w:tbl>
    <w:p w:rsidR="00D1511D" w:rsidRDefault="003F0CB3">
      <w:pPr>
        <w:pStyle w:val="BodyText"/>
        <w:spacing w:before="10"/>
        <w:rPr>
          <w:rFonts w:ascii="Myriad Pro"/>
          <w:sz w:val="23"/>
        </w:rPr>
      </w:pPr>
      <w:r>
        <w:pict>
          <v:shape id="_x0000_s1256" type="#_x0000_t202" alt="" style="position:absolute;margin-left:85.05pt;margin-top:15.55pt;width:439.7pt;height:46.3pt;z-index:-251626496;mso-wrap-style:square;mso-wrap-edited:f;mso-width-percent:0;mso-height-percent:0;mso-wrap-distance-left:0;mso-wrap-distance-right:0;mso-position-horizontal-relative:page;mso-position-vertical-relative:text;mso-width-percent:0;mso-height-percent:0;v-text-anchor:top" fillcolor="#d2e3de" stroked="f">
            <v:textbox inset="0,0,0,0">
              <w:txbxContent>
                <w:p w:rsidR="00D1511D" w:rsidRDefault="003F0CB3">
                  <w:pPr>
                    <w:pStyle w:val="BodyText"/>
                    <w:spacing w:before="211" w:line="280" w:lineRule="auto"/>
                    <w:ind w:left="170" w:right="354"/>
                  </w:pPr>
                  <w:r>
                    <w:rPr>
                      <w:color w:val="231F20"/>
                    </w:rPr>
                    <w:t>Target: There is no net loss of the extent, and a net improvement in the condition, of natural wetlands and riparian vegetation that contribute to Reef resilience and ecosystem health (EHT 3).</w:t>
                  </w:r>
                </w:p>
              </w:txbxContent>
            </v:textbox>
            <w10:wrap type="topAndBottom" anchorx="page"/>
          </v:shape>
        </w:pict>
      </w:r>
    </w:p>
    <w:p w:rsidR="00D1511D" w:rsidRDefault="00D1511D">
      <w:pPr>
        <w:pStyle w:val="BodyText"/>
        <w:spacing w:before="3"/>
        <w:rPr>
          <w:rFonts w:ascii="Myriad Pro"/>
          <w:sz w:val="10"/>
        </w:rPr>
      </w:pPr>
    </w:p>
    <w:p w:rsidR="00D1511D" w:rsidRDefault="003F0CB3">
      <w:pPr>
        <w:pStyle w:val="Heading4"/>
        <w:spacing w:before="101"/>
      </w:pPr>
      <w:r>
        <w:rPr>
          <w:color w:val="58595B"/>
        </w:rPr>
        <w:t>Progress Summary</w:t>
      </w:r>
    </w:p>
    <w:p w:rsidR="00D1511D" w:rsidRDefault="00D1511D">
      <w:pPr>
        <w:pStyle w:val="BodyText"/>
        <w:spacing w:before="9"/>
        <w:rPr>
          <w:rFonts w:ascii="Myriad Pro"/>
          <w:sz w:val="21"/>
        </w:rPr>
      </w:pPr>
    </w:p>
    <w:p w:rsidR="00D1511D" w:rsidRDefault="003F0CB3">
      <w:pPr>
        <w:pStyle w:val="BodyText"/>
        <w:spacing w:line="280" w:lineRule="auto"/>
        <w:ind w:left="1700" w:right="1467"/>
      </w:pPr>
      <w:r>
        <w:rPr>
          <w:color w:val="231F20"/>
        </w:rPr>
        <w:t>The current condition and trend in the 2019</w:t>
      </w:r>
      <w:r>
        <w:rPr>
          <w:color w:val="231F20"/>
        </w:rPr>
        <w:t xml:space="preserve"> Outlook Report (Region-wide scale) shows that coastal ecosystems that support the Reef remain in poor condition overall, mainly due to historical modification of coastal ecosystems for different land uses. However, the trends of most components have </w:t>
      </w:r>
      <w:proofErr w:type="spellStart"/>
      <w:r>
        <w:rPr>
          <w:color w:val="231F20"/>
        </w:rPr>
        <w:t>stabi</w:t>
      </w:r>
      <w:r>
        <w:rPr>
          <w:color w:val="231F20"/>
        </w:rPr>
        <w:t>lised</w:t>
      </w:r>
      <w:proofErr w:type="spellEnd"/>
      <w:r>
        <w:rPr>
          <w:color w:val="231F20"/>
        </w:rPr>
        <w:t>.</w:t>
      </w:r>
    </w:p>
    <w:p w:rsidR="00D1511D" w:rsidRDefault="003F0CB3">
      <w:pPr>
        <w:pStyle w:val="BodyText"/>
        <w:spacing w:before="168" w:line="280" w:lineRule="auto"/>
        <w:ind w:left="1700" w:right="1627"/>
      </w:pPr>
      <w:r>
        <w:rPr>
          <w:color w:val="231F20"/>
        </w:rPr>
        <w:t>Currently the remaining extent of each coastal ecosystem is the primary indicator of condition within the 2019 Outlook Report until such time as more broadscale condition and function data are available. The Statewide</w:t>
      </w:r>
    </w:p>
    <w:p w:rsidR="00D1511D" w:rsidRDefault="00D1511D">
      <w:pPr>
        <w:pStyle w:val="BodyText"/>
      </w:pPr>
    </w:p>
    <w:p w:rsidR="00D1511D" w:rsidRDefault="003F0CB3">
      <w:pPr>
        <w:pStyle w:val="BodyText"/>
        <w:spacing w:before="6"/>
        <w:rPr>
          <w:sz w:val="12"/>
        </w:rPr>
      </w:pPr>
      <w:r>
        <w:pict>
          <v:shape id="_x0000_s1255" alt="" style="position:absolute;margin-left:85.05pt;margin-top:9.7pt;width:124.75pt;height:.1pt;z-index:-251625472;mso-wrap-edited:f;mso-width-percent:0;mso-height-percent:0;mso-wrap-distance-left:0;mso-wrap-distance-right:0;mso-position-horizontal-relative:page;mso-width-percent:0;mso-height-percent:0" coordsize="2495,1270" path="m,l2494,e" filled="f" strokecolor="#231f20" strokeweight=".5pt">
            <v:path arrowok="t" o:connecttype="custom" o:connectlocs="0,0;1583690,0" o:connectangles="0,0"/>
            <w10:wrap type="topAndBottom" anchorx="page"/>
          </v:shape>
        </w:pict>
      </w:r>
    </w:p>
    <w:p w:rsidR="00D1511D" w:rsidRDefault="003F0CB3">
      <w:pPr>
        <w:pStyle w:val="ListParagraph"/>
        <w:numPr>
          <w:ilvl w:val="0"/>
          <w:numId w:val="8"/>
        </w:numPr>
        <w:tabs>
          <w:tab w:val="left" w:pos="1851"/>
        </w:tabs>
        <w:spacing w:before="62" w:after="41"/>
        <w:ind w:hanging="151"/>
        <w:rPr>
          <w:rFonts w:ascii="Myriad Pro"/>
          <w:sz w:val="16"/>
        </w:rPr>
      </w:pPr>
      <w:r>
        <w:rPr>
          <w:rFonts w:ascii="Myriad Pro"/>
          <w:color w:val="231F20"/>
          <w:sz w:val="16"/>
        </w:rPr>
        <w:t>2019 Outlook grading key:</w:t>
      </w:r>
    </w:p>
    <w:tbl>
      <w:tblPr>
        <w:tblW w:w="0" w:type="auto"/>
        <w:tblInd w:w="1705"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2197"/>
        <w:gridCol w:w="2197"/>
        <w:gridCol w:w="2197"/>
        <w:gridCol w:w="2192"/>
      </w:tblGrid>
      <w:tr w:rsidR="00D1511D">
        <w:trPr>
          <w:trHeight w:val="299"/>
        </w:trPr>
        <w:tc>
          <w:tcPr>
            <w:tcW w:w="2197" w:type="dxa"/>
            <w:shd w:val="clear" w:color="auto" w:fill="008752"/>
          </w:tcPr>
          <w:p w:rsidR="00D1511D" w:rsidRDefault="003F0CB3">
            <w:pPr>
              <w:pStyle w:val="TableParagraph"/>
              <w:spacing w:before="37"/>
              <w:ind w:left="675"/>
              <w:rPr>
                <w:sz w:val="20"/>
              </w:rPr>
            </w:pPr>
            <w:r>
              <w:rPr>
                <w:color w:val="FFFFFF"/>
                <w:sz w:val="20"/>
              </w:rPr>
              <w:t>Very Good</w:t>
            </w:r>
          </w:p>
        </w:tc>
        <w:tc>
          <w:tcPr>
            <w:tcW w:w="2197" w:type="dxa"/>
            <w:shd w:val="clear" w:color="auto" w:fill="A8D59D"/>
          </w:tcPr>
          <w:p w:rsidR="00D1511D" w:rsidRDefault="003F0CB3">
            <w:pPr>
              <w:pStyle w:val="TableParagraph"/>
              <w:spacing w:before="37"/>
              <w:ind w:left="708" w:right="704"/>
              <w:jc w:val="center"/>
              <w:rPr>
                <w:sz w:val="20"/>
              </w:rPr>
            </w:pPr>
            <w:r>
              <w:rPr>
                <w:color w:val="231F20"/>
                <w:sz w:val="20"/>
              </w:rPr>
              <w:t>Good</w:t>
            </w:r>
          </w:p>
        </w:tc>
        <w:tc>
          <w:tcPr>
            <w:tcW w:w="2197" w:type="dxa"/>
            <w:shd w:val="clear" w:color="auto" w:fill="FBDBCD"/>
          </w:tcPr>
          <w:p w:rsidR="00D1511D" w:rsidRDefault="003F0CB3">
            <w:pPr>
              <w:pStyle w:val="TableParagraph"/>
              <w:spacing w:before="37"/>
              <w:ind w:left="708" w:right="704"/>
              <w:jc w:val="center"/>
              <w:rPr>
                <w:sz w:val="20"/>
              </w:rPr>
            </w:pPr>
            <w:r>
              <w:rPr>
                <w:color w:val="231F20"/>
                <w:sz w:val="20"/>
              </w:rPr>
              <w:t>Poor</w:t>
            </w:r>
          </w:p>
        </w:tc>
        <w:tc>
          <w:tcPr>
            <w:tcW w:w="2192" w:type="dxa"/>
            <w:shd w:val="clear" w:color="auto" w:fill="E31B23"/>
          </w:tcPr>
          <w:p w:rsidR="00D1511D" w:rsidRDefault="003F0CB3">
            <w:pPr>
              <w:pStyle w:val="TableParagraph"/>
              <w:spacing w:before="37"/>
              <w:ind w:left="705" w:right="702"/>
              <w:jc w:val="center"/>
              <w:rPr>
                <w:sz w:val="20"/>
              </w:rPr>
            </w:pPr>
            <w:proofErr w:type="spellStart"/>
            <w:r>
              <w:rPr>
                <w:color w:val="FFFFFF"/>
                <w:sz w:val="20"/>
              </w:rPr>
              <w:t>VeryPoor</w:t>
            </w:r>
            <w:proofErr w:type="spellEnd"/>
          </w:p>
        </w:tc>
      </w:tr>
    </w:tbl>
    <w:p w:rsidR="00D1511D" w:rsidRDefault="003F0CB3">
      <w:pPr>
        <w:spacing w:before="152"/>
        <w:ind w:left="1734"/>
        <w:rPr>
          <w:rFonts w:ascii="Myriad Pro"/>
          <w:sz w:val="16"/>
        </w:rPr>
      </w:pPr>
      <w:r>
        <w:rPr>
          <w:rFonts w:ascii="Myriad Pro"/>
          <w:color w:val="231F20"/>
          <w:sz w:val="16"/>
        </w:rPr>
        <w:t xml:space="preserve">Further detail is available in the 2019 Outlook Report available at: </w:t>
      </w:r>
      <w:hyperlink r:id="rId79">
        <w:r>
          <w:rPr>
            <w:rFonts w:ascii="Myriad Pro"/>
            <w:color w:val="1B5BAA"/>
            <w:sz w:val="16"/>
            <w:u w:val="single" w:color="1B5BAA"/>
          </w:rPr>
          <w:t>www.gbrmpa.gov.au</w:t>
        </w:r>
      </w:hyperlink>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spacing w:before="2"/>
        <w:rPr>
          <w:rFonts w:ascii="Myriad Pro"/>
          <w:sz w:val="16"/>
        </w:rPr>
      </w:pPr>
    </w:p>
    <w:p w:rsidR="00D1511D" w:rsidRDefault="003F0CB3">
      <w:pPr>
        <w:ind w:left="1417"/>
        <w:rPr>
          <w:rFonts w:ascii="Myriad Pro"/>
          <w:sz w:val="16"/>
        </w:rPr>
      </w:pPr>
      <w:r>
        <w:rPr>
          <w:rFonts w:ascii="Myriad Pro"/>
          <w:color w:val="231F20"/>
          <w:sz w:val="16"/>
        </w:rPr>
        <w:t xml:space="preserve">36 / </w:t>
      </w:r>
      <w:r>
        <w:rPr>
          <w:rFonts w:ascii="Myriad Pro"/>
          <w:color w:val="005695"/>
          <w:sz w:val="16"/>
        </w:rPr>
        <w:t xml:space="preserve">State Party Report on the state of conservation of the </w:t>
      </w:r>
      <w:r>
        <w:rPr>
          <w:rFonts w:ascii="Myriad Pro"/>
          <w:b/>
          <w:color w:val="005695"/>
          <w:sz w:val="16"/>
        </w:rPr>
        <w:t xml:space="preserve">Great Barrier Reef World Heritage Area (Australia) </w:t>
      </w:r>
      <w:r>
        <w:rPr>
          <w:rFonts w:ascii="Myriad Pro"/>
          <w:color w:val="005695"/>
          <w:sz w:val="16"/>
        </w:rPr>
        <w:t>2019</w:t>
      </w:r>
    </w:p>
    <w:p w:rsidR="00D1511D" w:rsidRDefault="00D1511D">
      <w:pPr>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8"/>
        <w:rPr>
          <w:rFonts w:ascii="Myriad Pro"/>
        </w:rPr>
      </w:pPr>
    </w:p>
    <w:p w:rsidR="00D1511D" w:rsidRDefault="003F0CB3">
      <w:pPr>
        <w:pStyle w:val="BodyText"/>
        <w:spacing w:before="98" w:line="280" w:lineRule="auto"/>
        <w:ind w:left="1700" w:right="1440"/>
      </w:pPr>
      <w:r>
        <w:rPr>
          <w:color w:val="231F20"/>
        </w:rPr>
        <w:t>Landcover and Tree Study is a Queensland Government vegetation monitoring program that reports annually on the woody veget</w:t>
      </w:r>
      <w:r>
        <w:rPr>
          <w:color w:val="231F20"/>
        </w:rPr>
        <w:t>ation loss in Queensland. Since the 2014 Outlook Report, the clearing rate of regrowth woody vegetation (mainly for agriculture land use) in the Reef catchment has increased. Vegetation management laws were reinstated in mid-2018 to provide consistent prot</w:t>
      </w:r>
      <w:r>
        <w:rPr>
          <w:color w:val="231F20"/>
        </w:rPr>
        <w:t>ection to regrowth vegetation in all Reef catchments.</w:t>
      </w:r>
    </w:p>
    <w:p w:rsidR="00D1511D" w:rsidRDefault="003F0CB3">
      <w:pPr>
        <w:pStyle w:val="BodyText"/>
        <w:spacing w:before="167" w:line="280" w:lineRule="auto"/>
        <w:ind w:left="1700" w:right="1585"/>
      </w:pPr>
      <w:r>
        <w:rPr>
          <w:color w:val="231F20"/>
        </w:rPr>
        <w:t>There has been limited clearing of freshwater wetlands, with about 81 per cent of the habitat remaining in the Catchment. Freshwater wetlands help the Reef by absorbing and transforming pollutants, regulating sediment, slowing freshwater flows and providin</w:t>
      </w:r>
      <w:r>
        <w:rPr>
          <w:color w:val="231F20"/>
        </w:rPr>
        <w:t>g nurseries for freshwater and marine species, including barramundi and other finfish (2019 Outlook Report). Heath and shrublands remain in very good condition and two coastal ecosystems (saltmarshes and rainforests) remain in good condition.</w:t>
      </w:r>
    </w:p>
    <w:p w:rsidR="00D1511D" w:rsidRDefault="00D1511D">
      <w:pPr>
        <w:pStyle w:val="BodyText"/>
        <w:rPr>
          <w:sz w:val="24"/>
        </w:rPr>
      </w:pPr>
    </w:p>
    <w:p w:rsidR="00D1511D" w:rsidRDefault="003F0CB3">
      <w:pPr>
        <w:pStyle w:val="Heading5"/>
        <w:spacing w:before="162" w:line="280" w:lineRule="auto"/>
        <w:ind w:right="2593"/>
      </w:pPr>
      <w:r>
        <w:rPr>
          <w:color w:val="231F20"/>
        </w:rPr>
        <w:t>Changes in t</w:t>
      </w:r>
      <w:r>
        <w:rPr>
          <w:color w:val="231F20"/>
        </w:rPr>
        <w:t>he extent of coastal ecosystems in the Catchment before European settlement, 2009 and 2015</w:t>
      </w:r>
    </w:p>
    <w:p w:rsidR="00D1511D" w:rsidRDefault="003F0CB3">
      <w:pPr>
        <w:spacing w:before="187" w:line="312" w:lineRule="auto"/>
        <w:ind w:left="1700" w:right="1361"/>
        <w:rPr>
          <w:i/>
          <w:sz w:val="18"/>
        </w:rPr>
      </w:pPr>
      <w:r>
        <w:rPr>
          <w:i/>
          <w:color w:val="231F20"/>
          <w:sz w:val="18"/>
        </w:rPr>
        <w:t>The 2014 Outlook Report outlined the remaining extent of terrestrial habitats (renamed to coastal ecosystems) since European settlement. The current extent and trend</w:t>
      </w:r>
      <w:r>
        <w:rPr>
          <w:i/>
          <w:color w:val="231F20"/>
          <w:sz w:val="18"/>
        </w:rPr>
        <w:t xml:space="preserve"> since 2009 of coastal ecosystems is presented (being remnant vegetation only; or more broadly, vegetation that has not previously been cleared). Source: Adapted from </w:t>
      </w:r>
      <w:proofErr w:type="spellStart"/>
      <w:r>
        <w:rPr>
          <w:i/>
          <w:color w:val="231F20"/>
          <w:sz w:val="18"/>
        </w:rPr>
        <w:t>Neldner</w:t>
      </w:r>
      <w:proofErr w:type="spellEnd"/>
      <w:r>
        <w:rPr>
          <w:i/>
          <w:color w:val="231F20"/>
          <w:sz w:val="18"/>
        </w:rPr>
        <w:t xml:space="preserve"> et al. 2017 and Kelley and Ryan 2018.that has not previously been cleared). Sourc</w:t>
      </w:r>
      <w:r>
        <w:rPr>
          <w:i/>
          <w:color w:val="231F20"/>
          <w:sz w:val="18"/>
        </w:rPr>
        <w:t xml:space="preserve">e: Adapted from </w:t>
      </w:r>
      <w:proofErr w:type="spellStart"/>
      <w:r>
        <w:rPr>
          <w:i/>
          <w:color w:val="231F20"/>
          <w:sz w:val="18"/>
        </w:rPr>
        <w:t>Neldner</w:t>
      </w:r>
      <w:proofErr w:type="spellEnd"/>
      <w:r>
        <w:rPr>
          <w:i/>
          <w:color w:val="231F20"/>
          <w:sz w:val="18"/>
        </w:rPr>
        <w:t xml:space="preserve"> et al. 2017 and Kelley and Ryan 2018.</w:t>
      </w:r>
    </w:p>
    <w:p w:rsidR="00D1511D" w:rsidRDefault="00D1511D">
      <w:pPr>
        <w:pStyle w:val="BodyText"/>
        <w:rPr>
          <w:i/>
        </w:rPr>
      </w:pPr>
    </w:p>
    <w:p w:rsidR="00D1511D" w:rsidRDefault="003F0CB3">
      <w:pPr>
        <w:pStyle w:val="BodyText"/>
        <w:spacing w:before="7"/>
        <w:rPr>
          <w:i/>
          <w:sz w:val="17"/>
        </w:rPr>
      </w:pPr>
      <w:r>
        <w:pict>
          <v:group id="_x0000_s1251" alt="This table shows the changes in the extent of coastal ecosystems in the Great Barrier Reef Catchment area, before European settlement, in 2009 and in 2015. This table has been adapted from Neldner et al (2017) and Kelley and Ryan (2018). " style="position:absolute;margin-left:85.05pt;margin-top:12.5pt;width:439.3pt;height:231.3pt;z-index:-251624448;mso-wrap-distance-left:0;mso-wrap-distance-right:0;mso-position-horizontal-relative:page" coordorigin="1701,250" coordsize="8786,4626">
            <v:rect id="_x0000_s1252" alt="This table shows the changes in the extent of coastal ecosystems in the Great Barrier Reef Catchment area, before European settlement, in 2009 and in 2015. This table has been adapted from Neldner et al (2017) and Kelley and Ryan (2018). " style="position:absolute;left:6036;top:1088;width:1484;height:324" fillcolor="#395b8c" stroked="f"/>
            <v:rect id="_x0000_s1253" alt="This table shows the changes in the extent of coastal ecosystems in the Great Barrier Reef Catchment area, before European settlement, in 2009 and in 2015. This table has been adapted from Neldner et al (2017) and Kelley and Ryan (2018). " style="position:absolute;left:6036;top:250;width:4450;height:838" fillcolor="#395b8c" stroked="f"/>
            <v:shape id="_x0000_s1254" type="#_x0000_t75" alt="This table shows the changes in the extent of coastal ecosystems in the Great Barrier Reef Catchment area, before European settlement, in 2009 and in 2015. This table has been adapted from Neldner et al (2017) and Kelley and Ryan (2018). " style="position:absolute;left:1700;top:250;width:8786;height:4626">
              <v:imagedata r:id="rId80" o:title=""/>
            </v:shape>
            <w10:wrap type="topAndBottom" anchorx="page"/>
          </v:group>
        </w:pict>
      </w:r>
    </w:p>
    <w:p w:rsidR="00D1511D" w:rsidRDefault="003F0CB3">
      <w:pPr>
        <w:pStyle w:val="Heading3"/>
        <w:spacing w:before="140"/>
        <w:ind w:left="1700"/>
      </w:pPr>
      <w:r>
        <w:rPr>
          <w:color w:val="005695"/>
        </w:rPr>
        <w:t>4.3.2b Biodiversity</w:t>
      </w:r>
    </w:p>
    <w:p w:rsidR="00D1511D" w:rsidRDefault="003F0CB3">
      <w:pPr>
        <w:pStyle w:val="BodyText"/>
        <w:spacing w:before="10"/>
        <w:rPr>
          <w:rFonts w:ascii="Myriad Pro"/>
        </w:rPr>
      </w:pPr>
      <w:r>
        <w:pict>
          <v:shape id="_x0000_s1250" type="#_x0000_t202" alt="" style="position:absolute;margin-left:85.05pt;margin-top:13.75pt;width:439.7pt;height:46.3pt;z-index:-251623424;mso-wrap-style:square;mso-wrap-edited:f;mso-width-percent:0;mso-height-percent:0;mso-wrap-distance-left:0;mso-wrap-distance-right:0;mso-position-horizontal-relative:page;mso-width-percent:0;mso-height-percent:0;v-text-anchor:top" fillcolor="#d2e3de" stroked="f">
            <v:textbox inset="0,0,0,0">
              <w:txbxContent>
                <w:p w:rsidR="00D1511D" w:rsidRDefault="003F0CB3">
                  <w:pPr>
                    <w:pStyle w:val="BodyText"/>
                    <w:spacing w:before="147" w:line="280" w:lineRule="auto"/>
                    <w:ind w:left="170"/>
                  </w:pPr>
                  <w:r>
                    <w:rPr>
                      <w:color w:val="231F20"/>
                    </w:rPr>
                    <w:t>Target: Populations of Australian humpback and snubfin dolphins, dugong, and loggerhead, green, hawksbill and flatback turtles are stable or increasing at Reef-wide and regionally relevant scales (target BT4)</w:t>
                  </w:r>
                </w:p>
              </w:txbxContent>
            </v:textbox>
            <w10:wrap type="topAndBottom" anchorx="page"/>
          </v:shape>
        </w:pict>
      </w:r>
    </w:p>
    <w:p w:rsidR="00D1511D" w:rsidRDefault="003F0CB3">
      <w:pPr>
        <w:pStyle w:val="BodyText"/>
        <w:spacing w:before="160" w:line="280" w:lineRule="auto"/>
        <w:ind w:left="1700" w:right="1585"/>
      </w:pPr>
      <w:r>
        <w:rPr>
          <w:color w:val="231F20"/>
        </w:rPr>
        <w:t>Dolphins, dugongs and marine turtles are prote</w:t>
      </w:r>
      <w:r>
        <w:rPr>
          <w:color w:val="231F20"/>
        </w:rPr>
        <w:t>cted under national and state legislation. The Marine Park Authority and the Queensland Department of Environment and Science work with Traditional Owners, stakeholders and other Australian and Queensland government agencies to ensure Marine Park populatio</w:t>
      </w:r>
      <w:r>
        <w:rPr>
          <w:color w:val="231F20"/>
        </w:rPr>
        <w:t>ns are able to recover from disturbances, and that their habitat is improved.</w:t>
      </w:r>
    </w:p>
    <w:p w:rsidR="00D1511D" w:rsidRDefault="003F0CB3">
      <w:pPr>
        <w:pStyle w:val="BodyText"/>
        <w:spacing w:before="166" w:line="280" w:lineRule="auto"/>
        <w:ind w:left="1700" w:right="1470"/>
        <w:jc w:val="both"/>
      </w:pPr>
      <w:r>
        <w:rPr>
          <w:color w:val="231F20"/>
        </w:rPr>
        <w:t xml:space="preserve">In 2017, the Australian Government released a 10-year recovery plan for marine turtles in Australia (available at </w:t>
      </w:r>
      <w:hyperlink r:id="rId81">
        <w:r>
          <w:rPr>
            <w:color w:val="1B5BAA"/>
            <w:w w:val="95"/>
            <w:u w:val="single" w:color="1B5BAA"/>
          </w:rPr>
          <w:t>http://www.environment.gov.au/system/files/resources/46eedcfc-204b-43de-99c5-4d6f6e72704f/files/recovery-p</w:t>
        </w:r>
      </w:hyperlink>
      <w:r>
        <w:rPr>
          <w:color w:val="1B5BAA"/>
          <w:w w:val="95"/>
        </w:rPr>
        <w:t xml:space="preserve"> </w:t>
      </w:r>
      <w:hyperlink r:id="rId82">
        <w:r>
          <w:rPr>
            <w:color w:val="1B5BAA"/>
            <w:u w:val="single" w:color="1B5BAA"/>
          </w:rPr>
          <w:t>lan-marine-turtles-2017.pdf</w:t>
        </w:r>
      </w:hyperlink>
      <w:r>
        <w:rPr>
          <w:color w:val="231F20"/>
        </w:rPr>
        <w:t xml:space="preserve">). The recovery plan </w:t>
      </w:r>
      <w:proofErr w:type="spellStart"/>
      <w:r>
        <w:rPr>
          <w:color w:val="231F20"/>
        </w:rPr>
        <w:t>summarises</w:t>
      </w:r>
      <w:proofErr w:type="spellEnd"/>
      <w:r>
        <w:rPr>
          <w:color w:val="231F20"/>
        </w:rPr>
        <w:t xml:space="preserve"> actions to be implemented and responsible</w:t>
      </w:r>
      <w:r>
        <w:rPr>
          <w:color w:val="231F20"/>
          <w:spacing w:val="-21"/>
        </w:rPr>
        <w:t xml:space="preserve"> </w:t>
      </w:r>
      <w:r>
        <w:rPr>
          <w:color w:val="231F20"/>
        </w:rPr>
        <w:t>agencies.</w:t>
      </w:r>
    </w:p>
    <w:p w:rsidR="00D1511D" w:rsidRDefault="00D1511D">
      <w:pPr>
        <w:pStyle w:val="BodyText"/>
        <w:spacing w:before="6"/>
        <w:rPr>
          <w:sz w:val="9"/>
        </w:rPr>
      </w:pPr>
    </w:p>
    <w:p w:rsidR="00D1511D" w:rsidRDefault="003F0CB3">
      <w:pPr>
        <w:spacing w:before="101"/>
        <w:ind w:right="1415"/>
        <w:jc w:val="right"/>
        <w:rPr>
          <w:rFonts w:ascii="Myriad Pro"/>
          <w:sz w:val="16"/>
        </w:rPr>
      </w:pPr>
      <w:r>
        <w:rPr>
          <w:rFonts w:ascii="Myriad Pro"/>
          <w:color w:val="231F20"/>
          <w:sz w:val="16"/>
        </w:rPr>
        <w:t>37</w:t>
      </w:r>
    </w:p>
    <w:p w:rsidR="00D1511D" w:rsidRDefault="00D1511D">
      <w:pPr>
        <w:jc w:val="right"/>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4"/>
        <w:rPr>
          <w:rFonts w:ascii="Myriad Pro"/>
        </w:rPr>
      </w:pPr>
    </w:p>
    <w:p w:rsidR="00D1511D" w:rsidRDefault="003F0CB3">
      <w:pPr>
        <w:pStyle w:val="BodyText"/>
        <w:spacing w:before="98" w:line="280" w:lineRule="auto"/>
        <w:ind w:left="1689" w:right="1463"/>
      </w:pPr>
      <w:r>
        <w:rPr>
          <w:color w:val="231F20"/>
        </w:rPr>
        <w:t>While data is limited for some species, such as dolphins, more comprehensive data for other species indicate signs of population recovery. For example, the dugong breeding rate has increased along the urban coast after a decline following effects of a seve</w:t>
      </w:r>
      <w:r>
        <w:rPr>
          <w:color w:val="231F20"/>
        </w:rPr>
        <w:t xml:space="preserve">re cyclone and flooding in 2011, and the southern green turtle population continues to recover. Green turtle </w:t>
      </w:r>
      <w:proofErr w:type="spellStart"/>
      <w:r>
        <w:rPr>
          <w:color w:val="231F20"/>
        </w:rPr>
        <w:t>strandings</w:t>
      </w:r>
      <w:proofErr w:type="spellEnd"/>
      <w:r>
        <w:rPr>
          <w:color w:val="231F20"/>
        </w:rPr>
        <w:t xml:space="preserve"> within the Region have also declined markedly since 2011 (following impacts on seagrasses from cyclone Yasi). While whale populations ar</w:t>
      </w:r>
      <w:r>
        <w:rPr>
          <w:color w:val="231F20"/>
        </w:rPr>
        <w:t>e not specifically included in this target, populations of whale species within the region are stable, while humpback whale populations have recovered strongly.</w:t>
      </w:r>
    </w:p>
    <w:p w:rsidR="00D1511D" w:rsidRDefault="003F0CB3">
      <w:pPr>
        <w:pStyle w:val="Heading4"/>
        <w:spacing w:before="163"/>
        <w:ind w:left="1689"/>
      </w:pPr>
      <w:r>
        <w:rPr>
          <w:color w:val="58595B"/>
        </w:rPr>
        <w:t>Progress Summary</w:t>
      </w:r>
    </w:p>
    <w:p w:rsidR="00D1511D" w:rsidRDefault="00D1511D">
      <w:pPr>
        <w:pStyle w:val="BodyText"/>
        <w:spacing w:before="10"/>
        <w:rPr>
          <w:rFonts w:ascii="Myriad Pro"/>
          <w:sz w:val="15"/>
        </w:rPr>
      </w:pPr>
    </w:p>
    <w:tbl>
      <w:tblPr>
        <w:tblW w:w="0" w:type="auto"/>
        <w:tblInd w:w="1694"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033"/>
        <w:gridCol w:w="1248"/>
        <w:gridCol w:w="1364"/>
        <w:gridCol w:w="1378"/>
        <w:gridCol w:w="1833"/>
        <w:gridCol w:w="2095"/>
      </w:tblGrid>
      <w:tr w:rsidR="00D1511D">
        <w:trPr>
          <w:trHeight w:val="479"/>
        </w:trPr>
        <w:tc>
          <w:tcPr>
            <w:tcW w:w="1033" w:type="dxa"/>
            <w:vMerge w:val="restart"/>
          </w:tcPr>
          <w:p w:rsidR="00D1511D" w:rsidRDefault="003F0CB3">
            <w:pPr>
              <w:pStyle w:val="TableParagraph"/>
              <w:spacing w:before="71"/>
              <w:ind w:left="113"/>
              <w:rPr>
                <w:b/>
                <w:sz w:val="20"/>
              </w:rPr>
            </w:pPr>
            <w:r>
              <w:rPr>
                <w:b/>
                <w:color w:val="231F20"/>
                <w:sz w:val="20"/>
              </w:rPr>
              <w:t>Species</w:t>
            </w:r>
          </w:p>
        </w:tc>
        <w:tc>
          <w:tcPr>
            <w:tcW w:w="2612" w:type="dxa"/>
            <w:gridSpan w:val="2"/>
          </w:tcPr>
          <w:p w:rsidR="00D1511D" w:rsidRDefault="003F0CB3">
            <w:pPr>
              <w:pStyle w:val="TableParagraph"/>
              <w:spacing w:before="71"/>
              <w:ind w:left="228"/>
              <w:rPr>
                <w:b/>
                <w:sz w:val="11"/>
              </w:rPr>
            </w:pPr>
            <w:r>
              <w:rPr>
                <w:b/>
                <w:color w:val="231F20"/>
                <w:sz w:val="20"/>
              </w:rPr>
              <w:t>Condition and trend</w:t>
            </w:r>
            <w:r>
              <w:rPr>
                <w:b/>
                <w:color w:val="231F20"/>
                <w:position w:val="7"/>
                <w:sz w:val="11"/>
              </w:rPr>
              <w:t>9</w:t>
            </w:r>
          </w:p>
        </w:tc>
        <w:tc>
          <w:tcPr>
            <w:tcW w:w="1378" w:type="dxa"/>
            <w:vMerge w:val="restart"/>
          </w:tcPr>
          <w:p w:rsidR="00D1511D" w:rsidRDefault="003F0CB3">
            <w:pPr>
              <w:pStyle w:val="TableParagraph"/>
              <w:spacing w:before="71"/>
              <w:ind w:left="113"/>
              <w:rPr>
                <w:b/>
                <w:sz w:val="20"/>
              </w:rPr>
            </w:pPr>
            <w:r>
              <w:rPr>
                <w:b/>
                <w:color w:val="231F20"/>
                <w:sz w:val="20"/>
              </w:rPr>
              <w:t>Progress</w:t>
            </w:r>
          </w:p>
        </w:tc>
        <w:tc>
          <w:tcPr>
            <w:tcW w:w="1833" w:type="dxa"/>
            <w:vMerge w:val="restart"/>
          </w:tcPr>
          <w:p w:rsidR="00D1511D" w:rsidRDefault="003F0CB3">
            <w:pPr>
              <w:pStyle w:val="TableParagraph"/>
              <w:spacing w:before="71" w:line="280" w:lineRule="auto"/>
              <w:ind w:left="114" w:right="56"/>
              <w:rPr>
                <w:b/>
                <w:sz w:val="20"/>
              </w:rPr>
            </w:pPr>
            <w:r>
              <w:rPr>
                <w:b/>
                <w:color w:val="231F20"/>
                <w:sz w:val="20"/>
              </w:rPr>
              <w:t>Reason for current state</w:t>
            </w:r>
          </w:p>
        </w:tc>
        <w:tc>
          <w:tcPr>
            <w:tcW w:w="2095" w:type="dxa"/>
            <w:vMerge w:val="restart"/>
          </w:tcPr>
          <w:p w:rsidR="00D1511D" w:rsidRDefault="003F0CB3">
            <w:pPr>
              <w:pStyle w:val="TableParagraph"/>
              <w:spacing w:before="93"/>
              <w:ind w:left="114"/>
              <w:rPr>
                <w:b/>
                <w:sz w:val="20"/>
              </w:rPr>
            </w:pPr>
            <w:r>
              <w:rPr>
                <w:b/>
                <w:color w:val="231F20"/>
                <w:sz w:val="20"/>
              </w:rPr>
              <w:t>Key progress enablers</w:t>
            </w:r>
          </w:p>
        </w:tc>
      </w:tr>
      <w:tr w:rsidR="00D1511D">
        <w:trPr>
          <w:trHeight w:val="375"/>
        </w:trPr>
        <w:tc>
          <w:tcPr>
            <w:tcW w:w="1033" w:type="dxa"/>
            <w:vMerge/>
            <w:tcBorders>
              <w:top w:val="nil"/>
            </w:tcBorders>
          </w:tcPr>
          <w:p w:rsidR="00D1511D" w:rsidRDefault="00D1511D">
            <w:pPr>
              <w:rPr>
                <w:sz w:val="2"/>
                <w:szCs w:val="2"/>
              </w:rPr>
            </w:pPr>
          </w:p>
        </w:tc>
        <w:tc>
          <w:tcPr>
            <w:tcW w:w="1248" w:type="dxa"/>
          </w:tcPr>
          <w:p w:rsidR="00D1511D" w:rsidRDefault="003F0CB3">
            <w:pPr>
              <w:pStyle w:val="TableParagraph"/>
              <w:spacing w:before="71"/>
              <w:ind w:left="114"/>
              <w:rPr>
                <w:b/>
                <w:sz w:val="20"/>
              </w:rPr>
            </w:pPr>
            <w:r>
              <w:rPr>
                <w:b/>
                <w:color w:val="231F20"/>
                <w:sz w:val="20"/>
              </w:rPr>
              <w:t>2014</w:t>
            </w:r>
          </w:p>
        </w:tc>
        <w:tc>
          <w:tcPr>
            <w:tcW w:w="1364" w:type="dxa"/>
          </w:tcPr>
          <w:p w:rsidR="00D1511D" w:rsidRDefault="003F0CB3">
            <w:pPr>
              <w:pStyle w:val="TableParagraph"/>
              <w:spacing w:before="71"/>
              <w:ind w:left="113"/>
              <w:rPr>
                <w:b/>
                <w:sz w:val="20"/>
              </w:rPr>
            </w:pPr>
            <w:r>
              <w:rPr>
                <w:b/>
                <w:color w:val="231F20"/>
                <w:sz w:val="20"/>
              </w:rPr>
              <w:t>2019</w:t>
            </w:r>
          </w:p>
        </w:tc>
        <w:tc>
          <w:tcPr>
            <w:tcW w:w="1378" w:type="dxa"/>
            <w:vMerge/>
            <w:tcBorders>
              <w:top w:val="nil"/>
            </w:tcBorders>
          </w:tcPr>
          <w:p w:rsidR="00D1511D" w:rsidRDefault="00D1511D">
            <w:pPr>
              <w:rPr>
                <w:sz w:val="2"/>
                <w:szCs w:val="2"/>
              </w:rPr>
            </w:pPr>
          </w:p>
        </w:tc>
        <w:tc>
          <w:tcPr>
            <w:tcW w:w="1833" w:type="dxa"/>
            <w:vMerge/>
            <w:tcBorders>
              <w:top w:val="nil"/>
            </w:tcBorders>
          </w:tcPr>
          <w:p w:rsidR="00D1511D" w:rsidRDefault="00D1511D">
            <w:pPr>
              <w:rPr>
                <w:sz w:val="2"/>
                <w:szCs w:val="2"/>
              </w:rPr>
            </w:pPr>
          </w:p>
        </w:tc>
        <w:tc>
          <w:tcPr>
            <w:tcW w:w="2095" w:type="dxa"/>
            <w:vMerge/>
            <w:tcBorders>
              <w:top w:val="nil"/>
            </w:tcBorders>
          </w:tcPr>
          <w:p w:rsidR="00D1511D" w:rsidRDefault="00D1511D">
            <w:pPr>
              <w:rPr>
                <w:sz w:val="2"/>
                <w:szCs w:val="2"/>
              </w:rPr>
            </w:pPr>
          </w:p>
        </w:tc>
      </w:tr>
      <w:tr w:rsidR="00D1511D">
        <w:trPr>
          <w:trHeight w:val="6075"/>
        </w:trPr>
        <w:tc>
          <w:tcPr>
            <w:tcW w:w="1033" w:type="dxa"/>
          </w:tcPr>
          <w:p w:rsidR="00D1511D" w:rsidRDefault="003F0CB3">
            <w:pPr>
              <w:pStyle w:val="TableParagraph"/>
              <w:spacing w:before="71"/>
              <w:ind w:left="113"/>
              <w:rPr>
                <w:sz w:val="20"/>
              </w:rPr>
            </w:pPr>
            <w:r>
              <w:rPr>
                <w:color w:val="231F20"/>
                <w:sz w:val="20"/>
              </w:rPr>
              <w:t>Dolphin</w:t>
            </w:r>
          </w:p>
        </w:tc>
        <w:tc>
          <w:tcPr>
            <w:tcW w:w="1248" w:type="dxa"/>
            <w:shd w:val="clear" w:color="auto" w:fill="A8D59D"/>
          </w:tcPr>
          <w:p w:rsidR="00D1511D" w:rsidRDefault="003F0CB3">
            <w:pPr>
              <w:pStyle w:val="TableParagraph"/>
              <w:spacing w:before="71"/>
              <w:ind w:left="114"/>
              <w:rPr>
                <w:sz w:val="20"/>
              </w:rPr>
            </w:pPr>
            <w:r>
              <w:rPr>
                <w:color w:val="231F20"/>
                <w:sz w:val="20"/>
              </w:rPr>
              <w:t>Deteriorated</w:t>
            </w:r>
          </w:p>
        </w:tc>
        <w:tc>
          <w:tcPr>
            <w:tcW w:w="1364" w:type="dxa"/>
            <w:shd w:val="clear" w:color="auto" w:fill="A8D59D"/>
          </w:tcPr>
          <w:p w:rsidR="00D1511D" w:rsidRDefault="003F0CB3">
            <w:pPr>
              <w:pStyle w:val="TableParagraph"/>
              <w:spacing w:before="71"/>
              <w:ind w:left="113"/>
              <w:rPr>
                <w:sz w:val="20"/>
              </w:rPr>
            </w:pPr>
            <w:r>
              <w:rPr>
                <w:color w:val="231F20"/>
                <w:sz w:val="20"/>
              </w:rPr>
              <w:t>Deteriorated</w:t>
            </w:r>
          </w:p>
        </w:tc>
        <w:tc>
          <w:tcPr>
            <w:tcW w:w="1378" w:type="dxa"/>
          </w:tcPr>
          <w:p w:rsidR="00D1511D" w:rsidRDefault="003F0CB3">
            <w:pPr>
              <w:pStyle w:val="TableParagraph"/>
              <w:spacing w:before="71" w:line="280" w:lineRule="auto"/>
              <w:ind w:left="113"/>
              <w:rPr>
                <w:sz w:val="20"/>
              </w:rPr>
            </w:pPr>
            <w:r>
              <w:rPr>
                <w:color w:val="231F20"/>
                <w:sz w:val="20"/>
              </w:rPr>
              <w:t>Improvement required</w:t>
            </w:r>
          </w:p>
        </w:tc>
        <w:tc>
          <w:tcPr>
            <w:tcW w:w="1833" w:type="dxa"/>
          </w:tcPr>
          <w:p w:rsidR="00D1511D" w:rsidRDefault="003F0CB3">
            <w:pPr>
              <w:pStyle w:val="TableParagraph"/>
              <w:spacing w:before="71" w:line="280" w:lineRule="auto"/>
              <w:ind w:left="114" w:right="56"/>
              <w:rPr>
                <w:sz w:val="20"/>
              </w:rPr>
            </w:pPr>
            <w:r>
              <w:rPr>
                <w:color w:val="231F20"/>
                <w:sz w:val="20"/>
              </w:rPr>
              <w:t>Data on the Region’s dolphins are very limited. Offshore dolphin species are considered more stable as they are less likely to be exposed to human-related threats than inshore dolphin species.</w:t>
            </w:r>
          </w:p>
          <w:p w:rsidR="00D1511D" w:rsidRDefault="003F0CB3">
            <w:pPr>
              <w:pStyle w:val="TableParagraph"/>
              <w:spacing w:before="0" w:line="280" w:lineRule="auto"/>
              <w:ind w:left="114" w:right="243"/>
              <w:rPr>
                <w:sz w:val="20"/>
              </w:rPr>
            </w:pPr>
            <w:r>
              <w:rPr>
                <w:color w:val="231F20"/>
                <w:sz w:val="20"/>
              </w:rPr>
              <w:t xml:space="preserve">Concerns </w:t>
            </w:r>
            <w:r>
              <w:rPr>
                <w:color w:val="231F20"/>
                <w:spacing w:val="-3"/>
                <w:sz w:val="20"/>
              </w:rPr>
              <w:t xml:space="preserve">continue </w:t>
            </w:r>
            <w:r>
              <w:rPr>
                <w:color w:val="231F20"/>
                <w:sz w:val="20"/>
              </w:rPr>
              <w:t>for the condition of Australian humpback and snubfin dolphins (both</w:t>
            </w:r>
            <w:r>
              <w:rPr>
                <w:color w:val="231F20"/>
                <w:spacing w:val="-1"/>
                <w:sz w:val="20"/>
              </w:rPr>
              <w:t xml:space="preserve"> </w:t>
            </w:r>
            <w:r>
              <w:rPr>
                <w:color w:val="231F20"/>
                <w:sz w:val="20"/>
              </w:rPr>
              <w:t>inshore</w:t>
            </w:r>
          </w:p>
          <w:p w:rsidR="00D1511D" w:rsidRDefault="003F0CB3">
            <w:pPr>
              <w:pStyle w:val="TableParagraph"/>
              <w:spacing w:before="0" w:line="280" w:lineRule="auto"/>
              <w:ind w:left="114" w:right="164"/>
              <w:rPr>
                <w:sz w:val="20"/>
              </w:rPr>
            </w:pPr>
            <w:r>
              <w:rPr>
                <w:color w:val="231F20"/>
                <w:sz w:val="20"/>
              </w:rPr>
              <w:t>species), which may be in decline due</w:t>
            </w:r>
          </w:p>
          <w:p w:rsidR="00D1511D" w:rsidRDefault="003F0CB3">
            <w:pPr>
              <w:pStyle w:val="TableParagraph"/>
              <w:spacing w:before="0" w:line="280" w:lineRule="auto"/>
              <w:ind w:left="114" w:right="354"/>
              <w:rPr>
                <w:sz w:val="20"/>
              </w:rPr>
            </w:pPr>
            <w:r>
              <w:rPr>
                <w:color w:val="231F20"/>
                <w:sz w:val="20"/>
              </w:rPr>
              <w:t>to human-related mortality.</w:t>
            </w:r>
          </w:p>
        </w:tc>
        <w:tc>
          <w:tcPr>
            <w:tcW w:w="2095" w:type="dxa"/>
          </w:tcPr>
          <w:p w:rsidR="00D1511D" w:rsidRDefault="003F0CB3">
            <w:pPr>
              <w:pStyle w:val="TableParagraph"/>
              <w:spacing w:before="71" w:line="280" w:lineRule="auto"/>
              <w:ind w:left="114" w:right="268"/>
              <w:rPr>
                <w:sz w:val="20"/>
              </w:rPr>
            </w:pPr>
            <w:r>
              <w:rPr>
                <w:color w:val="231F20"/>
                <w:sz w:val="20"/>
              </w:rPr>
              <w:t>Inshore – 3 net free areas established</w:t>
            </w:r>
          </w:p>
          <w:p w:rsidR="00D1511D" w:rsidRDefault="003F0CB3">
            <w:pPr>
              <w:pStyle w:val="TableParagraph"/>
              <w:spacing w:before="0" w:line="280" w:lineRule="auto"/>
              <w:ind w:left="114" w:right="640"/>
              <w:rPr>
                <w:sz w:val="20"/>
              </w:rPr>
            </w:pPr>
            <w:r>
              <w:rPr>
                <w:color w:val="231F20"/>
                <w:sz w:val="20"/>
              </w:rPr>
              <w:t>in 2015 – reduce interactions</w:t>
            </w:r>
          </w:p>
          <w:p w:rsidR="00D1511D" w:rsidRDefault="003F0CB3">
            <w:pPr>
              <w:pStyle w:val="TableParagraph"/>
              <w:spacing w:before="0" w:line="280" w:lineRule="auto"/>
              <w:ind w:left="114" w:right="268"/>
              <w:rPr>
                <w:sz w:val="20"/>
              </w:rPr>
            </w:pPr>
            <w:r>
              <w:rPr>
                <w:color w:val="231F20"/>
                <w:sz w:val="20"/>
              </w:rPr>
              <w:t>with species of conservation concern.</w:t>
            </w:r>
          </w:p>
          <w:p w:rsidR="00D1511D" w:rsidRDefault="00D1511D">
            <w:pPr>
              <w:pStyle w:val="TableParagraph"/>
              <w:spacing w:before="11"/>
              <w:rPr>
                <w:rFonts w:ascii="Myriad Pro"/>
              </w:rPr>
            </w:pPr>
          </w:p>
          <w:p w:rsidR="00D1511D" w:rsidRDefault="003F0CB3">
            <w:pPr>
              <w:pStyle w:val="TableParagraph"/>
              <w:spacing w:before="0" w:line="280" w:lineRule="auto"/>
              <w:ind w:left="114" w:right="738"/>
              <w:rPr>
                <w:sz w:val="20"/>
              </w:rPr>
            </w:pPr>
            <w:r>
              <w:rPr>
                <w:color w:val="231F20"/>
                <w:sz w:val="20"/>
              </w:rPr>
              <w:t>Protec</w:t>
            </w:r>
            <w:r>
              <w:rPr>
                <w:color w:val="231F20"/>
                <w:sz w:val="20"/>
              </w:rPr>
              <w:t>tion of coastal habitats.</w:t>
            </w:r>
          </w:p>
          <w:p w:rsidR="00D1511D" w:rsidRDefault="00D1511D">
            <w:pPr>
              <w:pStyle w:val="TableParagraph"/>
              <w:spacing w:before="2"/>
              <w:rPr>
                <w:rFonts w:ascii="Myriad Pro"/>
                <w:sz w:val="23"/>
              </w:rPr>
            </w:pPr>
          </w:p>
          <w:p w:rsidR="00D1511D" w:rsidRDefault="003F0CB3">
            <w:pPr>
              <w:pStyle w:val="TableParagraph"/>
              <w:spacing w:before="0" w:line="280" w:lineRule="auto"/>
              <w:ind w:left="114" w:right="273"/>
              <w:jc w:val="both"/>
              <w:rPr>
                <w:sz w:val="20"/>
              </w:rPr>
            </w:pPr>
            <w:r>
              <w:rPr>
                <w:color w:val="231F20"/>
                <w:sz w:val="20"/>
              </w:rPr>
              <w:t xml:space="preserve">‘Go slow’ areas in the marine park to </w:t>
            </w:r>
            <w:r>
              <w:rPr>
                <w:color w:val="231F20"/>
                <w:spacing w:val="-4"/>
                <w:sz w:val="20"/>
              </w:rPr>
              <w:t xml:space="preserve">reduce </w:t>
            </w:r>
            <w:r>
              <w:rPr>
                <w:color w:val="231F20"/>
                <w:sz w:val="20"/>
              </w:rPr>
              <w:t>boat strike.</w:t>
            </w:r>
          </w:p>
          <w:p w:rsidR="00D1511D" w:rsidRDefault="00D1511D">
            <w:pPr>
              <w:pStyle w:val="TableParagraph"/>
              <w:spacing w:before="2"/>
              <w:rPr>
                <w:rFonts w:ascii="Myriad Pro"/>
                <w:sz w:val="23"/>
              </w:rPr>
            </w:pPr>
          </w:p>
          <w:p w:rsidR="00D1511D" w:rsidRDefault="003F0CB3">
            <w:pPr>
              <w:pStyle w:val="TableParagraph"/>
              <w:spacing w:before="0" w:line="280" w:lineRule="auto"/>
              <w:ind w:left="114" w:right="285"/>
              <w:rPr>
                <w:sz w:val="20"/>
              </w:rPr>
            </w:pPr>
            <w:r>
              <w:rPr>
                <w:color w:val="231F20"/>
                <w:sz w:val="20"/>
              </w:rPr>
              <w:t xml:space="preserve">Inshore – </w:t>
            </w:r>
            <w:r>
              <w:rPr>
                <w:color w:val="231F20"/>
                <w:spacing w:val="-3"/>
                <w:sz w:val="20"/>
              </w:rPr>
              <w:t xml:space="preserve">Port </w:t>
            </w:r>
            <w:r>
              <w:rPr>
                <w:color w:val="231F20"/>
                <w:spacing w:val="-4"/>
                <w:sz w:val="20"/>
              </w:rPr>
              <w:t xml:space="preserve">Master </w:t>
            </w:r>
            <w:r>
              <w:rPr>
                <w:color w:val="231F20"/>
                <w:sz w:val="20"/>
              </w:rPr>
              <w:t>Planning, Sustainable Ports Act, and permit assessments to reduce impacts on these populations where they exist.</w:t>
            </w:r>
          </w:p>
        </w:tc>
      </w:tr>
    </w:tbl>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3F0CB3">
      <w:pPr>
        <w:pStyle w:val="BodyText"/>
        <w:spacing w:before="11"/>
        <w:rPr>
          <w:rFonts w:ascii="Myriad Pro"/>
          <w:sz w:val="12"/>
        </w:rPr>
      </w:pPr>
      <w:r>
        <w:pict>
          <v:shape id="_x0000_s1249" alt="" style="position:absolute;margin-left:84.45pt;margin-top:9.95pt;width:124.75pt;height:.1pt;z-index:-251622400;mso-wrap-edited:f;mso-width-percent:0;mso-height-percent:0;mso-wrap-distance-left:0;mso-wrap-distance-right:0;mso-position-horizontal-relative:page;mso-width-percent:0;mso-height-percent:0" coordsize="2495,1270" path="m,l2495,e" filled="f" strokecolor="#231f20" strokeweight=".5pt">
            <v:path arrowok="t" o:connecttype="custom" o:connectlocs="0,0;1584325,0" o:connectangles="0,0"/>
            <w10:wrap type="topAndBottom" anchorx="page"/>
          </v:shape>
        </w:pict>
      </w:r>
    </w:p>
    <w:p w:rsidR="00D1511D" w:rsidRDefault="003F0CB3">
      <w:pPr>
        <w:spacing w:before="62" w:after="41"/>
        <w:ind w:left="1689"/>
        <w:rPr>
          <w:rFonts w:ascii="Myriad Pro"/>
          <w:sz w:val="16"/>
        </w:rPr>
      </w:pPr>
      <w:r>
        <w:rPr>
          <w:rFonts w:ascii="Myriad Pro"/>
          <w:color w:val="231F20"/>
          <w:sz w:val="16"/>
        </w:rPr>
        <w:t>9 2019 Outlook grading key:</w:t>
      </w:r>
    </w:p>
    <w:tbl>
      <w:tblPr>
        <w:tblW w:w="0" w:type="auto"/>
        <w:tblInd w:w="1694"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2197"/>
        <w:gridCol w:w="2197"/>
        <w:gridCol w:w="2197"/>
        <w:gridCol w:w="2192"/>
      </w:tblGrid>
      <w:tr w:rsidR="00D1511D">
        <w:trPr>
          <w:trHeight w:val="299"/>
        </w:trPr>
        <w:tc>
          <w:tcPr>
            <w:tcW w:w="2197" w:type="dxa"/>
            <w:shd w:val="clear" w:color="auto" w:fill="008752"/>
          </w:tcPr>
          <w:p w:rsidR="00D1511D" w:rsidRDefault="003F0CB3">
            <w:pPr>
              <w:pStyle w:val="TableParagraph"/>
              <w:spacing w:before="37"/>
              <w:ind w:left="675"/>
              <w:rPr>
                <w:sz w:val="20"/>
              </w:rPr>
            </w:pPr>
            <w:r>
              <w:rPr>
                <w:color w:val="FFFFFF"/>
                <w:sz w:val="20"/>
              </w:rPr>
              <w:t>Very Good</w:t>
            </w:r>
          </w:p>
        </w:tc>
        <w:tc>
          <w:tcPr>
            <w:tcW w:w="2197" w:type="dxa"/>
            <w:shd w:val="clear" w:color="auto" w:fill="A8D59D"/>
          </w:tcPr>
          <w:p w:rsidR="00D1511D" w:rsidRDefault="003F0CB3">
            <w:pPr>
              <w:pStyle w:val="TableParagraph"/>
              <w:spacing w:before="37"/>
              <w:ind w:left="708" w:right="704"/>
              <w:jc w:val="center"/>
              <w:rPr>
                <w:sz w:val="20"/>
              </w:rPr>
            </w:pPr>
            <w:r>
              <w:rPr>
                <w:color w:val="231F20"/>
                <w:sz w:val="20"/>
              </w:rPr>
              <w:t>Good</w:t>
            </w:r>
          </w:p>
        </w:tc>
        <w:tc>
          <w:tcPr>
            <w:tcW w:w="2197" w:type="dxa"/>
            <w:shd w:val="clear" w:color="auto" w:fill="FBDBCD"/>
          </w:tcPr>
          <w:p w:rsidR="00D1511D" w:rsidRDefault="003F0CB3">
            <w:pPr>
              <w:pStyle w:val="TableParagraph"/>
              <w:spacing w:before="37"/>
              <w:ind w:left="708" w:right="704"/>
              <w:jc w:val="center"/>
              <w:rPr>
                <w:sz w:val="20"/>
              </w:rPr>
            </w:pPr>
            <w:r>
              <w:rPr>
                <w:color w:val="231F20"/>
                <w:sz w:val="20"/>
              </w:rPr>
              <w:t>Poor</w:t>
            </w:r>
          </w:p>
        </w:tc>
        <w:tc>
          <w:tcPr>
            <w:tcW w:w="2192" w:type="dxa"/>
            <w:shd w:val="clear" w:color="auto" w:fill="E31B23"/>
          </w:tcPr>
          <w:p w:rsidR="00D1511D" w:rsidRDefault="003F0CB3">
            <w:pPr>
              <w:pStyle w:val="TableParagraph"/>
              <w:spacing w:before="37"/>
              <w:ind w:left="705" w:right="702"/>
              <w:jc w:val="center"/>
              <w:rPr>
                <w:sz w:val="20"/>
              </w:rPr>
            </w:pPr>
            <w:proofErr w:type="spellStart"/>
            <w:r>
              <w:rPr>
                <w:color w:val="FFFFFF"/>
                <w:sz w:val="20"/>
              </w:rPr>
              <w:t>VeryPoor</w:t>
            </w:r>
            <w:proofErr w:type="spellEnd"/>
          </w:p>
        </w:tc>
      </w:tr>
    </w:tbl>
    <w:p w:rsidR="00D1511D" w:rsidRDefault="003F0CB3">
      <w:pPr>
        <w:spacing w:before="152"/>
        <w:ind w:left="1689"/>
        <w:rPr>
          <w:rFonts w:ascii="Myriad Pro"/>
          <w:sz w:val="16"/>
        </w:rPr>
      </w:pPr>
      <w:r>
        <w:rPr>
          <w:rFonts w:ascii="Myriad Pro"/>
          <w:color w:val="231F20"/>
          <w:sz w:val="16"/>
        </w:rPr>
        <w:t xml:space="preserve">Further detail is available in the 2019 Outlook Report available at: </w:t>
      </w:r>
      <w:hyperlink r:id="rId83">
        <w:r>
          <w:rPr>
            <w:rFonts w:ascii="Myriad Pro"/>
            <w:color w:val="1B5BAA"/>
            <w:sz w:val="16"/>
            <w:u w:val="single" w:color="1B5BAA"/>
          </w:rPr>
          <w:t>www.gbrmpa.gov.au</w:t>
        </w:r>
      </w:hyperlink>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3F0CB3">
      <w:pPr>
        <w:spacing w:before="111"/>
        <w:ind w:left="1417"/>
        <w:rPr>
          <w:rFonts w:ascii="Myriad Pro"/>
          <w:sz w:val="16"/>
        </w:rPr>
      </w:pPr>
      <w:r>
        <w:rPr>
          <w:rFonts w:ascii="Myriad Pro"/>
          <w:color w:val="231F20"/>
          <w:sz w:val="16"/>
        </w:rPr>
        <w:t xml:space="preserve">38 / </w:t>
      </w:r>
      <w:r>
        <w:rPr>
          <w:rFonts w:ascii="Myriad Pro"/>
          <w:color w:val="005695"/>
          <w:sz w:val="16"/>
        </w:rPr>
        <w:t xml:space="preserve">State Party Report on the state of conservation of the </w:t>
      </w:r>
      <w:r>
        <w:rPr>
          <w:rFonts w:ascii="Myriad Pro"/>
          <w:b/>
          <w:color w:val="005695"/>
          <w:sz w:val="16"/>
        </w:rPr>
        <w:t xml:space="preserve">Great Barrier Reef World Heritage Area (Australia) </w:t>
      </w:r>
      <w:r>
        <w:rPr>
          <w:rFonts w:ascii="Myriad Pro"/>
          <w:color w:val="005695"/>
          <w:sz w:val="16"/>
        </w:rPr>
        <w:t>2</w:t>
      </w:r>
      <w:r>
        <w:rPr>
          <w:rFonts w:ascii="Myriad Pro"/>
          <w:color w:val="005695"/>
          <w:sz w:val="16"/>
        </w:rPr>
        <w:t>019</w:t>
      </w:r>
    </w:p>
    <w:p w:rsidR="00D1511D" w:rsidRDefault="00D1511D">
      <w:pPr>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2"/>
        <w:rPr>
          <w:rFonts w:ascii="Myriad Pro"/>
          <w:sz w:val="12"/>
        </w:rPr>
      </w:pPr>
    </w:p>
    <w:tbl>
      <w:tblPr>
        <w:tblW w:w="0" w:type="auto"/>
        <w:tblInd w:w="1705"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034"/>
        <w:gridCol w:w="1247"/>
        <w:gridCol w:w="1363"/>
        <w:gridCol w:w="1379"/>
        <w:gridCol w:w="1833"/>
        <w:gridCol w:w="2095"/>
      </w:tblGrid>
      <w:tr w:rsidR="00D1511D">
        <w:trPr>
          <w:trHeight w:val="605"/>
        </w:trPr>
        <w:tc>
          <w:tcPr>
            <w:tcW w:w="1034" w:type="dxa"/>
            <w:vMerge w:val="restart"/>
          </w:tcPr>
          <w:p w:rsidR="00D1511D" w:rsidRDefault="003F0CB3">
            <w:pPr>
              <w:pStyle w:val="TableParagraph"/>
              <w:spacing w:before="71"/>
              <w:ind w:left="113"/>
              <w:rPr>
                <w:b/>
                <w:sz w:val="20"/>
              </w:rPr>
            </w:pPr>
            <w:r>
              <w:rPr>
                <w:b/>
                <w:color w:val="231F20"/>
                <w:sz w:val="20"/>
              </w:rPr>
              <w:t>Species</w:t>
            </w:r>
          </w:p>
        </w:tc>
        <w:tc>
          <w:tcPr>
            <w:tcW w:w="2610" w:type="dxa"/>
            <w:gridSpan w:val="2"/>
          </w:tcPr>
          <w:p w:rsidR="00D1511D" w:rsidRDefault="003F0CB3">
            <w:pPr>
              <w:pStyle w:val="TableParagraph"/>
              <w:spacing w:before="71"/>
              <w:ind w:left="227"/>
              <w:rPr>
                <w:b/>
                <w:sz w:val="11"/>
              </w:rPr>
            </w:pPr>
            <w:r>
              <w:rPr>
                <w:b/>
                <w:color w:val="231F20"/>
                <w:sz w:val="20"/>
              </w:rPr>
              <w:t>Condition and trend</w:t>
            </w:r>
            <w:r>
              <w:rPr>
                <w:b/>
                <w:color w:val="231F20"/>
                <w:position w:val="7"/>
                <w:sz w:val="11"/>
              </w:rPr>
              <w:t>10</w:t>
            </w:r>
          </w:p>
        </w:tc>
        <w:tc>
          <w:tcPr>
            <w:tcW w:w="1379" w:type="dxa"/>
            <w:vMerge w:val="restart"/>
          </w:tcPr>
          <w:p w:rsidR="00D1511D" w:rsidRDefault="003F0CB3">
            <w:pPr>
              <w:pStyle w:val="TableParagraph"/>
              <w:spacing w:before="71"/>
              <w:ind w:left="114"/>
              <w:rPr>
                <w:b/>
                <w:sz w:val="20"/>
              </w:rPr>
            </w:pPr>
            <w:r>
              <w:rPr>
                <w:b/>
                <w:color w:val="231F20"/>
                <w:sz w:val="20"/>
              </w:rPr>
              <w:t>Progress</w:t>
            </w:r>
          </w:p>
        </w:tc>
        <w:tc>
          <w:tcPr>
            <w:tcW w:w="1833" w:type="dxa"/>
            <w:vMerge w:val="restart"/>
          </w:tcPr>
          <w:p w:rsidR="00D1511D" w:rsidRDefault="003F0CB3">
            <w:pPr>
              <w:pStyle w:val="TableParagraph"/>
              <w:spacing w:before="71" w:line="280" w:lineRule="auto"/>
              <w:ind w:left="114" w:right="56"/>
              <w:rPr>
                <w:b/>
                <w:sz w:val="20"/>
              </w:rPr>
            </w:pPr>
            <w:r>
              <w:rPr>
                <w:b/>
                <w:color w:val="231F20"/>
                <w:sz w:val="20"/>
              </w:rPr>
              <w:t>Reason for current state</w:t>
            </w:r>
          </w:p>
        </w:tc>
        <w:tc>
          <w:tcPr>
            <w:tcW w:w="2095" w:type="dxa"/>
            <w:vMerge w:val="restart"/>
          </w:tcPr>
          <w:p w:rsidR="00D1511D" w:rsidRDefault="003F0CB3">
            <w:pPr>
              <w:pStyle w:val="TableParagraph"/>
              <w:spacing w:before="71"/>
              <w:ind w:left="114"/>
              <w:rPr>
                <w:b/>
                <w:sz w:val="20"/>
              </w:rPr>
            </w:pPr>
            <w:r>
              <w:rPr>
                <w:b/>
                <w:color w:val="231F20"/>
                <w:sz w:val="20"/>
              </w:rPr>
              <w:t>Key progress enablers</w:t>
            </w:r>
          </w:p>
        </w:tc>
      </w:tr>
      <w:tr w:rsidR="00D1511D">
        <w:trPr>
          <w:trHeight w:val="402"/>
        </w:trPr>
        <w:tc>
          <w:tcPr>
            <w:tcW w:w="1034" w:type="dxa"/>
            <w:vMerge/>
            <w:tcBorders>
              <w:top w:val="nil"/>
            </w:tcBorders>
          </w:tcPr>
          <w:p w:rsidR="00D1511D" w:rsidRDefault="00D1511D">
            <w:pPr>
              <w:rPr>
                <w:sz w:val="2"/>
                <w:szCs w:val="2"/>
              </w:rPr>
            </w:pPr>
          </w:p>
        </w:tc>
        <w:tc>
          <w:tcPr>
            <w:tcW w:w="1247" w:type="dxa"/>
          </w:tcPr>
          <w:p w:rsidR="00D1511D" w:rsidRDefault="003F0CB3">
            <w:pPr>
              <w:pStyle w:val="TableParagraph"/>
              <w:spacing w:before="71"/>
              <w:ind w:left="113"/>
              <w:rPr>
                <w:b/>
                <w:sz w:val="20"/>
              </w:rPr>
            </w:pPr>
            <w:r>
              <w:rPr>
                <w:b/>
                <w:color w:val="231F20"/>
                <w:sz w:val="20"/>
              </w:rPr>
              <w:t>2014</w:t>
            </w:r>
          </w:p>
        </w:tc>
        <w:tc>
          <w:tcPr>
            <w:tcW w:w="1363" w:type="dxa"/>
          </w:tcPr>
          <w:p w:rsidR="00D1511D" w:rsidRDefault="003F0CB3">
            <w:pPr>
              <w:pStyle w:val="TableParagraph"/>
              <w:spacing w:before="71"/>
              <w:ind w:left="114"/>
              <w:rPr>
                <w:b/>
                <w:sz w:val="20"/>
              </w:rPr>
            </w:pPr>
            <w:r>
              <w:rPr>
                <w:b/>
                <w:color w:val="231F20"/>
                <w:sz w:val="20"/>
              </w:rPr>
              <w:t>2019</w:t>
            </w:r>
          </w:p>
        </w:tc>
        <w:tc>
          <w:tcPr>
            <w:tcW w:w="1379" w:type="dxa"/>
            <w:vMerge/>
            <w:tcBorders>
              <w:top w:val="nil"/>
            </w:tcBorders>
          </w:tcPr>
          <w:p w:rsidR="00D1511D" w:rsidRDefault="00D1511D">
            <w:pPr>
              <w:rPr>
                <w:sz w:val="2"/>
                <w:szCs w:val="2"/>
              </w:rPr>
            </w:pPr>
          </w:p>
        </w:tc>
        <w:tc>
          <w:tcPr>
            <w:tcW w:w="1833" w:type="dxa"/>
            <w:vMerge/>
            <w:tcBorders>
              <w:top w:val="nil"/>
            </w:tcBorders>
          </w:tcPr>
          <w:p w:rsidR="00D1511D" w:rsidRDefault="00D1511D">
            <w:pPr>
              <w:rPr>
                <w:sz w:val="2"/>
                <w:szCs w:val="2"/>
              </w:rPr>
            </w:pPr>
          </w:p>
        </w:tc>
        <w:tc>
          <w:tcPr>
            <w:tcW w:w="2095" w:type="dxa"/>
            <w:vMerge/>
            <w:tcBorders>
              <w:top w:val="nil"/>
            </w:tcBorders>
          </w:tcPr>
          <w:p w:rsidR="00D1511D" w:rsidRDefault="00D1511D">
            <w:pPr>
              <w:rPr>
                <w:sz w:val="2"/>
                <w:szCs w:val="2"/>
              </w:rPr>
            </w:pPr>
          </w:p>
        </w:tc>
      </w:tr>
      <w:tr w:rsidR="00D1511D">
        <w:trPr>
          <w:trHeight w:val="9665"/>
        </w:trPr>
        <w:tc>
          <w:tcPr>
            <w:tcW w:w="1034" w:type="dxa"/>
          </w:tcPr>
          <w:p w:rsidR="00D1511D" w:rsidRDefault="003F0CB3">
            <w:pPr>
              <w:pStyle w:val="TableParagraph"/>
              <w:spacing w:before="71"/>
              <w:ind w:left="113"/>
              <w:rPr>
                <w:sz w:val="20"/>
              </w:rPr>
            </w:pPr>
            <w:r>
              <w:rPr>
                <w:color w:val="231F20"/>
                <w:sz w:val="20"/>
              </w:rPr>
              <w:t>Dugong</w:t>
            </w:r>
          </w:p>
        </w:tc>
        <w:tc>
          <w:tcPr>
            <w:tcW w:w="1247" w:type="dxa"/>
            <w:shd w:val="clear" w:color="auto" w:fill="FBDBCD"/>
          </w:tcPr>
          <w:p w:rsidR="00D1511D" w:rsidRDefault="003F0CB3">
            <w:pPr>
              <w:pStyle w:val="TableParagraph"/>
              <w:spacing w:before="71"/>
              <w:ind w:left="113"/>
              <w:rPr>
                <w:sz w:val="20"/>
              </w:rPr>
            </w:pPr>
            <w:r>
              <w:rPr>
                <w:color w:val="231F20"/>
                <w:sz w:val="20"/>
              </w:rPr>
              <w:t>Deteriorated</w:t>
            </w:r>
          </w:p>
        </w:tc>
        <w:tc>
          <w:tcPr>
            <w:tcW w:w="1363" w:type="dxa"/>
            <w:shd w:val="clear" w:color="auto" w:fill="FBDBCD"/>
          </w:tcPr>
          <w:p w:rsidR="00D1511D" w:rsidRDefault="003F0CB3">
            <w:pPr>
              <w:pStyle w:val="TableParagraph"/>
              <w:spacing w:before="71"/>
              <w:ind w:left="114"/>
              <w:rPr>
                <w:sz w:val="20"/>
              </w:rPr>
            </w:pPr>
            <w:r>
              <w:rPr>
                <w:color w:val="231F20"/>
                <w:sz w:val="20"/>
              </w:rPr>
              <w:t>Improved</w:t>
            </w:r>
          </w:p>
        </w:tc>
        <w:tc>
          <w:tcPr>
            <w:tcW w:w="1379" w:type="dxa"/>
          </w:tcPr>
          <w:p w:rsidR="00D1511D" w:rsidRDefault="003F0CB3">
            <w:pPr>
              <w:pStyle w:val="TableParagraph"/>
              <w:spacing w:before="71" w:line="280" w:lineRule="auto"/>
              <w:ind w:left="114" w:right="131"/>
              <w:rPr>
                <w:sz w:val="20"/>
              </w:rPr>
            </w:pPr>
            <w:r>
              <w:rPr>
                <w:color w:val="231F20"/>
                <w:sz w:val="20"/>
              </w:rPr>
              <w:t>While grade is poor, progress improved and is tracking to meet target – but this will take time.</w:t>
            </w:r>
          </w:p>
        </w:tc>
        <w:tc>
          <w:tcPr>
            <w:tcW w:w="1833" w:type="dxa"/>
          </w:tcPr>
          <w:p w:rsidR="00D1511D" w:rsidRDefault="003F0CB3">
            <w:pPr>
              <w:pStyle w:val="TableParagraph"/>
              <w:spacing w:before="71" w:line="280" w:lineRule="auto"/>
              <w:ind w:left="114" w:right="176"/>
              <w:rPr>
                <w:sz w:val="20"/>
              </w:rPr>
            </w:pPr>
            <w:r>
              <w:rPr>
                <w:color w:val="231F20"/>
                <w:sz w:val="20"/>
              </w:rPr>
              <w:t xml:space="preserve">The Region is home to globally significant populations of dugongs. Over the entire Region there is a high </w:t>
            </w:r>
            <w:r>
              <w:rPr>
                <w:color w:val="231F20"/>
                <w:spacing w:val="-3"/>
                <w:sz w:val="20"/>
              </w:rPr>
              <w:t xml:space="preserve">probability </w:t>
            </w:r>
            <w:r>
              <w:rPr>
                <w:color w:val="231F20"/>
                <w:sz w:val="20"/>
              </w:rPr>
              <w:t>that the dugong</w:t>
            </w:r>
          </w:p>
          <w:p w:rsidR="00D1511D" w:rsidRDefault="003F0CB3">
            <w:pPr>
              <w:pStyle w:val="TableParagraph"/>
              <w:spacing w:before="0" w:line="280" w:lineRule="auto"/>
              <w:ind w:left="114" w:right="56"/>
              <w:rPr>
                <w:sz w:val="20"/>
              </w:rPr>
            </w:pPr>
            <w:r>
              <w:rPr>
                <w:color w:val="231F20"/>
                <w:sz w:val="20"/>
              </w:rPr>
              <w:t xml:space="preserve">population </w:t>
            </w:r>
            <w:r>
              <w:rPr>
                <w:color w:val="231F20"/>
                <w:spacing w:val="-3"/>
                <w:sz w:val="20"/>
              </w:rPr>
              <w:t xml:space="preserve">declined </w:t>
            </w:r>
            <w:r>
              <w:rPr>
                <w:color w:val="231F20"/>
                <w:sz w:val="20"/>
              </w:rPr>
              <w:t>betwe</w:t>
            </w:r>
            <w:r>
              <w:rPr>
                <w:color w:val="231F20"/>
                <w:sz w:val="20"/>
              </w:rPr>
              <w:t>en 2005 and 2016 – due to multiple impacts, particularly loss of seagrass following extreme</w:t>
            </w:r>
            <w:r>
              <w:rPr>
                <w:color w:val="231F20"/>
                <w:spacing w:val="-3"/>
                <w:sz w:val="20"/>
              </w:rPr>
              <w:t xml:space="preserve"> </w:t>
            </w:r>
            <w:r>
              <w:rPr>
                <w:color w:val="231F20"/>
                <w:sz w:val="20"/>
              </w:rPr>
              <w:t>weather.</w:t>
            </w:r>
          </w:p>
          <w:p w:rsidR="00D1511D" w:rsidRDefault="003F0CB3">
            <w:pPr>
              <w:pStyle w:val="TableParagraph"/>
              <w:spacing w:before="0" w:line="280" w:lineRule="auto"/>
              <w:ind w:left="114" w:right="56"/>
              <w:rPr>
                <w:sz w:val="20"/>
              </w:rPr>
            </w:pPr>
            <w:r>
              <w:rPr>
                <w:color w:val="231F20"/>
                <w:sz w:val="20"/>
              </w:rPr>
              <w:t>However, along the urban coast, from Hinchinbrook south (approximately</w:t>
            </w:r>
          </w:p>
          <w:p w:rsidR="00D1511D" w:rsidRDefault="003F0CB3">
            <w:pPr>
              <w:pStyle w:val="TableParagraph"/>
              <w:spacing w:before="0" w:line="280" w:lineRule="auto"/>
              <w:ind w:left="114" w:right="217"/>
              <w:rPr>
                <w:sz w:val="20"/>
              </w:rPr>
            </w:pPr>
            <w:r>
              <w:rPr>
                <w:color w:val="231F20"/>
                <w:sz w:val="20"/>
              </w:rPr>
              <w:t xml:space="preserve">half of the </w:t>
            </w:r>
            <w:r>
              <w:rPr>
                <w:color w:val="231F20"/>
                <w:spacing w:val="-3"/>
                <w:sz w:val="20"/>
              </w:rPr>
              <w:t xml:space="preserve">property </w:t>
            </w:r>
            <w:r>
              <w:rPr>
                <w:color w:val="231F20"/>
                <w:sz w:val="20"/>
              </w:rPr>
              <w:t>area), the breeding rate has improved since the impacts of cycl</w:t>
            </w:r>
            <w:r>
              <w:rPr>
                <w:color w:val="231F20"/>
                <w:sz w:val="20"/>
              </w:rPr>
              <w:t xml:space="preserve">one </w:t>
            </w:r>
            <w:r>
              <w:rPr>
                <w:color w:val="231F20"/>
                <w:spacing w:val="-4"/>
                <w:sz w:val="20"/>
              </w:rPr>
              <w:t xml:space="preserve">Yasi </w:t>
            </w:r>
            <w:r>
              <w:rPr>
                <w:color w:val="231F20"/>
                <w:sz w:val="20"/>
              </w:rPr>
              <w:t>and</w:t>
            </w:r>
          </w:p>
          <w:p w:rsidR="00D1511D" w:rsidRDefault="003F0CB3">
            <w:pPr>
              <w:pStyle w:val="TableParagraph"/>
              <w:spacing w:before="0" w:line="280" w:lineRule="auto"/>
              <w:ind w:left="114" w:right="98"/>
              <w:rPr>
                <w:sz w:val="20"/>
              </w:rPr>
            </w:pPr>
            <w:r>
              <w:rPr>
                <w:color w:val="231F20"/>
                <w:sz w:val="20"/>
              </w:rPr>
              <w:t xml:space="preserve">widespread flooding in 2011. The poor condition reflects both ongoing effects of past significant population declines (for example </w:t>
            </w:r>
            <w:proofErr w:type="spellStart"/>
            <w:r>
              <w:rPr>
                <w:color w:val="231F20"/>
                <w:sz w:val="20"/>
              </w:rPr>
              <w:t>commerical</w:t>
            </w:r>
            <w:proofErr w:type="spellEnd"/>
            <w:r>
              <w:rPr>
                <w:color w:val="231F20"/>
                <w:sz w:val="20"/>
              </w:rPr>
              <w:t xml:space="preserve"> harvest at least 60 years ago) and current impacts.</w:t>
            </w:r>
          </w:p>
        </w:tc>
        <w:tc>
          <w:tcPr>
            <w:tcW w:w="2095" w:type="dxa"/>
          </w:tcPr>
          <w:p w:rsidR="00D1511D" w:rsidRDefault="003F0CB3">
            <w:pPr>
              <w:pStyle w:val="TableParagraph"/>
              <w:spacing w:before="71" w:line="280" w:lineRule="auto"/>
              <w:ind w:left="114" w:right="268"/>
              <w:rPr>
                <w:sz w:val="20"/>
              </w:rPr>
            </w:pPr>
            <w:r>
              <w:rPr>
                <w:color w:val="231F20"/>
                <w:sz w:val="20"/>
              </w:rPr>
              <w:t xml:space="preserve">Inshore – 3 net free areas established in 2015 – </w:t>
            </w:r>
            <w:r>
              <w:rPr>
                <w:color w:val="231F20"/>
                <w:sz w:val="20"/>
              </w:rPr>
              <w:t>interactions with species of conservation concern.</w:t>
            </w:r>
          </w:p>
          <w:p w:rsidR="00D1511D" w:rsidRDefault="003F0CB3">
            <w:pPr>
              <w:pStyle w:val="TableParagraph"/>
              <w:spacing w:before="166" w:line="280" w:lineRule="auto"/>
              <w:ind w:left="114" w:right="98"/>
              <w:rPr>
                <w:sz w:val="20"/>
              </w:rPr>
            </w:pPr>
            <w:r>
              <w:rPr>
                <w:color w:val="231F20"/>
                <w:sz w:val="20"/>
              </w:rPr>
              <w:t xml:space="preserve">Reef 2050 Water Quality Improvement Plan (regarding link to improving water quality which is important to dugong </w:t>
            </w:r>
            <w:proofErr w:type="spellStart"/>
            <w:r>
              <w:rPr>
                <w:color w:val="231F20"/>
                <w:sz w:val="20"/>
              </w:rPr>
              <w:t>foodsource</w:t>
            </w:r>
            <w:proofErr w:type="spellEnd"/>
            <w:r>
              <w:rPr>
                <w:color w:val="231F20"/>
                <w:sz w:val="20"/>
              </w:rPr>
              <w:t xml:space="preserve"> – seagrass).</w:t>
            </w:r>
          </w:p>
          <w:p w:rsidR="00D1511D" w:rsidRDefault="003F0CB3">
            <w:pPr>
              <w:pStyle w:val="TableParagraph"/>
              <w:spacing w:before="164" w:line="280" w:lineRule="auto"/>
              <w:ind w:left="114" w:right="273"/>
              <w:jc w:val="both"/>
              <w:rPr>
                <w:sz w:val="20"/>
              </w:rPr>
            </w:pPr>
            <w:r>
              <w:rPr>
                <w:color w:val="231F20"/>
                <w:sz w:val="20"/>
              </w:rPr>
              <w:t>‘Go slow’ areas in the marine park to reduce boat strike.</w:t>
            </w:r>
          </w:p>
          <w:p w:rsidR="00D1511D" w:rsidRDefault="003F0CB3">
            <w:pPr>
              <w:pStyle w:val="TableParagraph"/>
              <w:spacing w:before="168" w:line="280" w:lineRule="auto"/>
              <w:ind w:left="114" w:right="248"/>
              <w:rPr>
                <w:sz w:val="20"/>
              </w:rPr>
            </w:pPr>
            <w:r>
              <w:rPr>
                <w:color w:val="231F20"/>
                <w:sz w:val="20"/>
              </w:rPr>
              <w:t>Sustainable</w:t>
            </w:r>
            <w:r>
              <w:rPr>
                <w:color w:val="231F20"/>
                <w:spacing w:val="-16"/>
                <w:sz w:val="20"/>
              </w:rPr>
              <w:t xml:space="preserve"> </w:t>
            </w:r>
            <w:r>
              <w:rPr>
                <w:color w:val="231F20"/>
                <w:sz w:val="20"/>
              </w:rPr>
              <w:t xml:space="preserve">traditional use through accredited </w:t>
            </w:r>
            <w:r>
              <w:rPr>
                <w:color w:val="231F20"/>
                <w:spacing w:val="-3"/>
                <w:sz w:val="20"/>
              </w:rPr>
              <w:t xml:space="preserve">Traditional </w:t>
            </w:r>
            <w:r>
              <w:rPr>
                <w:color w:val="231F20"/>
                <w:sz w:val="20"/>
              </w:rPr>
              <w:t>Use of</w:t>
            </w:r>
            <w:r>
              <w:rPr>
                <w:color w:val="231F20"/>
                <w:spacing w:val="-2"/>
                <w:sz w:val="20"/>
              </w:rPr>
              <w:t xml:space="preserve"> </w:t>
            </w:r>
            <w:r>
              <w:rPr>
                <w:color w:val="231F20"/>
                <w:sz w:val="20"/>
              </w:rPr>
              <w:t>Marine</w:t>
            </w:r>
          </w:p>
          <w:p w:rsidR="00D1511D" w:rsidRDefault="003F0CB3">
            <w:pPr>
              <w:pStyle w:val="TableParagraph"/>
              <w:spacing w:before="0" w:line="237" w:lineRule="exact"/>
              <w:ind w:left="114"/>
              <w:rPr>
                <w:sz w:val="20"/>
              </w:rPr>
            </w:pPr>
            <w:r>
              <w:rPr>
                <w:color w:val="231F20"/>
                <w:sz w:val="20"/>
              </w:rPr>
              <w:t>Resources Agreements.</w:t>
            </w:r>
          </w:p>
        </w:tc>
      </w:tr>
    </w:tbl>
    <w:p w:rsidR="00D1511D" w:rsidRDefault="00D1511D">
      <w:pPr>
        <w:pStyle w:val="BodyText"/>
        <w:rPr>
          <w:rFonts w:ascii="Myriad Pro"/>
        </w:rPr>
      </w:pPr>
    </w:p>
    <w:p w:rsidR="00D1511D" w:rsidRDefault="003F0CB3">
      <w:pPr>
        <w:pStyle w:val="BodyText"/>
        <w:spacing w:before="5"/>
        <w:rPr>
          <w:rFonts w:ascii="Myriad Pro"/>
          <w:sz w:val="29"/>
        </w:rPr>
      </w:pPr>
      <w:r>
        <w:pict>
          <v:shape id="_x0000_s1248" alt="" style="position:absolute;margin-left:85.05pt;margin-top:19.9pt;width:124.75pt;height:.1pt;z-index:-251621376;mso-wrap-edited:f;mso-width-percent:0;mso-height-percent:0;mso-wrap-distance-left:0;mso-wrap-distance-right:0;mso-position-horizontal-relative:page;mso-width-percent:0;mso-height-percent:0" coordsize="2495,1270" path="m,l2494,e" filled="f" strokecolor="#231f20" strokeweight=".5pt">
            <v:path arrowok="t" o:connecttype="custom" o:connectlocs="0,0;1583690,0" o:connectangles="0,0"/>
            <w10:wrap type="topAndBottom" anchorx="page"/>
          </v:shape>
        </w:pict>
      </w:r>
    </w:p>
    <w:p w:rsidR="00D1511D" w:rsidRDefault="003F0CB3">
      <w:pPr>
        <w:pStyle w:val="ListParagraph"/>
        <w:numPr>
          <w:ilvl w:val="0"/>
          <w:numId w:val="7"/>
        </w:numPr>
        <w:tabs>
          <w:tab w:val="left" w:pos="1933"/>
        </w:tabs>
        <w:spacing w:before="62" w:after="41"/>
        <w:ind w:hanging="233"/>
        <w:rPr>
          <w:rFonts w:ascii="Myriad Pro"/>
          <w:sz w:val="16"/>
        </w:rPr>
      </w:pPr>
      <w:r>
        <w:rPr>
          <w:rFonts w:ascii="Myriad Pro"/>
          <w:color w:val="231F20"/>
          <w:sz w:val="16"/>
        </w:rPr>
        <w:t>2019 Outlook grading key:</w:t>
      </w:r>
    </w:p>
    <w:tbl>
      <w:tblPr>
        <w:tblW w:w="0" w:type="auto"/>
        <w:tblInd w:w="1705"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2197"/>
        <w:gridCol w:w="2197"/>
        <w:gridCol w:w="2197"/>
        <w:gridCol w:w="2192"/>
      </w:tblGrid>
      <w:tr w:rsidR="00D1511D">
        <w:trPr>
          <w:trHeight w:val="299"/>
        </w:trPr>
        <w:tc>
          <w:tcPr>
            <w:tcW w:w="2197" w:type="dxa"/>
            <w:shd w:val="clear" w:color="auto" w:fill="008752"/>
          </w:tcPr>
          <w:p w:rsidR="00D1511D" w:rsidRDefault="003F0CB3">
            <w:pPr>
              <w:pStyle w:val="TableParagraph"/>
              <w:spacing w:before="37"/>
              <w:ind w:left="675"/>
              <w:rPr>
                <w:sz w:val="20"/>
              </w:rPr>
            </w:pPr>
            <w:r>
              <w:rPr>
                <w:color w:val="FFFFFF"/>
                <w:sz w:val="20"/>
              </w:rPr>
              <w:t>Very Good</w:t>
            </w:r>
          </w:p>
        </w:tc>
        <w:tc>
          <w:tcPr>
            <w:tcW w:w="2197" w:type="dxa"/>
            <w:shd w:val="clear" w:color="auto" w:fill="A8D59D"/>
          </w:tcPr>
          <w:p w:rsidR="00D1511D" w:rsidRDefault="003F0CB3">
            <w:pPr>
              <w:pStyle w:val="TableParagraph"/>
              <w:spacing w:before="37"/>
              <w:ind w:left="708" w:right="704"/>
              <w:jc w:val="center"/>
              <w:rPr>
                <w:sz w:val="20"/>
              </w:rPr>
            </w:pPr>
            <w:r>
              <w:rPr>
                <w:color w:val="231F20"/>
                <w:sz w:val="20"/>
              </w:rPr>
              <w:t>Good</w:t>
            </w:r>
          </w:p>
        </w:tc>
        <w:tc>
          <w:tcPr>
            <w:tcW w:w="2197" w:type="dxa"/>
            <w:shd w:val="clear" w:color="auto" w:fill="FBDBCD"/>
          </w:tcPr>
          <w:p w:rsidR="00D1511D" w:rsidRDefault="003F0CB3">
            <w:pPr>
              <w:pStyle w:val="TableParagraph"/>
              <w:spacing w:before="37"/>
              <w:ind w:left="708" w:right="704"/>
              <w:jc w:val="center"/>
              <w:rPr>
                <w:sz w:val="20"/>
              </w:rPr>
            </w:pPr>
            <w:r>
              <w:rPr>
                <w:color w:val="231F20"/>
                <w:sz w:val="20"/>
              </w:rPr>
              <w:t>Poor</w:t>
            </w:r>
          </w:p>
        </w:tc>
        <w:tc>
          <w:tcPr>
            <w:tcW w:w="2192" w:type="dxa"/>
            <w:shd w:val="clear" w:color="auto" w:fill="E31B23"/>
          </w:tcPr>
          <w:p w:rsidR="00D1511D" w:rsidRDefault="003F0CB3">
            <w:pPr>
              <w:pStyle w:val="TableParagraph"/>
              <w:spacing w:before="37"/>
              <w:ind w:left="705" w:right="702"/>
              <w:jc w:val="center"/>
              <w:rPr>
                <w:sz w:val="20"/>
              </w:rPr>
            </w:pPr>
            <w:proofErr w:type="spellStart"/>
            <w:r>
              <w:rPr>
                <w:color w:val="FFFFFF"/>
                <w:sz w:val="20"/>
              </w:rPr>
              <w:t>VeryPoor</w:t>
            </w:r>
            <w:proofErr w:type="spellEnd"/>
          </w:p>
        </w:tc>
      </w:tr>
    </w:tbl>
    <w:p w:rsidR="00D1511D" w:rsidRDefault="003F0CB3">
      <w:pPr>
        <w:spacing w:before="152"/>
        <w:ind w:left="1700"/>
        <w:rPr>
          <w:rFonts w:ascii="Myriad Pro"/>
          <w:sz w:val="16"/>
        </w:rPr>
      </w:pPr>
      <w:r>
        <w:rPr>
          <w:rFonts w:ascii="Myriad Pro"/>
          <w:color w:val="231F20"/>
          <w:sz w:val="16"/>
        </w:rPr>
        <w:t xml:space="preserve">Further detail is available in the 2019 Outlook Report available at: </w:t>
      </w:r>
      <w:hyperlink r:id="rId84">
        <w:r>
          <w:rPr>
            <w:rFonts w:ascii="Myriad Pro"/>
            <w:color w:val="1B5BAA"/>
            <w:sz w:val="16"/>
            <w:u w:val="single" w:color="1B5BAA"/>
          </w:rPr>
          <w:t>www.gbrmpa.gov.au</w:t>
        </w:r>
      </w:hyperlink>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23"/>
        </w:rPr>
      </w:pPr>
    </w:p>
    <w:p w:rsidR="00D1511D" w:rsidRDefault="003F0CB3">
      <w:pPr>
        <w:ind w:right="1415"/>
        <w:jc w:val="right"/>
        <w:rPr>
          <w:rFonts w:ascii="Myriad Pro"/>
          <w:sz w:val="16"/>
        </w:rPr>
      </w:pPr>
      <w:r>
        <w:rPr>
          <w:rFonts w:ascii="Myriad Pro"/>
          <w:color w:val="231F20"/>
          <w:sz w:val="16"/>
        </w:rPr>
        <w:t>39</w:t>
      </w:r>
    </w:p>
    <w:p w:rsidR="00D1511D" w:rsidRDefault="00D1511D">
      <w:pPr>
        <w:jc w:val="right"/>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2"/>
        <w:rPr>
          <w:rFonts w:ascii="Myriad Pro"/>
          <w:sz w:val="12"/>
        </w:rPr>
      </w:pPr>
    </w:p>
    <w:tbl>
      <w:tblPr>
        <w:tblW w:w="0" w:type="auto"/>
        <w:tblInd w:w="1705"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034"/>
        <w:gridCol w:w="1247"/>
        <w:gridCol w:w="1363"/>
        <w:gridCol w:w="1379"/>
        <w:gridCol w:w="1833"/>
        <w:gridCol w:w="2095"/>
      </w:tblGrid>
      <w:tr w:rsidR="00D1511D">
        <w:trPr>
          <w:trHeight w:val="500"/>
        </w:trPr>
        <w:tc>
          <w:tcPr>
            <w:tcW w:w="1034" w:type="dxa"/>
            <w:vMerge w:val="restart"/>
          </w:tcPr>
          <w:p w:rsidR="00D1511D" w:rsidRDefault="003F0CB3">
            <w:pPr>
              <w:pStyle w:val="TableParagraph"/>
              <w:spacing w:before="71"/>
              <w:ind w:left="113"/>
              <w:rPr>
                <w:b/>
                <w:sz w:val="20"/>
              </w:rPr>
            </w:pPr>
            <w:r>
              <w:rPr>
                <w:b/>
                <w:color w:val="231F20"/>
                <w:sz w:val="20"/>
              </w:rPr>
              <w:t>Species</w:t>
            </w:r>
          </w:p>
        </w:tc>
        <w:tc>
          <w:tcPr>
            <w:tcW w:w="2610" w:type="dxa"/>
            <w:gridSpan w:val="2"/>
          </w:tcPr>
          <w:p w:rsidR="00D1511D" w:rsidRDefault="003F0CB3">
            <w:pPr>
              <w:pStyle w:val="TableParagraph"/>
              <w:spacing w:before="71"/>
              <w:ind w:left="227"/>
              <w:rPr>
                <w:b/>
                <w:sz w:val="11"/>
              </w:rPr>
            </w:pPr>
            <w:r>
              <w:rPr>
                <w:b/>
                <w:color w:val="231F20"/>
                <w:sz w:val="20"/>
              </w:rPr>
              <w:t>Condition and trend</w:t>
            </w:r>
            <w:r>
              <w:rPr>
                <w:b/>
                <w:color w:val="231F20"/>
                <w:position w:val="7"/>
                <w:sz w:val="11"/>
              </w:rPr>
              <w:t>11</w:t>
            </w:r>
          </w:p>
        </w:tc>
        <w:tc>
          <w:tcPr>
            <w:tcW w:w="1379" w:type="dxa"/>
            <w:vMerge w:val="restart"/>
          </w:tcPr>
          <w:p w:rsidR="00D1511D" w:rsidRDefault="003F0CB3">
            <w:pPr>
              <w:pStyle w:val="TableParagraph"/>
              <w:spacing w:before="71"/>
              <w:ind w:left="114"/>
              <w:rPr>
                <w:b/>
                <w:sz w:val="20"/>
              </w:rPr>
            </w:pPr>
            <w:r>
              <w:rPr>
                <w:b/>
                <w:color w:val="231F20"/>
                <w:sz w:val="20"/>
              </w:rPr>
              <w:t>Progress</w:t>
            </w:r>
          </w:p>
        </w:tc>
        <w:tc>
          <w:tcPr>
            <w:tcW w:w="1833" w:type="dxa"/>
            <w:vMerge w:val="restart"/>
          </w:tcPr>
          <w:p w:rsidR="00D1511D" w:rsidRDefault="003F0CB3">
            <w:pPr>
              <w:pStyle w:val="TableParagraph"/>
              <w:spacing w:before="71" w:line="280" w:lineRule="auto"/>
              <w:ind w:left="114" w:right="56"/>
              <w:rPr>
                <w:b/>
                <w:sz w:val="20"/>
              </w:rPr>
            </w:pPr>
            <w:r>
              <w:rPr>
                <w:b/>
                <w:color w:val="231F20"/>
                <w:sz w:val="20"/>
              </w:rPr>
              <w:t>Reason for current state</w:t>
            </w:r>
          </w:p>
        </w:tc>
        <w:tc>
          <w:tcPr>
            <w:tcW w:w="2095" w:type="dxa"/>
            <w:vMerge w:val="restart"/>
          </w:tcPr>
          <w:p w:rsidR="00D1511D" w:rsidRDefault="003F0CB3">
            <w:pPr>
              <w:pStyle w:val="TableParagraph"/>
              <w:spacing w:before="71"/>
              <w:ind w:left="114"/>
              <w:rPr>
                <w:b/>
                <w:sz w:val="20"/>
              </w:rPr>
            </w:pPr>
            <w:r>
              <w:rPr>
                <w:b/>
                <w:color w:val="231F20"/>
                <w:sz w:val="20"/>
              </w:rPr>
              <w:t>Key progress enablers</w:t>
            </w:r>
          </w:p>
        </w:tc>
      </w:tr>
      <w:tr w:rsidR="00D1511D">
        <w:trPr>
          <w:trHeight w:val="371"/>
        </w:trPr>
        <w:tc>
          <w:tcPr>
            <w:tcW w:w="1034" w:type="dxa"/>
            <w:vMerge/>
            <w:tcBorders>
              <w:top w:val="nil"/>
            </w:tcBorders>
          </w:tcPr>
          <w:p w:rsidR="00D1511D" w:rsidRDefault="00D1511D">
            <w:pPr>
              <w:rPr>
                <w:sz w:val="2"/>
                <w:szCs w:val="2"/>
              </w:rPr>
            </w:pPr>
          </w:p>
        </w:tc>
        <w:tc>
          <w:tcPr>
            <w:tcW w:w="1247" w:type="dxa"/>
          </w:tcPr>
          <w:p w:rsidR="00D1511D" w:rsidRDefault="003F0CB3">
            <w:pPr>
              <w:pStyle w:val="TableParagraph"/>
              <w:spacing w:before="71"/>
              <w:ind w:left="113"/>
              <w:rPr>
                <w:b/>
                <w:sz w:val="20"/>
              </w:rPr>
            </w:pPr>
            <w:r>
              <w:rPr>
                <w:b/>
                <w:color w:val="231F20"/>
                <w:sz w:val="20"/>
              </w:rPr>
              <w:t>2014</w:t>
            </w:r>
          </w:p>
        </w:tc>
        <w:tc>
          <w:tcPr>
            <w:tcW w:w="1363" w:type="dxa"/>
          </w:tcPr>
          <w:p w:rsidR="00D1511D" w:rsidRDefault="003F0CB3">
            <w:pPr>
              <w:pStyle w:val="TableParagraph"/>
              <w:spacing w:before="71"/>
              <w:ind w:left="114"/>
              <w:rPr>
                <w:b/>
                <w:sz w:val="20"/>
              </w:rPr>
            </w:pPr>
            <w:r>
              <w:rPr>
                <w:b/>
                <w:color w:val="231F20"/>
                <w:sz w:val="20"/>
              </w:rPr>
              <w:t>2019</w:t>
            </w:r>
          </w:p>
        </w:tc>
        <w:tc>
          <w:tcPr>
            <w:tcW w:w="1379" w:type="dxa"/>
            <w:vMerge/>
            <w:tcBorders>
              <w:top w:val="nil"/>
            </w:tcBorders>
          </w:tcPr>
          <w:p w:rsidR="00D1511D" w:rsidRDefault="00D1511D">
            <w:pPr>
              <w:rPr>
                <w:sz w:val="2"/>
                <w:szCs w:val="2"/>
              </w:rPr>
            </w:pPr>
          </w:p>
        </w:tc>
        <w:tc>
          <w:tcPr>
            <w:tcW w:w="1833" w:type="dxa"/>
            <w:vMerge/>
            <w:tcBorders>
              <w:top w:val="nil"/>
            </w:tcBorders>
          </w:tcPr>
          <w:p w:rsidR="00D1511D" w:rsidRDefault="00D1511D">
            <w:pPr>
              <w:rPr>
                <w:sz w:val="2"/>
                <w:szCs w:val="2"/>
              </w:rPr>
            </w:pPr>
          </w:p>
        </w:tc>
        <w:tc>
          <w:tcPr>
            <w:tcW w:w="2095" w:type="dxa"/>
            <w:vMerge/>
            <w:tcBorders>
              <w:top w:val="nil"/>
            </w:tcBorders>
          </w:tcPr>
          <w:p w:rsidR="00D1511D" w:rsidRDefault="00D1511D">
            <w:pPr>
              <w:rPr>
                <w:sz w:val="2"/>
                <w:szCs w:val="2"/>
              </w:rPr>
            </w:pPr>
          </w:p>
        </w:tc>
      </w:tr>
      <w:tr w:rsidR="00D1511D">
        <w:trPr>
          <w:trHeight w:val="6708"/>
        </w:trPr>
        <w:tc>
          <w:tcPr>
            <w:tcW w:w="1034" w:type="dxa"/>
          </w:tcPr>
          <w:p w:rsidR="00D1511D" w:rsidRDefault="003F0CB3">
            <w:pPr>
              <w:pStyle w:val="TableParagraph"/>
              <w:spacing w:before="71" w:line="280" w:lineRule="auto"/>
              <w:ind w:left="113" w:right="330"/>
              <w:rPr>
                <w:sz w:val="20"/>
              </w:rPr>
            </w:pPr>
            <w:r>
              <w:rPr>
                <w:color w:val="231F20"/>
                <w:sz w:val="20"/>
              </w:rPr>
              <w:t>Marine Turtles</w:t>
            </w:r>
          </w:p>
        </w:tc>
        <w:tc>
          <w:tcPr>
            <w:tcW w:w="1247" w:type="dxa"/>
            <w:shd w:val="clear" w:color="auto" w:fill="FBDBCD"/>
          </w:tcPr>
          <w:p w:rsidR="00D1511D" w:rsidRDefault="003F0CB3">
            <w:pPr>
              <w:pStyle w:val="TableParagraph"/>
              <w:spacing w:before="71" w:line="280" w:lineRule="auto"/>
              <w:ind w:left="113" w:right="339"/>
              <w:rPr>
                <w:sz w:val="20"/>
              </w:rPr>
            </w:pPr>
            <w:r>
              <w:rPr>
                <w:color w:val="231F20"/>
                <w:sz w:val="20"/>
              </w:rPr>
              <w:t>No consistent trend</w:t>
            </w:r>
          </w:p>
        </w:tc>
        <w:tc>
          <w:tcPr>
            <w:tcW w:w="1363" w:type="dxa"/>
            <w:shd w:val="clear" w:color="auto" w:fill="FBDBCD"/>
          </w:tcPr>
          <w:p w:rsidR="00D1511D" w:rsidRDefault="003F0CB3">
            <w:pPr>
              <w:pStyle w:val="TableParagraph"/>
              <w:spacing w:before="71" w:line="280" w:lineRule="auto"/>
              <w:ind w:left="114"/>
              <w:rPr>
                <w:sz w:val="20"/>
              </w:rPr>
            </w:pPr>
            <w:r>
              <w:rPr>
                <w:color w:val="231F20"/>
                <w:sz w:val="20"/>
              </w:rPr>
              <w:t>No consistent trend</w:t>
            </w:r>
          </w:p>
        </w:tc>
        <w:tc>
          <w:tcPr>
            <w:tcW w:w="1379" w:type="dxa"/>
          </w:tcPr>
          <w:p w:rsidR="00D1511D" w:rsidRDefault="003F0CB3">
            <w:pPr>
              <w:pStyle w:val="TableParagraph"/>
              <w:spacing w:before="71" w:line="280" w:lineRule="auto"/>
              <w:ind w:left="114"/>
              <w:rPr>
                <w:sz w:val="20"/>
              </w:rPr>
            </w:pPr>
            <w:r>
              <w:rPr>
                <w:color w:val="231F20"/>
                <w:sz w:val="20"/>
              </w:rPr>
              <w:t>Significant improvement required</w:t>
            </w:r>
          </w:p>
        </w:tc>
        <w:tc>
          <w:tcPr>
            <w:tcW w:w="1833" w:type="dxa"/>
          </w:tcPr>
          <w:p w:rsidR="00D1511D" w:rsidRDefault="003F0CB3">
            <w:pPr>
              <w:pStyle w:val="TableParagraph"/>
              <w:spacing w:before="71" w:line="280" w:lineRule="auto"/>
              <w:ind w:left="114" w:right="541"/>
              <w:rPr>
                <w:sz w:val="20"/>
              </w:rPr>
            </w:pPr>
            <w:r>
              <w:rPr>
                <w:color w:val="231F20"/>
                <w:sz w:val="20"/>
              </w:rPr>
              <w:t>Heightened concerns exist for the future of loggerhead, hawksbill and northern green</w:t>
            </w:r>
          </w:p>
          <w:p w:rsidR="00D1511D" w:rsidRDefault="003F0CB3">
            <w:pPr>
              <w:pStyle w:val="TableParagraph"/>
              <w:spacing w:before="0" w:line="280" w:lineRule="auto"/>
              <w:ind w:left="114" w:right="122"/>
              <w:rPr>
                <w:sz w:val="20"/>
              </w:rPr>
            </w:pPr>
            <w:r>
              <w:rPr>
                <w:color w:val="231F20"/>
                <w:sz w:val="20"/>
              </w:rPr>
              <w:t xml:space="preserve">turtle populations. The southern green turtle population continues to </w:t>
            </w:r>
            <w:r>
              <w:rPr>
                <w:color w:val="231F20"/>
                <w:spacing w:val="-5"/>
                <w:sz w:val="20"/>
              </w:rPr>
              <w:t xml:space="preserve">recover. </w:t>
            </w:r>
            <w:r>
              <w:rPr>
                <w:color w:val="231F20"/>
                <w:sz w:val="20"/>
              </w:rPr>
              <w:t>The trend for flatback turtles is not</w:t>
            </w:r>
            <w:r>
              <w:rPr>
                <w:color w:val="231F20"/>
                <w:spacing w:val="-1"/>
                <w:sz w:val="20"/>
              </w:rPr>
              <w:t xml:space="preserve"> </w:t>
            </w:r>
            <w:r>
              <w:rPr>
                <w:color w:val="231F20"/>
                <w:sz w:val="20"/>
              </w:rPr>
              <w:t>clear.</w:t>
            </w:r>
          </w:p>
          <w:p w:rsidR="00D1511D" w:rsidRDefault="003F0CB3">
            <w:pPr>
              <w:pStyle w:val="TableParagraph"/>
              <w:spacing w:before="159" w:line="280" w:lineRule="auto"/>
              <w:ind w:left="114" w:right="311"/>
              <w:rPr>
                <w:sz w:val="20"/>
              </w:rPr>
            </w:pPr>
            <w:r>
              <w:rPr>
                <w:color w:val="231F20"/>
                <w:sz w:val="20"/>
              </w:rPr>
              <w:t xml:space="preserve">Increasing sea and air temperatures are a very </w:t>
            </w:r>
            <w:r>
              <w:rPr>
                <w:color w:val="231F20"/>
                <w:sz w:val="20"/>
              </w:rPr>
              <w:t>high risk for marine turtles – warmer temperatures lead to more female and fewer male turtle hatchlings.</w:t>
            </w:r>
          </w:p>
        </w:tc>
        <w:tc>
          <w:tcPr>
            <w:tcW w:w="2095" w:type="dxa"/>
          </w:tcPr>
          <w:p w:rsidR="00D1511D" w:rsidRDefault="003F0CB3">
            <w:pPr>
              <w:pStyle w:val="TableParagraph"/>
              <w:spacing w:before="71"/>
              <w:ind w:left="114"/>
              <w:rPr>
                <w:sz w:val="20"/>
              </w:rPr>
            </w:pPr>
            <w:r>
              <w:rPr>
                <w:color w:val="231F20"/>
                <w:sz w:val="20"/>
              </w:rPr>
              <w:t>As above for dugongs.</w:t>
            </w:r>
          </w:p>
          <w:p w:rsidR="00D1511D" w:rsidRDefault="003F0CB3">
            <w:pPr>
              <w:pStyle w:val="TableParagraph"/>
              <w:spacing w:before="210" w:line="280" w:lineRule="auto"/>
              <w:ind w:left="114" w:right="98"/>
              <w:rPr>
                <w:sz w:val="20"/>
              </w:rPr>
            </w:pPr>
            <w:r>
              <w:rPr>
                <w:color w:val="231F20"/>
                <w:sz w:val="20"/>
              </w:rPr>
              <w:t xml:space="preserve">Australian </w:t>
            </w:r>
            <w:r>
              <w:rPr>
                <w:color w:val="231F20"/>
                <w:spacing w:val="-3"/>
                <w:sz w:val="20"/>
              </w:rPr>
              <w:t xml:space="preserve">Government </w:t>
            </w:r>
            <w:r>
              <w:rPr>
                <w:color w:val="231F20"/>
                <w:sz w:val="20"/>
              </w:rPr>
              <w:t>climate commitments (see section 4.2.4)</w:t>
            </w:r>
          </w:p>
          <w:p w:rsidR="00D1511D" w:rsidRDefault="003F0CB3">
            <w:pPr>
              <w:pStyle w:val="TableParagraph"/>
              <w:spacing w:before="167" w:line="280" w:lineRule="auto"/>
              <w:ind w:left="114" w:right="361"/>
              <w:rPr>
                <w:sz w:val="20"/>
              </w:rPr>
            </w:pPr>
            <w:r>
              <w:rPr>
                <w:color w:val="231F20"/>
                <w:sz w:val="20"/>
              </w:rPr>
              <w:t xml:space="preserve">Reduced mortality of large female green turtle breeders </w:t>
            </w:r>
            <w:r>
              <w:rPr>
                <w:color w:val="231F20"/>
                <w:spacing w:val="-3"/>
                <w:sz w:val="20"/>
              </w:rPr>
              <w:t xml:space="preserve">under </w:t>
            </w:r>
            <w:r>
              <w:rPr>
                <w:color w:val="231F20"/>
                <w:sz w:val="20"/>
              </w:rPr>
              <w:t>the R</w:t>
            </w:r>
            <w:r>
              <w:rPr>
                <w:color w:val="231F20"/>
                <w:sz w:val="20"/>
              </w:rPr>
              <w:t>aine Island Recovery</w:t>
            </w:r>
            <w:r>
              <w:rPr>
                <w:color w:val="231F20"/>
                <w:spacing w:val="-3"/>
                <w:sz w:val="20"/>
              </w:rPr>
              <w:t xml:space="preserve"> </w:t>
            </w:r>
            <w:r>
              <w:rPr>
                <w:color w:val="231F20"/>
                <w:sz w:val="20"/>
              </w:rPr>
              <w:t>Project.</w:t>
            </w:r>
          </w:p>
        </w:tc>
      </w:tr>
    </w:tbl>
    <w:p w:rsidR="00D1511D" w:rsidRDefault="00D1511D">
      <w:pPr>
        <w:pStyle w:val="BodyText"/>
        <w:spacing w:before="6"/>
        <w:rPr>
          <w:rFonts w:ascii="Myriad Pro"/>
          <w:sz w:val="22"/>
        </w:rPr>
      </w:pPr>
    </w:p>
    <w:p w:rsidR="00D1511D" w:rsidRDefault="003F0CB3">
      <w:pPr>
        <w:pStyle w:val="Heading3"/>
        <w:spacing w:before="101"/>
        <w:ind w:left="1700"/>
      </w:pPr>
      <w:r>
        <w:pict>
          <v:shape id="_x0000_s1247" type="#_x0000_t202" alt="" style="position:absolute;left:0;text-align:left;margin-left:84.7pt;margin-top:26.55pt;width:439.7pt;height:46.3pt;z-index:-251620352;mso-wrap-style:square;mso-wrap-edited:f;mso-width-percent:0;mso-height-percent:0;mso-wrap-distance-left:0;mso-wrap-distance-right:0;mso-position-horizontal-relative:page;mso-width-percent:0;mso-height-percent:0;v-text-anchor:top" fillcolor="#d2e3de" stroked="f">
            <v:textbox inset="0,0,0,0">
              <w:txbxContent>
                <w:p w:rsidR="00D1511D" w:rsidRDefault="003F0CB3">
                  <w:pPr>
                    <w:pStyle w:val="BodyText"/>
                    <w:spacing w:before="214" w:line="280" w:lineRule="auto"/>
                    <w:ind w:left="289" w:right="592"/>
                  </w:pPr>
                  <w:r>
                    <w:rPr>
                      <w:color w:val="231F20"/>
                    </w:rPr>
                    <w:t>Target: Partnerships between Traditional Owners and all stakeholders are increased to ensure key Reef heritage values are identified, documented and monitored (target HT3).</w:t>
                  </w:r>
                </w:p>
              </w:txbxContent>
            </v:textbox>
            <w10:wrap type="topAndBottom" anchorx="page"/>
          </v:shape>
        </w:pict>
      </w:r>
      <w:r>
        <w:rPr>
          <w:color w:val="005695"/>
        </w:rPr>
        <w:t>4.3.2c Cultural heritage</w:t>
      </w:r>
    </w:p>
    <w:p w:rsidR="00D1511D" w:rsidRDefault="00D1511D">
      <w:pPr>
        <w:pStyle w:val="BodyText"/>
        <w:spacing w:before="3"/>
        <w:rPr>
          <w:rFonts w:ascii="Myriad Pro"/>
          <w:sz w:val="6"/>
        </w:rPr>
      </w:pPr>
    </w:p>
    <w:p w:rsidR="00D1511D" w:rsidRDefault="003F0CB3">
      <w:pPr>
        <w:pStyle w:val="BodyText"/>
        <w:spacing w:before="99" w:line="280" w:lineRule="auto"/>
        <w:ind w:left="1700" w:right="1448"/>
      </w:pPr>
      <w:r>
        <w:rPr>
          <w:color w:val="231F20"/>
        </w:rPr>
        <w:t>The 2019 Outlook Report indicated that for Aboriginal and</w:t>
      </w:r>
      <w:r>
        <w:rPr>
          <w:color w:val="231F20"/>
        </w:rPr>
        <w:t xml:space="preserve"> Torres Strait Islander people many cultural practices remain strong and the resilience of this value is increasing in some areas (Chapters 4 and 8). Partnerships are being maintained and new partnerships formed to protect multiple Indigenous values within</w:t>
      </w:r>
      <w:r>
        <w:rPr>
          <w:color w:val="231F20"/>
        </w:rPr>
        <w:t xml:space="preserve"> the property.</w:t>
      </w:r>
    </w:p>
    <w:p w:rsidR="00D1511D" w:rsidRDefault="003F0CB3">
      <w:pPr>
        <w:pStyle w:val="BodyText"/>
        <w:spacing w:before="167" w:line="280" w:lineRule="auto"/>
        <w:ind w:left="1700" w:right="1359"/>
      </w:pPr>
      <w:r>
        <w:rPr>
          <w:color w:val="231F20"/>
        </w:rPr>
        <w:t>Some heritage components have been documented on and around islands, but there is limited monitoring of their condition by Reef managers who do not always have a sufficient understanding of the condition of Indigenous structures, technology,</w:t>
      </w:r>
      <w:r>
        <w:rPr>
          <w:color w:val="231F20"/>
        </w:rPr>
        <w:t xml:space="preserve"> tools and archaeology. While some structures and sites are located within the Region,</w:t>
      </w:r>
    </w:p>
    <w:p w:rsidR="00D1511D" w:rsidRDefault="003F0CB3">
      <w:pPr>
        <w:pStyle w:val="BodyText"/>
        <w:spacing w:before="7"/>
        <w:rPr>
          <w:sz w:val="14"/>
        </w:rPr>
      </w:pPr>
      <w:r>
        <w:pict>
          <v:shape id="_x0000_s1246" alt="" style="position:absolute;margin-left:85.05pt;margin-top:11pt;width:124.75pt;height:.1pt;z-index:-251619328;mso-wrap-edited:f;mso-width-percent:0;mso-height-percent:0;mso-wrap-distance-left:0;mso-wrap-distance-right:0;mso-position-horizontal-relative:page;mso-width-percent:0;mso-height-percent:0" coordsize="2495,1270" path="m,l2494,e" filled="f" strokecolor="#231f20" strokeweight=".5pt">
            <v:path arrowok="t" o:connecttype="custom" o:connectlocs="0,0;1583690,0" o:connectangles="0,0"/>
            <w10:wrap type="topAndBottom" anchorx="page"/>
          </v:shape>
        </w:pict>
      </w:r>
    </w:p>
    <w:p w:rsidR="00D1511D" w:rsidRDefault="003F0CB3">
      <w:pPr>
        <w:pStyle w:val="ListParagraph"/>
        <w:numPr>
          <w:ilvl w:val="0"/>
          <w:numId w:val="7"/>
        </w:numPr>
        <w:tabs>
          <w:tab w:val="left" w:pos="1933"/>
        </w:tabs>
        <w:spacing w:before="62" w:after="41"/>
        <w:ind w:hanging="233"/>
        <w:rPr>
          <w:rFonts w:ascii="Myriad Pro"/>
          <w:sz w:val="16"/>
        </w:rPr>
      </w:pPr>
      <w:r>
        <w:rPr>
          <w:rFonts w:ascii="Myriad Pro"/>
          <w:color w:val="231F20"/>
          <w:sz w:val="16"/>
        </w:rPr>
        <w:t>2019 Outlook grading key:</w:t>
      </w:r>
    </w:p>
    <w:tbl>
      <w:tblPr>
        <w:tblW w:w="0" w:type="auto"/>
        <w:tblInd w:w="1705"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2197"/>
        <w:gridCol w:w="2197"/>
        <w:gridCol w:w="2197"/>
        <w:gridCol w:w="2192"/>
      </w:tblGrid>
      <w:tr w:rsidR="00D1511D">
        <w:trPr>
          <w:trHeight w:val="299"/>
        </w:trPr>
        <w:tc>
          <w:tcPr>
            <w:tcW w:w="2197" w:type="dxa"/>
            <w:shd w:val="clear" w:color="auto" w:fill="008752"/>
          </w:tcPr>
          <w:p w:rsidR="00D1511D" w:rsidRDefault="003F0CB3">
            <w:pPr>
              <w:pStyle w:val="TableParagraph"/>
              <w:spacing w:before="37"/>
              <w:ind w:left="675"/>
              <w:rPr>
                <w:sz w:val="20"/>
              </w:rPr>
            </w:pPr>
            <w:r>
              <w:rPr>
                <w:color w:val="FFFFFF"/>
                <w:sz w:val="20"/>
              </w:rPr>
              <w:t>Very Good</w:t>
            </w:r>
          </w:p>
        </w:tc>
        <w:tc>
          <w:tcPr>
            <w:tcW w:w="2197" w:type="dxa"/>
            <w:shd w:val="clear" w:color="auto" w:fill="A8D59D"/>
          </w:tcPr>
          <w:p w:rsidR="00D1511D" w:rsidRDefault="003F0CB3">
            <w:pPr>
              <w:pStyle w:val="TableParagraph"/>
              <w:spacing w:before="37"/>
              <w:ind w:left="708" w:right="704"/>
              <w:jc w:val="center"/>
              <w:rPr>
                <w:sz w:val="20"/>
              </w:rPr>
            </w:pPr>
            <w:r>
              <w:rPr>
                <w:color w:val="231F20"/>
                <w:sz w:val="20"/>
              </w:rPr>
              <w:t>Good</w:t>
            </w:r>
          </w:p>
        </w:tc>
        <w:tc>
          <w:tcPr>
            <w:tcW w:w="2197" w:type="dxa"/>
            <w:shd w:val="clear" w:color="auto" w:fill="FBDBCD"/>
          </w:tcPr>
          <w:p w:rsidR="00D1511D" w:rsidRDefault="003F0CB3">
            <w:pPr>
              <w:pStyle w:val="TableParagraph"/>
              <w:spacing w:before="37"/>
              <w:ind w:left="708" w:right="704"/>
              <w:jc w:val="center"/>
              <w:rPr>
                <w:sz w:val="20"/>
              </w:rPr>
            </w:pPr>
            <w:r>
              <w:rPr>
                <w:color w:val="231F20"/>
                <w:sz w:val="20"/>
              </w:rPr>
              <w:t>Poor</w:t>
            </w:r>
          </w:p>
        </w:tc>
        <w:tc>
          <w:tcPr>
            <w:tcW w:w="2192" w:type="dxa"/>
            <w:shd w:val="clear" w:color="auto" w:fill="E31B23"/>
          </w:tcPr>
          <w:p w:rsidR="00D1511D" w:rsidRDefault="003F0CB3">
            <w:pPr>
              <w:pStyle w:val="TableParagraph"/>
              <w:spacing w:before="37"/>
              <w:ind w:left="705" w:right="702"/>
              <w:jc w:val="center"/>
              <w:rPr>
                <w:sz w:val="20"/>
              </w:rPr>
            </w:pPr>
            <w:proofErr w:type="spellStart"/>
            <w:r>
              <w:rPr>
                <w:color w:val="FFFFFF"/>
                <w:sz w:val="20"/>
              </w:rPr>
              <w:t>VeryPoor</w:t>
            </w:r>
            <w:proofErr w:type="spellEnd"/>
          </w:p>
        </w:tc>
      </w:tr>
    </w:tbl>
    <w:p w:rsidR="00D1511D" w:rsidRDefault="003F0CB3">
      <w:pPr>
        <w:spacing w:before="152"/>
        <w:ind w:left="1700"/>
        <w:rPr>
          <w:rFonts w:ascii="Myriad Pro"/>
          <w:sz w:val="16"/>
        </w:rPr>
      </w:pPr>
      <w:r>
        <w:rPr>
          <w:rFonts w:ascii="Myriad Pro"/>
          <w:color w:val="231F20"/>
          <w:sz w:val="16"/>
        </w:rPr>
        <w:t xml:space="preserve">Further detail is available in the 2019 Outlook Report available at: </w:t>
      </w:r>
      <w:hyperlink r:id="rId85">
        <w:r>
          <w:rPr>
            <w:rFonts w:ascii="Myriad Pro"/>
            <w:color w:val="1B5BAA"/>
            <w:sz w:val="16"/>
            <w:u w:val="single" w:color="1B5BAA"/>
          </w:rPr>
          <w:t>www.gbrmpa.gov.au</w:t>
        </w:r>
      </w:hyperlink>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spacing w:before="9"/>
        <w:rPr>
          <w:rFonts w:ascii="Myriad Pro"/>
          <w:sz w:val="19"/>
        </w:rPr>
      </w:pPr>
    </w:p>
    <w:p w:rsidR="00D1511D" w:rsidRDefault="003F0CB3">
      <w:pPr>
        <w:ind w:left="1417"/>
        <w:rPr>
          <w:rFonts w:ascii="Myriad Pro"/>
          <w:sz w:val="16"/>
        </w:rPr>
      </w:pPr>
      <w:r>
        <w:rPr>
          <w:rFonts w:ascii="Myriad Pro"/>
          <w:color w:val="231F20"/>
          <w:sz w:val="16"/>
        </w:rPr>
        <w:t xml:space="preserve">40 / </w:t>
      </w:r>
      <w:r>
        <w:rPr>
          <w:rFonts w:ascii="Myriad Pro"/>
          <w:color w:val="005695"/>
          <w:sz w:val="16"/>
        </w:rPr>
        <w:t xml:space="preserve">State Party Report on the state of conservation of the </w:t>
      </w:r>
      <w:r>
        <w:rPr>
          <w:rFonts w:ascii="Myriad Pro"/>
          <w:b/>
          <w:color w:val="005695"/>
          <w:sz w:val="16"/>
        </w:rPr>
        <w:t xml:space="preserve">Great Barrier Reef World Heritage Area (Australia) </w:t>
      </w:r>
      <w:r>
        <w:rPr>
          <w:rFonts w:ascii="Myriad Pro"/>
          <w:color w:val="005695"/>
          <w:sz w:val="16"/>
        </w:rPr>
        <w:t>2019</w:t>
      </w:r>
    </w:p>
    <w:p w:rsidR="00D1511D" w:rsidRDefault="00D1511D">
      <w:pPr>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8"/>
        <w:rPr>
          <w:rFonts w:ascii="Myriad Pro"/>
        </w:rPr>
      </w:pPr>
    </w:p>
    <w:p w:rsidR="00D1511D" w:rsidRDefault="003F0CB3">
      <w:pPr>
        <w:pStyle w:val="BodyText"/>
        <w:spacing w:before="98" w:line="280" w:lineRule="auto"/>
        <w:ind w:left="1700" w:right="1422"/>
      </w:pPr>
      <w:r>
        <w:rPr>
          <w:color w:val="231F20"/>
        </w:rPr>
        <w:t>many are located on the adjacent coast and islands and are important to the Region’s heritage. Some heritage components have been documented (for example, on the Keppel Island g</w:t>
      </w:r>
      <w:r>
        <w:rPr>
          <w:color w:val="231F20"/>
        </w:rPr>
        <w:t>roup, Lizard Island and the Whitsunday islands). Strengthening ‘ask first’ principles and protocols for consultation with Indigenous people will improve progress against this target.</w:t>
      </w:r>
    </w:p>
    <w:p w:rsidR="00D1511D" w:rsidRDefault="003F0CB3">
      <w:pPr>
        <w:pStyle w:val="BodyText"/>
        <w:spacing w:before="167" w:line="280" w:lineRule="auto"/>
        <w:ind w:left="1700" w:right="1585"/>
      </w:pPr>
      <w:r>
        <w:rPr>
          <w:color w:val="231F20"/>
        </w:rPr>
        <w:t>Traditional Owners also validated indicators for the Reef 2050 Integrated</w:t>
      </w:r>
      <w:r>
        <w:rPr>
          <w:color w:val="231F20"/>
        </w:rPr>
        <w:t xml:space="preserve"> Monitoring and Reporting Program (</w:t>
      </w:r>
      <w:proofErr w:type="spellStart"/>
      <w:r>
        <w:rPr>
          <w:color w:val="231F20"/>
        </w:rPr>
        <w:t>RIMReP</w:t>
      </w:r>
      <w:proofErr w:type="spellEnd"/>
      <w:r>
        <w:rPr>
          <w:color w:val="231F20"/>
        </w:rPr>
        <w:t xml:space="preserve">) targets and objectives under the </w:t>
      </w:r>
      <w:hyperlink r:id="rId86">
        <w:r>
          <w:rPr>
            <w:color w:val="1B5BAA"/>
            <w:u w:val="single" w:color="1B5BAA"/>
          </w:rPr>
          <w:t>Strong Peoples – Strong Country framework</w:t>
        </w:r>
      </w:hyperlink>
      <w:r>
        <w:rPr>
          <w:color w:val="231F20"/>
        </w:rPr>
        <w:t>.</w:t>
      </w:r>
    </w:p>
    <w:p w:rsidR="00D1511D" w:rsidRDefault="003F0CB3">
      <w:pPr>
        <w:pStyle w:val="Heading4"/>
        <w:spacing w:before="166"/>
      </w:pPr>
      <w:r>
        <w:rPr>
          <w:color w:val="58595B"/>
        </w:rPr>
        <w:t>Progress Summary</w:t>
      </w:r>
    </w:p>
    <w:p w:rsidR="00D1511D" w:rsidRDefault="003F0CB3">
      <w:pPr>
        <w:pStyle w:val="BodyText"/>
        <w:spacing w:before="205" w:line="280" w:lineRule="auto"/>
        <w:ind w:left="1700" w:right="1444"/>
      </w:pPr>
      <w:r>
        <w:rPr>
          <w:color w:val="231F20"/>
        </w:rPr>
        <w:t>As discu</w:t>
      </w:r>
      <w:r>
        <w:rPr>
          <w:color w:val="231F20"/>
        </w:rPr>
        <w:t xml:space="preserve">ssed in section 3.2.2, the Department of the Environment and Energy in 2017 commissioned a consortium of Indigenous and research </w:t>
      </w:r>
      <w:proofErr w:type="spellStart"/>
      <w:r>
        <w:rPr>
          <w:color w:val="231F20"/>
        </w:rPr>
        <w:t>organisations</w:t>
      </w:r>
      <w:proofErr w:type="spellEnd"/>
      <w:r>
        <w:rPr>
          <w:color w:val="231F20"/>
        </w:rPr>
        <w:t xml:space="preserve"> to engage with Reef </w:t>
      </w:r>
      <w:r>
        <w:rPr>
          <w:color w:val="231F20"/>
          <w:spacing w:val="-3"/>
        </w:rPr>
        <w:t xml:space="preserve">Traditional </w:t>
      </w:r>
      <w:r>
        <w:rPr>
          <w:color w:val="231F20"/>
        </w:rPr>
        <w:t>Owners to better understand and reflect their aspirations for the Reef. The Conso</w:t>
      </w:r>
      <w:r>
        <w:rPr>
          <w:color w:val="231F20"/>
        </w:rPr>
        <w:t xml:space="preserve">rtium prepared a report, titled </w:t>
      </w:r>
      <w:hyperlink r:id="rId87">
        <w:r>
          <w:rPr>
            <w:i/>
            <w:color w:val="1B5BAA"/>
            <w:spacing w:val="-3"/>
            <w:u w:val="single" w:color="1B5BAA"/>
          </w:rPr>
          <w:t xml:space="preserve">Traditional </w:t>
        </w:r>
      </w:hyperlink>
      <w:r>
        <w:rPr>
          <w:i/>
          <w:color w:val="1B5BAA"/>
          <w:spacing w:val="-3"/>
        </w:rPr>
        <w:t xml:space="preserve"> </w:t>
      </w:r>
      <w:hyperlink r:id="rId88">
        <w:r>
          <w:rPr>
            <w:i/>
            <w:color w:val="1B5BAA"/>
            <w:u w:val="single" w:color="1B5BAA"/>
          </w:rPr>
          <w:t>Owners of the Great Barrier Reef: The next Generation of Reef 2050 Plan Actions</w:t>
        </w:r>
      </w:hyperlink>
      <w:r>
        <w:rPr>
          <w:color w:val="231F20"/>
        </w:rPr>
        <w:t xml:space="preserve">, which provides advice from Reef </w:t>
      </w:r>
      <w:r>
        <w:rPr>
          <w:color w:val="231F20"/>
          <w:spacing w:val="-3"/>
        </w:rPr>
        <w:t xml:space="preserve">Traditional </w:t>
      </w:r>
      <w:r>
        <w:rPr>
          <w:color w:val="231F20"/>
        </w:rPr>
        <w:t xml:space="preserve">Owners about their aspirations for involvement in the management, governance and protection of </w:t>
      </w:r>
      <w:r>
        <w:rPr>
          <w:color w:val="231F20"/>
          <w:spacing w:val="-5"/>
        </w:rPr>
        <w:t xml:space="preserve">the </w:t>
      </w:r>
      <w:r>
        <w:rPr>
          <w:color w:val="231F20"/>
        </w:rPr>
        <w:t>Reef.</w:t>
      </w:r>
      <w:r>
        <w:rPr>
          <w:color w:val="231F20"/>
        </w:rPr>
        <w:t xml:space="preserve"> The report is an important contribution to the comprehensive review of the Reef 2050 Plan in</w:t>
      </w:r>
      <w:r>
        <w:rPr>
          <w:color w:val="231F20"/>
          <w:spacing w:val="-24"/>
        </w:rPr>
        <w:t xml:space="preserve"> </w:t>
      </w:r>
      <w:r>
        <w:rPr>
          <w:color w:val="231F20"/>
        </w:rPr>
        <w:t>2020.</w:t>
      </w:r>
    </w:p>
    <w:p w:rsidR="00D1511D" w:rsidRDefault="003F0CB3">
      <w:pPr>
        <w:pStyle w:val="BodyText"/>
        <w:spacing w:before="165" w:line="280" w:lineRule="auto"/>
        <w:ind w:left="1700" w:right="1663"/>
      </w:pPr>
      <w:r>
        <w:rPr>
          <w:color w:val="231F20"/>
        </w:rPr>
        <w:t xml:space="preserve">In 2019 the Marine </w:t>
      </w:r>
      <w:r>
        <w:rPr>
          <w:color w:val="231F20"/>
          <w:spacing w:val="-3"/>
        </w:rPr>
        <w:t xml:space="preserve">Park </w:t>
      </w:r>
      <w:r>
        <w:rPr>
          <w:color w:val="231F20"/>
        </w:rPr>
        <w:t xml:space="preserve">Authority released its </w:t>
      </w:r>
      <w:hyperlink r:id="rId89">
        <w:r>
          <w:rPr>
            <w:color w:val="1B5BAA"/>
            <w:u w:val="single" w:color="1B5BAA"/>
          </w:rPr>
          <w:t xml:space="preserve">Aboriginal and </w:t>
        </w:r>
        <w:r>
          <w:rPr>
            <w:color w:val="1B5BAA"/>
            <w:spacing w:val="-5"/>
            <w:u w:val="single" w:color="1B5BAA"/>
          </w:rPr>
          <w:t xml:space="preserve">Torres </w:t>
        </w:r>
        <w:r>
          <w:rPr>
            <w:color w:val="1B5BAA"/>
            <w:u w:val="single" w:color="1B5BAA"/>
          </w:rPr>
          <w:t>Strait Islander Heritage Strategy</w:t>
        </w:r>
      </w:hyperlink>
      <w:r>
        <w:rPr>
          <w:color w:val="1B5BAA"/>
        </w:rPr>
        <w:t xml:space="preserve"> </w:t>
      </w:r>
      <w:r>
        <w:rPr>
          <w:color w:val="231F20"/>
        </w:rPr>
        <w:t xml:space="preserve">for the Marine </w:t>
      </w:r>
      <w:r>
        <w:rPr>
          <w:color w:val="231F20"/>
          <w:spacing w:val="-3"/>
        </w:rPr>
        <w:t xml:space="preserve">Park, </w:t>
      </w:r>
      <w:r>
        <w:rPr>
          <w:color w:val="231F20"/>
        </w:rPr>
        <w:t xml:space="preserve">which contains aspirations and actions for sea country management. The strategy addresses </w:t>
      </w:r>
      <w:r>
        <w:rPr>
          <w:color w:val="231F20"/>
          <w:spacing w:val="-4"/>
        </w:rPr>
        <w:t xml:space="preserve">many </w:t>
      </w:r>
      <w:r>
        <w:rPr>
          <w:color w:val="231F20"/>
        </w:rPr>
        <w:t>actions under</w:t>
      </w:r>
      <w:r>
        <w:rPr>
          <w:color w:val="231F20"/>
        </w:rPr>
        <w:t xml:space="preserve"> the Reef 2050 Plan and commits to increasing co-management of the Reef. The strategy will lead to better understanding, protection and promotion of Indigenous heritage values of the Reef. Indigenous</w:t>
      </w:r>
    </w:p>
    <w:p w:rsidR="00D1511D" w:rsidRDefault="003F0CB3">
      <w:pPr>
        <w:pStyle w:val="BodyText"/>
        <w:spacing w:line="280" w:lineRule="auto"/>
        <w:ind w:left="1700" w:right="1359"/>
      </w:pPr>
      <w:r>
        <w:rPr>
          <w:color w:val="231F20"/>
        </w:rPr>
        <w:t xml:space="preserve">community engagement is fostered through membership on the Marine Park Authority board and the </w:t>
      </w:r>
      <w:hyperlink r:id="rId90">
        <w:r>
          <w:rPr>
            <w:color w:val="1B5BAA"/>
            <w:u w:val="single" w:color="1B5BAA"/>
          </w:rPr>
          <w:t>Indi</w:t>
        </w:r>
        <w:r>
          <w:rPr>
            <w:color w:val="1B5BAA"/>
            <w:u w:val="single" w:color="1B5BAA"/>
          </w:rPr>
          <w:t>genous</w:t>
        </w:r>
      </w:hyperlink>
      <w:r>
        <w:rPr>
          <w:color w:val="1B5BAA"/>
        </w:rPr>
        <w:t xml:space="preserve"> </w:t>
      </w:r>
      <w:hyperlink r:id="rId91">
        <w:r>
          <w:rPr>
            <w:color w:val="1B5BAA"/>
            <w:u w:val="single" w:color="1B5BAA"/>
          </w:rPr>
          <w:t>Reef Advisory Committee</w:t>
        </w:r>
      </w:hyperlink>
      <w:r>
        <w:rPr>
          <w:color w:val="231F20"/>
        </w:rPr>
        <w:t>, science and management workshops for Traditional Owners, compliance</w:t>
      </w:r>
      <w:r>
        <w:rPr>
          <w:color w:val="231F20"/>
        </w:rPr>
        <w:t xml:space="preserve"> training, monitoring and traditional ecological knowledge projects.</w:t>
      </w:r>
    </w:p>
    <w:p w:rsidR="00D1511D" w:rsidRDefault="003F0CB3">
      <w:pPr>
        <w:pStyle w:val="BodyText"/>
        <w:spacing w:before="164" w:line="280" w:lineRule="auto"/>
        <w:ind w:left="1700" w:right="1359"/>
      </w:pPr>
      <w:r>
        <w:rPr>
          <w:color w:val="231F20"/>
        </w:rPr>
        <w:t>Through the partnership between the Australian</w:t>
      </w:r>
      <w:r>
        <w:rPr>
          <w:color w:val="231F20"/>
          <w:spacing w:val="-3"/>
        </w:rPr>
        <w:t xml:space="preserve"> Government’s </w:t>
      </w:r>
      <w:r>
        <w:rPr>
          <w:color w:val="231F20"/>
        </w:rPr>
        <w:t xml:space="preserve">Reef </w:t>
      </w:r>
      <w:r>
        <w:rPr>
          <w:color w:val="231F20"/>
          <w:spacing w:val="-6"/>
        </w:rPr>
        <w:t xml:space="preserve">Trust </w:t>
      </w:r>
      <w:r>
        <w:rPr>
          <w:color w:val="231F20"/>
        </w:rPr>
        <w:t xml:space="preserve">and the Great Barrier Reef Foundation, the Foundation has committed to making the largest single investment in </w:t>
      </w:r>
      <w:r>
        <w:rPr>
          <w:color w:val="231F20"/>
          <w:spacing w:val="-3"/>
        </w:rPr>
        <w:t>Tradi</w:t>
      </w:r>
      <w:r>
        <w:rPr>
          <w:color w:val="231F20"/>
          <w:spacing w:val="-3"/>
        </w:rPr>
        <w:t xml:space="preserve">tional </w:t>
      </w:r>
      <w:r>
        <w:rPr>
          <w:color w:val="231F20"/>
        </w:rPr>
        <w:t xml:space="preserve">Owner Reef protection, amounting to $42 million over six years, </w:t>
      </w:r>
      <w:proofErr w:type="spellStart"/>
      <w:r>
        <w:rPr>
          <w:color w:val="231F20"/>
        </w:rPr>
        <w:t>equalling</w:t>
      </w:r>
      <w:proofErr w:type="spellEnd"/>
      <w:r>
        <w:rPr>
          <w:color w:val="231F20"/>
        </w:rPr>
        <w:t xml:space="preserve"> 10 per cent of the total partnership funding. In April 2019</w:t>
      </w:r>
    </w:p>
    <w:p w:rsidR="00D1511D" w:rsidRDefault="003F0CB3">
      <w:pPr>
        <w:pStyle w:val="BodyText"/>
        <w:spacing w:line="280" w:lineRule="auto"/>
        <w:ind w:left="1700" w:right="1611"/>
      </w:pPr>
      <w:r>
        <w:rPr>
          <w:color w:val="231F20"/>
        </w:rPr>
        <w:t xml:space="preserve">an investment of $1.8 million was announced for 18 Reef protection projects designed to empower Traditional Owners </w:t>
      </w:r>
      <w:r>
        <w:rPr>
          <w:color w:val="231F20"/>
        </w:rPr>
        <w:t>to expand their Reef protection activities in three priority areas: Indigenous junior ranger programs; country-based planning; and implementation of existing land and sea country plans.</w:t>
      </w:r>
    </w:p>
    <w:p w:rsidR="00D1511D" w:rsidRDefault="003F0CB3">
      <w:pPr>
        <w:pStyle w:val="BodyText"/>
        <w:spacing w:before="166" w:line="280" w:lineRule="auto"/>
        <w:ind w:left="1700" w:right="1460"/>
      </w:pPr>
      <w:r>
        <w:rPr>
          <w:color w:val="231F20"/>
        </w:rPr>
        <w:t>The</w:t>
      </w:r>
      <w:r>
        <w:rPr>
          <w:color w:val="231F20"/>
          <w:spacing w:val="-4"/>
        </w:rPr>
        <w:t xml:space="preserve"> </w:t>
      </w:r>
      <w:r>
        <w:rPr>
          <w:color w:val="231F20"/>
        </w:rPr>
        <w:t>Australian</w:t>
      </w:r>
      <w:r>
        <w:rPr>
          <w:color w:val="231F20"/>
          <w:spacing w:val="-3"/>
        </w:rPr>
        <w:t xml:space="preserve"> </w:t>
      </w:r>
      <w:r>
        <w:rPr>
          <w:color w:val="231F20"/>
        </w:rPr>
        <w:t>Institute</w:t>
      </w:r>
      <w:r>
        <w:rPr>
          <w:color w:val="231F20"/>
          <w:spacing w:val="-3"/>
        </w:rPr>
        <w:t xml:space="preserve"> </w:t>
      </w:r>
      <w:r>
        <w:rPr>
          <w:color w:val="231F20"/>
        </w:rPr>
        <w:t>of</w:t>
      </w:r>
      <w:r>
        <w:rPr>
          <w:color w:val="231F20"/>
          <w:spacing w:val="-3"/>
        </w:rPr>
        <w:t xml:space="preserve"> </w:t>
      </w:r>
      <w:r>
        <w:rPr>
          <w:color w:val="231F20"/>
        </w:rPr>
        <w:t>Marine</w:t>
      </w:r>
      <w:r>
        <w:rPr>
          <w:color w:val="231F20"/>
          <w:spacing w:val="-3"/>
        </w:rPr>
        <w:t xml:space="preserve"> </w:t>
      </w:r>
      <w:r>
        <w:rPr>
          <w:color w:val="231F20"/>
        </w:rPr>
        <w:t>Science</w:t>
      </w:r>
      <w:r>
        <w:rPr>
          <w:color w:val="231F20"/>
          <w:spacing w:val="-3"/>
        </w:rPr>
        <w:t xml:space="preserve"> </w:t>
      </w:r>
      <w:r>
        <w:rPr>
          <w:color w:val="231F20"/>
        </w:rPr>
        <w:t>(AIMS)</w:t>
      </w:r>
      <w:r>
        <w:rPr>
          <w:color w:val="231F20"/>
          <w:spacing w:val="-3"/>
        </w:rPr>
        <w:t xml:space="preserve"> </w:t>
      </w:r>
      <w:r>
        <w:rPr>
          <w:color w:val="231F20"/>
        </w:rPr>
        <w:t>is</w:t>
      </w:r>
      <w:r>
        <w:rPr>
          <w:color w:val="231F20"/>
          <w:spacing w:val="-3"/>
        </w:rPr>
        <w:t xml:space="preserve"> </w:t>
      </w:r>
      <w:r>
        <w:rPr>
          <w:color w:val="231F20"/>
        </w:rPr>
        <w:t>implementing</w:t>
      </w:r>
      <w:r>
        <w:rPr>
          <w:color w:val="231F20"/>
          <w:spacing w:val="-3"/>
        </w:rPr>
        <w:t xml:space="preserve"> </w:t>
      </w:r>
      <w:r>
        <w:rPr>
          <w:color w:val="231F20"/>
        </w:rPr>
        <w:t>an</w:t>
      </w:r>
      <w:r>
        <w:rPr>
          <w:color w:val="231F20"/>
          <w:spacing w:val="-3"/>
        </w:rPr>
        <w:t xml:space="preserve"> </w:t>
      </w:r>
      <w:r>
        <w:rPr>
          <w:color w:val="231F20"/>
        </w:rPr>
        <w:t>I</w:t>
      </w:r>
      <w:r>
        <w:rPr>
          <w:color w:val="231F20"/>
        </w:rPr>
        <w:t>ndigenous</w:t>
      </w:r>
      <w:r>
        <w:rPr>
          <w:color w:val="231F20"/>
          <w:spacing w:val="-3"/>
        </w:rPr>
        <w:t xml:space="preserve"> </w:t>
      </w:r>
      <w:r>
        <w:rPr>
          <w:color w:val="231F20"/>
        </w:rPr>
        <w:t>Partnership</w:t>
      </w:r>
      <w:r>
        <w:rPr>
          <w:color w:val="231F20"/>
          <w:spacing w:val="-3"/>
        </w:rPr>
        <w:t xml:space="preserve"> </w:t>
      </w:r>
      <w:r>
        <w:rPr>
          <w:color w:val="231F20"/>
        </w:rPr>
        <w:t>Plan</w:t>
      </w:r>
      <w:r>
        <w:rPr>
          <w:color w:val="231F20"/>
          <w:spacing w:val="-3"/>
        </w:rPr>
        <w:t xml:space="preserve"> </w:t>
      </w:r>
      <w:r>
        <w:rPr>
          <w:color w:val="231F20"/>
        </w:rPr>
        <w:t>to</w:t>
      </w:r>
      <w:r>
        <w:rPr>
          <w:color w:val="231F20"/>
          <w:spacing w:val="-3"/>
        </w:rPr>
        <w:t xml:space="preserve"> </w:t>
      </w:r>
      <w:r>
        <w:rPr>
          <w:color w:val="231F20"/>
        </w:rPr>
        <w:t>work</w:t>
      </w:r>
      <w:r>
        <w:rPr>
          <w:color w:val="231F20"/>
          <w:spacing w:val="-3"/>
        </w:rPr>
        <w:t xml:space="preserve"> with </w:t>
      </w:r>
      <w:r>
        <w:rPr>
          <w:color w:val="231F20"/>
        </w:rPr>
        <w:t xml:space="preserve">Reef's </w:t>
      </w:r>
      <w:r>
        <w:rPr>
          <w:color w:val="231F20"/>
          <w:spacing w:val="-3"/>
        </w:rPr>
        <w:t xml:space="preserve">Traditional </w:t>
      </w:r>
      <w:r>
        <w:rPr>
          <w:color w:val="231F20"/>
        </w:rPr>
        <w:t xml:space="preserve">Owners in areas of mutual interest, to develop genuine research and monitoring partnerships, to combine excellent science with Indigenous knowledge, insights, capability and capacity, and to generate the best possible knowledge-base to inform land and sea </w:t>
      </w:r>
      <w:r>
        <w:rPr>
          <w:color w:val="231F20"/>
        </w:rPr>
        <w:t>management based</w:t>
      </w:r>
      <w:r>
        <w:rPr>
          <w:color w:val="231F20"/>
          <w:spacing w:val="-1"/>
        </w:rPr>
        <w:t xml:space="preserve"> </w:t>
      </w:r>
      <w:r>
        <w:rPr>
          <w:color w:val="231F20"/>
        </w:rPr>
        <w:t>practice.</w:t>
      </w:r>
    </w:p>
    <w:p w:rsidR="00D1511D" w:rsidRDefault="003F0CB3">
      <w:pPr>
        <w:pStyle w:val="BodyText"/>
        <w:spacing w:before="167" w:line="280" w:lineRule="auto"/>
        <w:ind w:left="1700" w:right="1359"/>
      </w:pPr>
      <w:r>
        <w:rPr>
          <w:color w:val="231F20"/>
        </w:rPr>
        <w:t xml:space="preserve">Partnerships with </w:t>
      </w:r>
      <w:r>
        <w:rPr>
          <w:color w:val="231F20"/>
          <w:spacing w:val="-3"/>
        </w:rPr>
        <w:t xml:space="preserve">Traditional </w:t>
      </w:r>
      <w:r>
        <w:rPr>
          <w:color w:val="231F20"/>
        </w:rPr>
        <w:t xml:space="preserve">Owners are delivering benefits for Aboriginal and </w:t>
      </w:r>
      <w:r>
        <w:rPr>
          <w:color w:val="231F20"/>
          <w:spacing w:val="-5"/>
        </w:rPr>
        <w:t xml:space="preserve">Torres </w:t>
      </w:r>
      <w:r>
        <w:rPr>
          <w:color w:val="231F20"/>
        </w:rPr>
        <w:t xml:space="preserve">Strait Islander communities and the Reef. This includes the implementation of </w:t>
      </w:r>
      <w:hyperlink r:id="rId92">
        <w:r>
          <w:rPr>
            <w:color w:val="1B5BAA"/>
            <w:spacing w:val="-3"/>
            <w:u w:val="single" w:color="1B5BAA"/>
          </w:rPr>
          <w:t xml:space="preserve">Traditional Use </w:t>
        </w:r>
        <w:r>
          <w:rPr>
            <w:color w:val="1B5BAA"/>
            <w:u w:val="single" w:color="1B5BAA"/>
          </w:rPr>
          <w:t>of Marine Resources Agreements</w:t>
        </w:r>
        <w:r>
          <w:rPr>
            <w:color w:val="1B5BAA"/>
          </w:rPr>
          <w:t xml:space="preserve"> </w:t>
        </w:r>
      </w:hyperlink>
      <w:r>
        <w:rPr>
          <w:color w:val="231F20"/>
        </w:rPr>
        <w:t xml:space="preserve">which cover around 25 per cent of the </w:t>
      </w:r>
      <w:r>
        <w:rPr>
          <w:color w:val="231F20"/>
          <w:spacing w:val="-3"/>
        </w:rPr>
        <w:t xml:space="preserve">property’s </w:t>
      </w:r>
      <w:r>
        <w:rPr>
          <w:color w:val="231F20"/>
        </w:rPr>
        <w:t xml:space="preserve">coastline and support </w:t>
      </w:r>
      <w:r>
        <w:rPr>
          <w:color w:val="231F20"/>
          <w:spacing w:val="-3"/>
        </w:rPr>
        <w:t xml:space="preserve">Traditional </w:t>
      </w:r>
      <w:r>
        <w:rPr>
          <w:color w:val="231F20"/>
        </w:rPr>
        <w:t>Owners involvement in Reef compliance management, research, educati</w:t>
      </w:r>
      <w:r>
        <w:rPr>
          <w:color w:val="231F20"/>
        </w:rPr>
        <w:t>on and youth-</w:t>
      </w:r>
      <w:proofErr w:type="spellStart"/>
      <w:r>
        <w:rPr>
          <w:color w:val="231F20"/>
        </w:rPr>
        <w:t>focussed</w:t>
      </w:r>
      <w:proofErr w:type="spellEnd"/>
      <w:r>
        <w:rPr>
          <w:color w:val="231F20"/>
        </w:rPr>
        <w:t xml:space="preserve"> activities.</w:t>
      </w:r>
    </w:p>
    <w:p w:rsidR="00D1511D" w:rsidRDefault="003F0CB3">
      <w:pPr>
        <w:pStyle w:val="BodyText"/>
        <w:spacing w:before="166" w:line="280" w:lineRule="auto"/>
        <w:ind w:left="1700" w:right="1484"/>
      </w:pPr>
      <w:r>
        <w:rPr>
          <w:color w:val="231F20"/>
        </w:rPr>
        <w:t xml:space="preserve">Partnerships with Indigenous </w:t>
      </w:r>
      <w:proofErr w:type="spellStart"/>
      <w:r>
        <w:rPr>
          <w:color w:val="231F20"/>
        </w:rPr>
        <w:t>organisations</w:t>
      </w:r>
      <w:proofErr w:type="spellEnd"/>
      <w:r>
        <w:rPr>
          <w:color w:val="231F20"/>
        </w:rPr>
        <w:t xml:space="preserve"> are also delivering on-ground water quality outcomes for the Reef such as innovative denitrification bioreactor trials to remediate water quality and prevent nutrients from leavin</w:t>
      </w:r>
      <w:r>
        <w:rPr>
          <w:color w:val="231F20"/>
        </w:rPr>
        <w:t xml:space="preserve">g the farm. In the Cape York region, the </w:t>
      </w:r>
      <w:proofErr w:type="spellStart"/>
      <w:r>
        <w:rPr>
          <w:color w:val="231F20"/>
        </w:rPr>
        <w:t>Yalanji</w:t>
      </w:r>
      <w:proofErr w:type="spellEnd"/>
      <w:r>
        <w:rPr>
          <w:color w:val="231F20"/>
        </w:rPr>
        <w:t xml:space="preserve"> Joint Venture is delivering on-ground gully remediation to reduce sediment loss, preserve cultural heritage significance and empower the local community while building local capacity to deliver major investm</w:t>
      </w:r>
      <w:r>
        <w:rPr>
          <w:color w:val="231F20"/>
        </w:rPr>
        <w:t>ents.</w:t>
      </w:r>
    </w:p>
    <w:p w:rsidR="00D1511D" w:rsidRDefault="003F0CB3">
      <w:pPr>
        <w:pStyle w:val="BodyText"/>
        <w:spacing w:before="166" w:line="280" w:lineRule="auto"/>
        <w:ind w:left="1700" w:right="1422"/>
      </w:pPr>
      <w:r>
        <w:rPr>
          <w:color w:val="231F20"/>
        </w:rPr>
        <w:t>In 2017, the Queensland Government boosted funding for the Indigenous Land and Sea Ranger Program, bringing the number of funded rangers to over 100 across 23 regional and remote communities. The $12 million per annum program, administered by the Dep</w:t>
      </w:r>
      <w:r>
        <w:rPr>
          <w:color w:val="231F20"/>
        </w:rPr>
        <w:t>artment of Environment and Science, assists Indigenous Land</w:t>
      </w: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3F0CB3">
      <w:pPr>
        <w:spacing w:before="162"/>
        <w:ind w:right="1415"/>
        <w:jc w:val="right"/>
        <w:rPr>
          <w:rFonts w:ascii="Myriad Pro"/>
          <w:sz w:val="16"/>
        </w:rPr>
      </w:pPr>
      <w:r>
        <w:rPr>
          <w:rFonts w:ascii="Myriad Pro"/>
          <w:color w:val="231F20"/>
          <w:sz w:val="16"/>
        </w:rPr>
        <w:t>41</w:t>
      </w:r>
    </w:p>
    <w:p w:rsidR="00D1511D" w:rsidRDefault="00D1511D">
      <w:pPr>
        <w:jc w:val="right"/>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8"/>
        <w:rPr>
          <w:rFonts w:ascii="Myriad Pro"/>
        </w:rPr>
      </w:pPr>
    </w:p>
    <w:p w:rsidR="00D1511D" w:rsidRDefault="003F0CB3">
      <w:pPr>
        <w:pStyle w:val="BodyText"/>
        <w:spacing w:before="98" w:line="280" w:lineRule="auto"/>
        <w:ind w:left="1700" w:right="1470"/>
      </w:pPr>
      <w:r>
        <w:rPr>
          <w:color w:val="231F20"/>
        </w:rPr>
        <w:t>and Sea Ranger groups to conserve Queensland’s important ecosystems and Aboriginal and Torres Strait Islander cultural heritage in locations stretching from Cape York to the Bunya Mountains.</w:t>
      </w:r>
    </w:p>
    <w:p w:rsidR="00D1511D" w:rsidRDefault="003F0CB3">
      <w:pPr>
        <w:pStyle w:val="BodyText"/>
        <w:spacing w:before="169" w:line="280" w:lineRule="auto"/>
        <w:ind w:left="1700" w:right="1337"/>
      </w:pPr>
      <w:r>
        <w:rPr>
          <w:color w:val="231F20"/>
        </w:rPr>
        <w:t xml:space="preserve">The Queensland Government has committed to systemic improvements </w:t>
      </w:r>
      <w:r>
        <w:rPr>
          <w:color w:val="231F20"/>
        </w:rPr>
        <w:t xml:space="preserve">in the relationship between Aboriginal and Torres Strait Islander peoples and the Queensland Government. The Queensland Government has specifically </w:t>
      </w:r>
      <w:proofErr w:type="spellStart"/>
      <w:r>
        <w:rPr>
          <w:color w:val="231F20"/>
        </w:rPr>
        <w:t>recognised</w:t>
      </w:r>
      <w:proofErr w:type="spellEnd"/>
      <w:r>
        <w:rPr>
          <w:color w:val="231F20"/>
        </w:rPr>
        <w:t xml:space="preserve"> the rights of Indigenous Queenslanders through the Human Rights Act 2019, including that Indigeno</w:t>
      </w:r>
      <w:r>
        <w:rPr>
          <w:color w:val="231F20"/>
        </w:rPr>
        <w:t>us peoples have the right:</w:t>
      </w:r>
    </w:p>
    <w:p w:rsidR="00D1511D" w:rsidRDefault="003F0CB3">
      <w:pPr>
        <w:pStyle w:val="ListParagraph"/>
        <w:numPr>
          <w:ilvl w:val="0"/>
          <w:numId w:val="6"/>
        </w:numPr>
        <w:tabs>
          <w:tab w:val="left" w:pos="2060"/>
          <w:tab w:val="left" w:pos="2061"/>
        </w:tabs>
        <w:spacing w:before="167"/>
        <w:ind w:hanging="361"/>
        <w:rPr>
          <w:sz w:val="20"/>
        </w:rPr>
      </w:pPr>
      <w:r>
        <w:rPr>
          <w:color w:val="231F20"/>
          <w:sz w:val="20"/>
        </w:rPr>
        <w:t>not to be subjected to forced assimilation or destruction of their culture (article</w:t>
      </w:r>
      <w:r>
        <w:rPr>
          <w:color w:val="231F20"/>
          <w:spacing w:val="-1"/>
          <w:sz w:val="20"/>
        </w:rPr>
        <w:t xml:space="preserve"> </w:t>
      </w:r>
      <w:r>
        <w:rPr>
          <w:color w:val="231F20"/>
          <w:sz w:val="20"/>
        </w:rPr>
        <w:t>8)</w:t>
      </w:r>
    </w:p>
    <w:p w:rsidR="00D1511D" w:rsidRDefault="003F0CB3">
      <w:pPr>
        <w:pStyle w:val="ListParagraph"/>
        <w:numPr>
          <w:ilvl w:val="0"/>
          <w:numId w:val="6"/>
        </w:numPr>
        <w:tabs>
          <w:tab w:val="left" w:pos="2060"/>
          <w:tab w:val="left" w:pos="2061"/>
        </w:tabs>
        <w:spacing w:before="210" w:line="280" w:lineRule="auto"/>
        <w:ind w:right="1480"/>
        <w:rPr>
          <w:sz w:val="20"/>
        </w:rPr>
      </w:pPr>
      <w:r>
        <w:rPr>
          <w:color w:val="231F20"/>
          <w:sz w:val="20"/>
        </w:rPr>
        <w:t>to maintain and strengthen their distinctive spiritual relationship with their traditionally owned or otherwise occupied and used lands, terri</w:t>
      </w:r>
      <w:r>
        <w:rPr>
          <w:color w:val="231F20"/>
          <w:sz w:val="20"/>
        </w:rPr>
        <w:t>tories, waters and coastal seas (article 25)</w:t>
      </w:r>
    </w:p>
    <w:p w:rsidR="00D1511D" w:rsidRDefault="003F0CB3">
      <w:pPr>
        <w:pStyle w:val="ListParagraph"/>
        <w:numPr>
          <w:ilvl w:val="0"/>
          <w:numId w:val="6"/>
        </w:numPr>
        <w:tabs>
          <w:tab w:val="left" w:pos="2060"/>
          <w:tab w:val="left" w:pos="2061"/>
        </w:tabs>
        <w:spacing w:before="168" w:line="280" w:lineRule="auto"/>
        <w:ind w:right="1739"/>
        <w:rPr>
          <w:sz w:val="20"/>
        </w:rPr>
      </w:pPr>
      <w:r>
        <w:rPr>
          <w:color w:val="231F20"/>
          <w:sz w:val="20"/>
        </w:rPr>
        <w:t xml:space="preserve">to conserve and protect the environment and the productive capacity of their lands, territories and </w:t>
      </w:r>
      <w:r>
        <w:rPr>
          <w:color w:val="231F20"/>
          <w:spacing w:val="-3"/>
          <w:sz w:val="20"/>
        </w:rPr>
        <w:t xml:space="preserve">waters </w:t>
      </w:r>
      <w:r>
        <w:rPr>
          <w:color w:val="231F20"/>
          <w:sz w:val="20"/>
        </w:rPr>
        <w:t>(article 29)</w:t>
      </w:r>
    </w:p>
    <w:p w:rsidR="00D1511D" w:rsidRDefault="003F0CB3">
      <w:pPr>
        <w:pStyle w:val="ListParagraph"/>
        <w:numPr>
          <w:ilvl w:val="0"/>
          <w:numId w:val="6"/>
        </w:numPr>
        <w:tabs>
          <w:tab w:val="left" w:pos="2060"/>
          <w:tab w:val="left" w:pos="2061"/>
        </w:tabs>
        <w:spacing w:before="169" w:line="280" w:lineRule="auto"/>
        <w:ind w:right="1966"/>
        <w:rPr>
          <w:sz w:val="20"/>
        </w:rPr>
      </w:pPr>
      <w:r>
        <w:rPr>
          <w:color w:val="231F20"/>
          <w:sz w:val="20"/>
        </w:rPr>
        <w:t>to maintain, control, protect and develop their cultural heritage, traditional knowledge an</w:t>
      </w:r>
      <w:r>
        <w:rPr>
          <w:color w:val="231F20"/>
          <w:sz w:val="20"/>
        </w:rPr>
        <w:t>d</w:t>
      </w:r>
      <w:r>
        <w:rPr>
          <w:color w:val="231F20"/>
          <w:spacing w:val="-23"/>
          <w:sz w:val="20"/>
        </w:rPr>
        <w:t xml:space="preserve"> </w:t>
      </w:r>
      <w:r>
        <w:rPr>
          <w:color w:val="231F20"/>
          <w:sz w:val="20"/>
        </w:rPr>
        <w:t>traditional cultural expressions (article</w:t>
      </w:r>
      <w:r>
        <w:rPr>
          <w:color w:val="231F20"/>
          <w:spacing w:val="-1"/>
          <w:sz w:val="20"/>
        </w:rPr>
        <w:t xml:space="preserve"> </w:t>
      </w:r>
      <w:r>
        <w:rPr>
          <w:color w:val="231F20"/>
          <w:sz w:val="20"/>
        </w:rPr>
        <w:t>31).</w:t>
      </w:r>
    </w:p>
    <w:p w:rsidR="00D1511D" w:rsidRDefault="003F0CB3">
      <w:pPr>
        <w:pStyle w:val="BodyText"/>
        <w:spacing w:before="168" w:line="280" w:lineRule="auto"/>
        <w:ind w:left="1700" w:right="1422"/>
      </w:pPr>
      <w:r>
        <w:rPr>
          <w:color w:val="231F20"/>
        </w:rPr>
        <w:t>In July 2019, the Queensland Government announced Tracks to Treaty – A Path to Treaty which will develop a process for state-wide agreement making. Such processes build on successful programs engaging the First Nations peoples of the Reef region, such as t</w:t>
      </w:r>
      <w:r>
        <w:rPr>
          <w:color w:val="231F20"/>
        </w:rPr>
        <w:t>he Queensland Indigenous Land and Sea Ranger Program.</w:t>
      </w:r>
    </w:p>
    <w:p w:rsidR="00D1511D" w:rsidRDefault="00D1511D">
      <w:pPr>
        <w:pStyle w:val="BodyText"/>
        <w:spacing w:before="5"/>
        <w:rPr>
          <w:sz w:val="29"/>
        </w:rPr>
      </w:pPr>
    </w:p>
    <w:p w:rsidR="00D1511D" w:rsidRDefault="003F0CB3">
      <w:pPr>
        <w:pStyle w:val="Heading3"/>
        <w:ind w:left="1700"/>
      </w:pPr>
      <w:r>
        <w:rPr>
          <w:color w:val="005695"/>
        </w:rPr>
        <w:t>4.3.2d Water quality</w:t>
      </w:r>
    </w:p>
    <w:p w:rsidR="00D1511D" w:rsidRDefault="003F0CB3">
      <w:pPr>
        <w:pStyle w:val="BodyText"/>
        <w:spacing w:before="196" w:line="280" w:lineRule="auto"/>
        <w:ind w:left="1700" w:right="1600"/>
      </w:pPr>
      <w:r>
        <w:rPr>
          <w:color w:val="231F20"/>
        </w:rPr>
        <w:t xml:space="preserve">At its 2017 meeting in Krakow, Poland, the World Heritage Committee welcomed the progress made since the inception of the Reef 2050 Plan in </w:t>
      </w:r>
      <w:proofErr w:type="gramStart"/>
      <w:r>
        <w:rPr>
          <w:color w:val="231F20"/>
        </w:rPr>
        <w:t>2015, but</w:t>
      </w:r>
      <w:proofErr w:type="gramEnd"/>
      <w:r>
        <w:rPr>
          <w:color w:val="231F20"/>
        </w:rPr>
        <w:t xml:space="preserve"> noted progress towards the water quality targets was slow. Poor water quality is a large, system-wide chal</w:t>
      </w:r>
      <w:r>
        <w:rPr>
          <w:color w:val="231F20"/>
        </w:rPr>
        <w:t>lenge, with action needed to reduce nutrient, pesticide and sediment loads that are impacting the ecosystems of the Great Barrier Reef.</w:t>
      </w:r>
    </w:p>
    <w:p w:rsidR="00D1511D" w:rsidRDefault="00D1511D">
      <w:pPr>
        <w:pStyle w:val="BodyText"/>
        <w:spacing w:before="4"/>
        <w:rPr>
          <w:sz w:val="23"/>
        </w:rPr>
      </w:pPr>
    </w:p>
    <w:p w:rsidR="00D1511D" w:rsidRDefault="003F0CB3">
      <w:pPr>
        <w:pStyle w:val="BodyText"/>
        <w:spacing w:line="280" w:lineRule="auto"/>
        <w:ind w:left="1700" w:right="1442"/>
      </w:pPr>
      <w:r>
        <w:rPr>
          <w:color w:val="231F20"/>
        </w:rPr>
        <w:t>The changes in land management needed require substantial investment and take time to implement. Significant time is ne</w:t>
      </w:r>
      <w:r>
        <w:rPr>
          <w:color w:val="231F20"/>
        </w:rPr>
        <w:t>eded to engage individual land managers and support them in planning for and then making the changes that will improve the quality of water flowing into the Reef lagoon. This means it can be years before we see the results on the ground and for the Reef. F</w:t>
      </w:r>
      <w:r>
        <w:rPr>
          <w:color w:val="231F20"/>
        </w:rPr>
        <w:t xml:space="preserve">or example, a key source of sediments is the extensive gullies in Reef catchments that have eroded over many years. Gully erosion remediation is a high cost and often technically complex undertaking. We are investing more resources and </w:t>
      </w:r>
      <w:proofErr w:type="spellStart"/>
      <w:r>
        <w:rPr>
          <w:color w:val="231F20"/>
        </w:rPr>
        <w:t>trialling</w:t>
      </w:r>
      <w:proofErr w:type="spellEnd"/>
      <w:r>
        <w:rPr>
          <w:color w:val="231F20"/>
        </w:rPr>
        <w:t xml:space="preserve"> new approa</w:t>
      </w:r>
      <w:r>
        <w:rPr>
          <w:color w:val="231F20"/>
        </w:rPr>
        <w:t>ches to more effectively address the required landscape scale changes in the future.</w:t>
      </w:r>
    </w:p>
    <w:p w:rsidR="00D1511D" w:rsidRDefault="00D1511D">
      <w:pPr>
        <w:pStyle w:val="BodyText"/>
        <w:spacing w:before="1"/>
        <w:rPr>
          <w:sz w:val="23"/>
        </w:rPr>
      </w:pPr>
    </w:p>
    <w:p w:rsidR="00D1511D" w:rsidRDefault="003F0CB3">
      <w:pPr>
        <w:pStyle w:val="BodyText"/>
        <w:spacing w:before="1" w:line="280" w:lineRule="auto"/>
        <w:ind w:left="1700" w:right="1467"/>
      </w:pPr>
      <w:r>
        <w:rPr>
          <w:color w:val="231F20"/>
        </w:rPr>
        <w:t xml:space="preserve">The Reef </w:t>
      </w:r>
      <w:r>
        <w:rPr>
          <w:color w:val="231F20"/>
          <w:spacing w:val="-4"/>
        </w:rPr>
        <w:t xml:space="preserve">Water </w:t>
      </w:r>
      <w:r>
        <w:rPr>
          <w:color w:val="231F20"/>
        </w:rPr>
        <w:t xml:space="preserve">Quality Report Card 2017 and 2018 assesses the results of </w:t>
      </w:r>
      <w:r>
        <w:rPr>
          <w:i/>
          <w:color w:val="231F20"/>
        </w:rPr>
        <w:t xml:space="preserve">Reef 2050 </w:t>
      </w:r>
      <w:r>
        <w:rPr>
          <w:i/>
          <w:color w:val="231F20"/>
          <w:spacing w:val="-4"/>
        </w:rPr>
        <w:t xml:space="preserve">Water </w:t>
      </w:r>
      <w:r>
        <w:rPr>
          <w:i/>
          <w:color w:val="231F20"/>
        </w:rPr>
        <w:t xml:space="preserve">Quality Improvement Plan 2017-2022 </w:t>
      </w:r>
      <w:r>
        <w:rPr>
          <w:color w:val="231F20"/>
        </w:rPr>
        <w:t>actions reported up to June 2018. The report c</w:t>
      </w:r>
      <w:r>
        <w:rPr>
          <w:color w:val="231F20"/>
        </w:rPr>
        <w:t>ard results reflect the large scale of change still required to meet water quality targets. The report card shows that we are seeing some encouraging progress towards improving the quality of the water flowing to the Great Barrier Reef. Many landholders ha</w:t>
      </w:r>
      <w:r>
        <w:rPr>
          <w:color w:val="231F20"/>
        </w:rPr>
        <w:t>ve improved their land management practices.</w:t>
      </w:r>
    </w:p>
    <w:p w:rsidR="00D1511D" w:rsidRDefault="00D1511D">
      <w:pPr>
        <w:pStyle w:val="BodyText"/>
        <w:spacing w:before="3"/>
        <w:rPr>
          <w:sz w:val="23"/>
        </w:rPr>
      </w:pPr>
    </w:p>
    <w:p w:rsidR="00D1511D" w:rsidRDefault="003F0CB3">
      <w:pPr>
        <w:pStyle w:val="BodyText"/>
        <w:spacing w:line="280" w:lineRule="auto"/>
        <w:ind w:left="1700" w:right="1467"/>
      </w:pPr>
      <w:r>
        <w:rPr>
          <w:color w:val="231F20"/>
        </w:rPr>
        <w:t xml:space="preserve">With many water quality improvement projects in different stages of implementation, not all water quality improvement outcomes have been captured in the report card. Over coming years, we will see more results </w:t>
      </w:r>
      <w:r>
        <w:rPr>
          <w:color w:val="231F20"/>
        </w:rPr>
        <w:t>being reported from existing and additional programs, including through the regulatory measures, Reef Trust - Great Barrier Reef Foundation Partnership, and further investments under the Australian Government Reef Trust, Queensland Reef Water Quality Progr</w:t>
      </w:r>
      <w:r>
        <w:rPr>
          <w:color w:val="231F20"/>
        </w:rPr>
        <w:t xml:space="preserve">am and Queensland Natural Resource Management Investment Program. Future reporting will better reflect progress towards the Reef 2050 WQIP targets, as the benefits to Reef water quality from investments are </w:t>
      </w:r>
      <w:proofErr w:type="spellStart"/>
      <w:r>
        <w:rPr>
          <w:color w:val="231F20"/>
        </w:rPr>
        <w:t>realised</w:t>
      </w:r>
      <w:proofErr w:type="spellEnd"/>
      <w:r>
        <w:rPr>
          <w:color w:val="231F20"/>
        </w:rPr>
        <w:t>.</w:t>
      </w:r>
    </w:p>
    <w:p w:rsidR="00D1511D" w:rsidRDefault="00D1511D">
      <w:pPr>
        <w:pStyle w:val="BodyText"/>
        <w:rPr>
          <w:sz w:val="24"/>
        </w:rPr>
      </w:pPr>
    </w:p>
    <w:p w:rsidR="00D1511D" w:rsidRDefault="00D1511D">
      <w:pPr>
        <w:pStyle w:val="BodyText"/>
        <w:spacing w:before="3"/>
        <w:rPr>
          <w:sz w:val="32"/>
        </w:rPr>
      </w:pPr>
    </w:p>
    <w:p w:rsidR="00D1511D" w:rsidRDefault="003F0CB3">
      <w:pPr>
        <w:ind w:left="1417"/>
        <w:rPr>
          <w:rFonts w:ascii="Myriad Pro"/>
          <w:sz w:val="16"/>
        </w:rPr>
      </w:pPr>
      <w:r>
        <w:rPr>
          <w:rFonts w:ascii="Myriad Pro"/>
          <w:color w:val="231F20"/>
          <w:sz w:val="16"/>
        </w:rPr>
        <w:t xml:space="preserve">42 / </w:t>
      </w:r>
      <w:r>
        <w:rPr>
          <w:rFonts w:ascii="Myriad Pro"/>
          <w:color w:val="005695"/>
          <w:sz w:val="16"/>
        </w:rPr>
        <w:t xml:space="preserve">State Party Report on the state </w:t>
      </w:r>
      <w:r>
        <w:rPr>
          <w:rFonts w:ascii="Myriad Pro"/>
          <w:color w:val="005695"/>
          <w:sz w:val="16"/>
        </w:rPr>
        <w:t xml:space="preserve">of conservation of the </w:t>
      </w:r>
      <w:r>
        <w:rPr>
          <w:rFonts w:ascii="Myriad Pro"/>
          <w:b/>
          <w:color w:val="005695"/>
          <w:sz w:val="16"/>
        </w:rPr>
        <w:t xml:space="preserve">Great Barrier Reef World Heritage Area (Australia) </w:t>
      </w:r>
      <w:r>
        <w:rPr>
          <w:rFonts w:ascii="Myriad Pro"/>
          <w:color w:val="005695"/>
          <w:sz w:val="16"/>
        </w:rPr>
        <w:t>2019</w:t>
      </w:r>
    </w:p>
    <w:p w:rsidR="00D1511D" w:rsidRDefault="00D1511D">
      <w:pPr>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8"/>
        <w:rPr>
          <w:rFonts w:ascii="Myriad Pro"/>
        </w:rPr>
      </w:pPr>
    </w:p>
    <w:p w:rsidR="00D1511D" w:rsidRDefault="003F0CB3">
      <w:pPr>
        <w:pStyle w:val="BodyText"/>
        <w:spacing w:before="98" w:line="280" w:lineRule="auto"/>
        <w:ind w:left="1707" w:right="1418"/>
      </w:pPr>
      <w:r>
        <w:rPr>
          <w:color w:val="231F20"/>
        </w:rPr>
        <w:t xml:space="preserve">The Queensland Government has introduced additional regulatory measures to improve the quality of water entering the Reef from the catchment (see section </w:t>
      </w:r>
      <w:r>
        <w:rPr>
          <w:color w:val="231F20"/>
        </w:rPr>
        <w:t xml:space="preserve">4.2.5 for additional detail). This will build on the voluntary efforts of landholders to change their farming practices and reduce run-off, setting agricultural minimum practice standards across a number of industries in Reef catchments. This will help to </w:t>
      </w:r>
      <w:r>
        <w:rPr>
          <w:color w:val="231F20"/>
        </w:rPr>
        <w:t>further improve Reef water quality when the new laws come into effect on 1 December 2019.</w:t>
      </w:r>
    </w:p>
    <w:p w:rsidR="00D1511D" w:rsidRDefault="003F0CB3">
      <w:pPr>
        <w:pStyle w:val="BodyText"/>
        <w:spacing w:before="9"/>
        <w:rPr>
          <w:sz w:val="10"/>
        </w:rPr>
      </w:pPr>
      <w:r>
        <w:pict>
          <v:shape id="_x0000_s1245" type="#_x0000_t202" alt="" style="position:absolute;margin-left:84.65pt;margin-top:7.65pt;width:439.7pt;height:52.45pt;z-index:-251618304;mso-wrap-style:square;mso-wrap-edited:f;mso-width-percent:0;mso-height-percent:0;mso-wrap-distance-left:0;mso-wrap-distance-right:0;mso-position-horizontal-relative:page;mso-width-percent:0;mso-height-percent:0;v-text-anchor:top" fillcolor="#e6e7e8" stroked="f">
            <v:textbox inset="0,0,0,0">
              <w:txbxContent>
                <w:p w:rsidR="00D1511D" w:rsidRDefault="003F0CB3">
                  <w:pPr>
                    <w:pStyle w:val="BodyText"/>
                    <w:spacing w:before="127" w:line="280" w:lineRule="auto"/>
                    <w:ind w:left="297" w:right="203"/>
                  </w:pPr>
                  <w:r>
                    <w:rPr>
                      <w:color w:val="231F20"/>
                    </w:rPr>
                    <w:t>Modelling suggests the Reef Regulations could deliver an estimated 80 per cent of the 2025 nutrient target in the Reef 2050 Water Quality Improvement Plan 2017-2022 and just over 16 per cent of the 2025 sediment target.</w:t>
                  </w:r>
                </w:p>
              </w:txbxContent>
            </v:textbox>
            <w10:wrap type="topAndBottom" anchorx="page"/>
          </v:shape>
        </w:pict>
      </w:r>
      <w:r>
        <w:pict>
          <v:shape id="_x0000_s1244" type="#_x0000_t202" alt="" style="position:absolute;margin-left:84.65pt;margin-top:73.15pt;width:439.7pt;height:98.55pt;z-index:-251617280;mso-wrap-style:square;mso-wrap-edited:f;mso-width-percent:0;mso-height-percent:0;mso-wrap-distance-left:0;mso-wrap-distance-right:0;mso-position-horizontal-relative:page;mso-width-percent:0;mso-height-percent:0;v-text-anchor:top" fillcolor="#d2e3de" stroked="f">
            <v:textbox inset="0,0,0,0">
              <w:txbxContent>
                <w:p w:rsidR="00D1511D" w:rsidRDefault="003F0CB3">
                  <w:pPr>
                    <w:pStyle w:val="BodyText"/>
                    <w:spacing w:before="169"/>
                    <w:ind w:left="297"/>
                  </w:pPr>
                  <w:r>
                    <w:rPr>
                      <w:color w:val="231F20"/>
                    </w:rPr>
                    <w:t>Target: By 2025 (compared to a 20</w:t>
                  </w:r>
                  <w:r>
                    <w:rPr>
                      <w:color w:val="231F20"/>
                    </w:rPr>
                    <w:t>13 baseline): MTR WQT1</w:t>
                  </w:r>
                </w:p>
                <w:p w:rsidR="00D1511D" w:rsidRDefault="003F0CB3">
                  <w:pPr>
                    <w:pStyle w:val="BodyText"/>
                    <w:numPr>
                      <w:ilvl w:val="0"/>
                      <w:numId w:val="38"/>
                    </w:numPr>
                    <w:tabs>
                      <w:tab w:val="left" w:pos="657"/>
                      <w:tab w:val="left" w:pos="658"/>
                    </w:tabs>
                    <w:spacing w:before="97"/>
                    <w:ind w:hanging="361"/>
                  </w:pPr>
                  <w:r>
                    <w:rPr>
                      <w:color w:val="231F20"/>
                    </w:rPr>
                    <w:t>60 per cent reduction in anthropogenic end-of catchment dissolved inorganic nitrogen</w:t>
                  </w:r>
                  <w:r>
                    <w:rPr>
                      <w:color w:val="231F20"/>
                      <w:spacing w:val="-4"/>
                    </w:rPr>
                    <w:t xml:space="preserve"> </w:t>
                  </w:r>
                  <w:r>
                    <w:rPr>
                      <w:color w:val="231F20"/>
                    </w:rPr>
                    <w:t>loads.</w:t>
                  </w:r>
                </w:p>
                <w:p w:rsidR="00D1511D" w:rsidRDefault="003F0CB3">
                  <w:pPr>
                    <w:pStyle w:val="BodyText"/>
                    <w:numPr>
                      <w:ilvl w:val="0"/>
                      <w:numId w:val="38"/>
                    </w:numPr>
                    <w:tabs>
                      <w:tab w:val="left" w:pos="657"/>
                      <w:tab w:val="left" w:pos="658"/>
                    </w:tabs>
                    <w:spacing w:before="96"/>
                    <w:ind w:hanging="361"/>
                  </w:pPr>
                  <w:r>
                    <w:rPr>
                      <w:color w:val="231F20"/>
                    </w:rPr>
                    <w:t>25 per cent reduction in anthropogenic end-of catchment fine sediment</w:t>
                  </w:r>
                  <w:r>
                    <w:rPr>
                      <w:color w:val="231F20"/>
                      <w:spacing w:val="-2"/>
                    </w:rPr>
                    <w:t xml:space="preserve"> </w:t>
                  </w:r>
                  <w:r>
                    <w:rPr>
                      <w:color w:val="231F20"/>
                    </w:rPr>
                    <w:t>loads</w:t>
                  </w:r>
                </w:p>
                <w:p w:rsidR="00D1511D" w:rsidRDefault="003F0CB3">
                  <w:pPr>
                    <w:pStyle w:val="BodyText"/>
                    <w:numPr>
                      <w:ilvl w:val="0"/>
                      <w:numId w:val="38"/>
                    </w:numPr>
                    <w:tabs>
                      <w:tab w:val="left" w:pos="657"/>
                      <w:tab w:val="left" w:pos="658"/>
                    </w:tabs>
                    <w:spacing w:before="97"/>
                    <w:ind w:hanging="361"/>
                  </w:pPr>
                  <w:r>
                    <w:rPr>
                      <w:color w:val="231F20"/>
                    </w:rPr>
                    <w:t>20 per cent reduction in particulate nutrient</w:t>
                  </w:r>
                  <w:r>
                    <w:rPr>
                      <w:color w:val="231F20"/>
                      <w:spacing w:val="-1"/>
                    </w:rPr>
                    <w:t xml:space="preserve"> </w:t>
                  </w:r>
                  <w:r>
                    <w:rPr>
                      <w:color w:val="231F20"/>
                    </w:rPr>
                    <w:t>loads</w:t>
                  </w:r>
                </w:p>
                <w:p w:rsidR="00D1511D" w:rsidRDefault="003F0CB3">
                  <w:pPr>
                    <w:pStyle w:val="BodyText"/>
                    <w:numPr>
                      <w:ilvl w:val="0"/>
                      <w:numId w:val="38"/>
                    </w:numPr>
                    <w:tabs>
                      <w:tab w:val="left" w:pos="657"/>
                      <w:tab w:val="left" w:pos="658"/>
                    </w:tabs>
                    <w:spacing w:before="97"/>
                    <w:ind w:hanging="361"/>
                  </w:pPr>
                  <w:r>
                    <w:rPr>
                      <w:color w:val="231F20"/>
                    </w:rPr>
                    <w:t>pesticide target—to protect at least 99% of aquatic species at the</w:t>
                  </w:r>
                  <w:r>
                    <w:rPr>
                      <w:color w:val="231F20"/>
                      <w:spacing w:val="-1"/>
                    </w:rPr>
                    <w:t xml:space="preserve"> </w:t>
                  </w:r>
                  <w:r>
                    <w:rPr>
                      <w:color w:val="231F20"/>
                    </w:rPr>
                    <w:t>end-of-catchments.</w:t>
                  </w:r>
                </w:p>
              </w:txbxContent>
            </v:textbox>
            <w10:wrap type="topAndBottom" anchorx="page"/>
          </v:shape>
        </w:pict>
      </w:r>
    </w:p>
    <w:p w:rsidR="00D1511D" w:rsidRDefault="00D1511D">
      <w:pPr>
        <w:pStyle w:val="BodyText"/>
        <w:spacing w:before="5"/>
        <w:rPr>
          <w:sz w:val="18"/>
        </w:rPr>
      </w:pPr>
    </w:p>
    <w:p w:rsidR="00D1511D" w:rsidRDefault="00D1511D">
      <w:pPr>
        <w:pStyle w:val="BodyText"/>
        <w:spacing w:before="2"/>
        <w:rPr>
          <w:sz w:val="7"/>
        </w:rPr>
      </w:pPr>
    </w:p>
    <w:p w:rsidR="00D1511D" w:rsidRDefault="003F0CB3">
      <w:pPr>
        <w:spacing w:before="98" w:line="280" w:lineRule="auto"/>
        <w:ind w:left="1707" w:right="1759"/>
        <w:rPr>
          <w:sz w:val="20"/>
        </w:rPr>
      </w:pPr>
      <w:r>
        <w:rPr>
          <w:color w:val="231F20"/>
          <w:sz w:val="20"/>
        </w:rPr>
        <w:t xml:space="preserve">These are the targets in the </w:t>
      </w:r>
      <w:hyperlink r:id="rId93">
        <w:r>
          <w:rPr>
            <w:i/>
            <w:color w:val="1B5BAA"/>
            <w:sz w:val="20"/>
            <w:u w:val="single" w:color="1B5BAA"/>
          </w:rPr>
          <w:t>Reef 2050 Water Quality Improvemen</w:t>
        </w:r>
        <w:r>
          <w:rPr>
            <w:i/>
            <w:color w:val="1B5BAA"/>
            <w:sz w:val="20"/>
            <w:u w:val="single" w:color="1B5BAA"/>
          </w:rPr>
          <w:t>t Plan 2017-2022</w:t>
        </w:r>
      </w:hyperlink>
      <w:r>
        <w:rPr>
          <w:color w:val="231F20"/>
          <w:sz w:val="20"/>
        </w:rPr>
        <w:t>, which seeks to improve the quality of water flowing from the catchments adjacent to the Reef. The Plan was updated from high level</w:t>
      </w:r>
    </w:p>
    <w:p w:rsidR="00D1511D" w:rsidRDefault="003F0CB3">
      <w:pPr>
        <w:pStyle w:val="BodyText"/>
        <w:spacing w:line="280" w:lineRule="auto"/>
        <w:ind w:left="1707" w:right="1467"/>
      </w:pPr>
      <w:r>
        <w:rPr>
          <w:color w:val="231F20"/>
        </w:rPr>
        <w:t xml:space="preserve">Reef-wide targets to evidence-based targets for each of the 35 major catchments adjacent to the Reef. This </w:t>
      </w:r>
      <w:r>
        <w:rPr>
          <w:color w:val="231F20"/>
        </w:rPr>
        <w:t xml:space="preserve">helps </w:t>
      </w:r>
      <w:proofErr w:type="spellStart"/>
      <w:r>
        <w:rPr>
          <w:color w:val="231F20"/>
        </w:rPr>
        <w:t>prioritise</w:t>
      </w:r>
      <w:proofErr w:type="spellEnd"/>
      <w:r>
        <w:rPr>
          <w:color w:val="231F20"/>
        </w:rPr>
        <w:t xml:space="preserve"> both the sources of and the types of pollution that pose the highest risks to the Reef, and to each catchment, and identifies the types of actions that will assist in achieving the water quality targets.</w:t>
      </w:r>
    </w:p>
    <w:p w:rsidR="00D1511D" w:rsidRDefault="003F0CB3">
      <w:pPr>
        <w:pStyle w:val="BodyText"/>
        <w:spacing w:before="166" w:line="280" w:lineRule="auto"/>
        <w:ind w:left="1707" w:right="1540"/>
        <w:jc w:val="both"/>
      </w:pPr>
      <w:r>
        <w:rPr>
          <w:color w:val="231F20"/>
          <w:spacing w:val="-4"/>
        </w:rPr>
        <w:t xml:space="preserve">Water </w:t>
      </w:r>
      <w:r>
        <w:rPr>
          <w:color w:val="231F20"/>
        </w:rPr>
        <w:t>quality targets define the re</w:t>
      </w:r>
      <w:r>
        <w:rPr>
          <w:color w:val="231F20"/>
        </w:rPr>
        <w:t xml:space="preserve">quired reductions in sediment, nutrient and dissolved inorganic nitrogen </w:t>
      </w:r>
      <w:r>
        <w:rPr>
          <w:color w:val="231F20"/>
          <w:spacing w:val="-3"/>
        </w:rPr>
        <w:t xml:space="preserve">loads </w:t>
      </w:r>
      <w:r>
        <w:rPr>
          <w:color w:val="231F20"/>
        </w:rPr>
        <w:t>by</w:t>
      </w:r>
      <w:r>
        <w:rPr>
          <w:color w:val="231F20"/>
          <w:spacing w:val="-3"/>
        </w:rPr>
        <w:t xml:space="preserve"> </w:t>
      </w:r>
      <w:r>
        <w:rPr>
          <w:color w:val="231F20"/>
        </w:rPr>
        <w:t>2025</w:t>
      </w:r>
      <w:r>
        <w:rPr>
          <w:color w:val="231F20"/>
          <w:spacing w:val="-3"/>
        </w:rPr>
        <w:t xml:space="preserve"> </w:t>
      </w:r>
      <w:r>
        <w:rPr>
          <w:color w:val="231F20"/>
        </w:rPr>
        <w:t>for</w:t>
      </w:r>
      <w:r>
        <w:rPr>
          <w:color w:val="231F20"/>
          <w:spacing w:val="-2"/>
        </w:rPr>
        <w:t xml:space="preserve"> </w:t>
      </w:r>
      <w:r>
        <w:rPr>
          <w:color w:val="231F20"/>
        </w:rPr>
        <w:t>the</w:t>
      </w:r>
      <w:r>
        <w:rPr>
          <w:color w:val="231F20"/>
          <w:spacing w:val="-3"/>
        </w:rPr>
        <w:t xml:space="preserve"> </w:t>
      </w:r>
      <w:r>
        <w:rPr>
          <w:color w:val="231F20"/>
        </w:rPr>
        <w:t>catchments</w:t>
      </w:r>
      <w:r>
        <w:rPr>
          <w:color w:val="231F20"/>
          <w:spacing w:val="-2"/>
        </w:rPr>
        <w:t xml:space="preserve"> </w:t>
      </w:r>
      <w:r>
        <w:rPr>
          <w:color w:val="231F20"/>
        </w:rPr>
        <w:t>discharging</w:t>
      </w:r>
      <w:r>
        <w:rPr>
          <w:color w:val="231F20"/>
          <w:spacing w:val="-3"/>
        </w:rPr>
        <w:t xml:space="preserve"> </w:t>
      </w:r>
      <w:r>
        <w:rPr>
          <w:color w:val="231F20"/>
        </w:rPr>
        <w:t>to</w:t>
      </w:r>
      <w:r>
        <w:rPr>
          <w:color w:val="231F20"/>
          <w:spacing w:val="-3"/>
        </w:rPr>
        <w:t xml:space="preserve"> </w:t>
      </w:r>
      <w:r>
        <w:rPr>
          <w:color w:val="231F20"/>
        </w:rPr>
        <w:t>the</w:t>
      </w:r>
      <w:r>
        <w:rPr>
          <w:color w:val="231F20"/>
          <w:spacing w:val="-2"/>
        </w:rPr>
        <w:t xml:space="preserve"> </w:t>
      </w:r>
      <w:r>
        <w:rPr>
          <w:color w:val="231F20"/>
        </w:rPr>
        <w:t>Reef.</w:t>
      </w:r>
      <w:r>
        <w:rPr>
          <w:color w:val="231F20"/>
          <w:spacing w:val="-3"/>
        </w:rPr>
        <w:t xml:space="preserve"> </w:t>
      </w:r>
      <w:r>
        <w:rPr>
          <w:color w:val="231F20"/>
        </w:rPr>
        <w:t>The</w:t>
      </w:r>
      <w:r>
        <w:rPr>
          <w:color w:val="231F20"/>
          <w:spacing w:val="-2"/>
        </w:rPr>
        <w:t xml:space="preserve"> </w:t>
      </w:r>
      <w:r>
        <w:rPr>
          <w:color w:val="231F20"/>
        </w:rPr>
        <w:t>pesticide</w:t>
      </w:r>
      <w:r>
        <w:rPr>
          <w:color w:val="231F20"/>
          <w:spacing w:val="-3"/>
        </w:rPr>
        <w:t xml:space="preserve"> </w:t>
      </w:r>
      <w:r>
        <w:rPr>
          <w:color w:val="231F20"/>
        </w:rPr>
        <w:t>target</w:t>
      </w:r>
      <w:r>
        <w:rPr>
          <w:color w:val="231F20"/>
          <w:spacing w:val="-3"/>
        </w:rPr>
        <w:t xml:space="preserve"> </w:t>
      </w:r>
      <w:r>
        <w:rPr>
          <w:color w:val="231F20"/>
        </w:rPr>
        <w:t>defines</w:t>
      </w:r>
      <w:r>
        <w:rPr>
          <w:color w:val="231F20"/>
          <w:spacing w:val="-2"/>
        </w:rPr>
        <w:t xml:space="preserve"> </w:t>
      </w:r>
      <w:r>
        <w:rPr>
          <w:color w:val="231F20"/>
        </w:rPr>
        <w:t>the</w:t>
      </w:r>
      <w:r>
        <w:rPr>
          <w:color w:val="231F20"/>
          <w:spacing w:val="-3"/>
        </w:rPr>
        <w:t xml:space="preserve"> </w:t>
      </w:r>
      <w:r>
        <w:rPr>
          <w:color w:val="231F20"/>
        </w:rPr>
        <w:t>required</w:t>
      </w:r>
      <w:r>
        <w:rPr>
          <w:color w:val="231F20"/>
          <w:spacing w:val="-2"/>
        </w:rPr>
        <w:t xml:space="preserve"> </w:t>
      </w:r>
      <w:r>
        <w:rPr>
          <w:color w:val="231F20"/>
        </w:rPr>
        <w:t>protection</w:t>
      </w:r>
      <w:r>
        <w:rPr>
          <w:color w:val="231F20"/>
          <w:spacing w:val="-3"/>
        </w:rPr>
        <w:t xml:space="preserve"> </w:t>
      </w:r>
      <w:r>
        <w:rPr>
          <w:color w:val="231F20"/>
        </w:rPr>
        <w:t>level</w:t>
      </w:r>
      <w:r>
        <w:rPr>
          <w:color w:val="231F20"/>
          <w:spacing w:val="-3"/>
        </w:rPr>
        <w:t xml:space="preserve"> </w:t>
      </w:r>
      <w:r>
        <w:rPr>
          <w:color w:val="231F20"/>
        </w:rPr>
        <w:t>for aquatic ecosystems.</w:t>
      </w:r>
    </w:p>
    <w:p w:rsidR="00D1511D" w:rsidRDefault="00D1511D">
      <w:pPr>
        <w:pStyle w:val="BodyText"/>
        <w:spacing w:before="2"/>
        <w:rPr>
          <w:sz w:val="23"/>
        </w:rPr>
      </w:pPr>
    </w:p>
    <w:p w:rsidR="00D1511D" w:rsidRDefault="003F0CB3">
      <w:pPr>
        <w:pStyle w:val="Heading4"/>
        <w:ind w:left="1707"/>
        <w:jc w:val="both"/>
      </w:pPr>
      <w:r>
        <w:rPr>
          <w:color w:val="58595B"/>
        </w:rPr>
        <w:t>Progress Summary</w:t>
      </w:r>
    </w:p>
    <w:p w:rsidR="00D1511D" w:rsidRDefault="003F0CB3">
      <w:pPr>
        <w:pStyle w:val="BodyText"/>
        <w:spacing w:before="205"/>
        <w:ind w:left="1707"/>
      </w:pPr>
      <w:r>
        <w:rPr>
          <w:color w:val="231F20"/>
        </w:rPr>
        <w:t>Progress across regions and river catchments against these targets is demonstrated in the interactive online</w:t>
      </w:r>
    </w:p>
    <w:p w:rsidR="00D1511D" w:rsidRDefault="003F0CB3">
      <w:pPr>
        <w:spacing w:before="40"/>
        <w:ind w:left="1707"/>
        <w:rPr>
          <w:sz w:val="20"/>
        </w:rPr>
      </w:pPr>
      <w:hyperlink r:id="rId94">
        <w:r>
          <w:rPr>
            <w:i/>
            <w:color w:val="1B5BAA"/>
            <w:sz w:val="20"/>
            <w:u w:val="single" w:color="1B5BAA"/>
          </w:rPr>
          <w:t>Reef Water Quality Report Card 2017 and 2018</w:t>
        </w:r>
      </w:hyperlink>
      <w:r>
        <w:rPr>
          <w:color w:val="231F20"/>
          <w:sz w:val="20"/>
        </w:rPr>
        <w:t>.</w:t>
      </w:r>
    </w:p>
    <w:p w:rsidR="00D1511D" w:rsidRDefault="003F0CB3">
      <w:pPr>
        <w:pStyle w:val="BodyText"/>
        <w:spacing w:before="210" w:line="280" w:lineRule="auto"/>
        <w:ind w:left="1707" w:right="1583"/>
      </w:pPr>
      <w:r>
        <w:rPr>
          <w:color w:val="231F20"/>
        </w:rPr>
        <w:t>The r</w:t>
      </w:r>
      <w:r>
        <w:rPr>
          <w:color w:val="231F20"/>
        </w:rPr>
        <w:t>eport card shows that while progress is being made towards the 2025 water quality targets, the trajectory of improvement needs to be lifted. The Australian and Queensland governments are confident that investments already made or still in the pipeline will</w:t>
      </w:r>
      <w:r>
        <w:rPr>
          <w:color w:val="231F20"/>
        </w:rPr>
        <w:t xml:space="preserve"> further improve results. The introduction of the enhanced Queensland Reef regulations is also expected to lift performance in future years.</w:t>
      </w:r>
    </w:p>
    <w:p w:rsidR="00D1511D" w:rsidRDefault="003F0CB3">
      <w:pPr>
        <w:pStyle w:val="BodyText"/>
        <w:spacing w:before="167"/>
        <w:ind w:left="1707"/>
      </w:pPr>
      <w:r>
        <w:rPr>
          <w:color w:val="231F20"/>
        </w:rPr>
        <w:t>Results in the report card show overall progress to date of:</w:t>
      </w:r>
    </w:p>
    <w:p w:rsidR="00D1511D" w:rsidRDefault="003F0CB3">
      <w:pPr>
        <w:pStyle w:val="ListParagraph"/>
        <w:numPr>
          <w:ilvl w:val="0"/>
          <w:numId w:val="5"/>
        </w:numPr>
        <w:tabs>
          <w:tab w:val="left" w:pos="2067"/>
          <w:tab w:val="left" w:pos="2068"/>
        </w:tabs>
        <w:spacing w:before="97"/>
        <w:ind w:hanging="361"/>
        <w:rPr>
          <w:sz w:val="20"/>
        </w:rPr>
      </w:pPr>
      <w:r>
        <w:rPr>
          <w:color w:val="231F20"/>
          <w:sz w:val="20"/>
        </w:rPr>
        <w:t>21.2 per cent reduction in anthropogenic end-of-catchm</w:t>
      </w:r>
      <w:r>
        <w:rPr>
          <w:color w:val="231F20"/>
          <w:sz w:val="20"/>
        </w:rPr>
        <w:t>ent dissolved inorganic nitrogen</w:t>
      </w:r>
      <w:r>
        <w:rPr>
          <w:color w:val="231F20"/>
          <w:spacing w:val="-2"/>
          <w:sz w:val="20"/>
        </w:rPr>
        <w:t xml:space="preserve"> </w:t>
      </w:r>
      <w:r>
        <w:rPr>
          <w:color w:val="231F20"/>
          <w:sz w:val="20"/>
        </w:rPr>
        <w:t>loads</w:t>
      </w:r>
    </w:p>
    <w:p w:rsidR="00D1511D" w:rsidRDefault="003F0CB3">
      <w:pPr>
        <w:pStyle w:val="ListParagraph"/>
        <w:numPr>
          <w:ilvl w:val="0"/>
          <w:numId w:val="5"/>
        </w:numPr>
        <w:tabs>
          <w:tab w:val="left" w:pos="2067"/>
          <w:tab w:val="left" w:pos="2068"/>
        </w:tabs>
        <w:spacing w:before="97"/>
        <w:ind w:hanging="361"/>
        <w:rPr>
          <w:sz w:val="20"/>
        </w:rPr>
      </w:pPr>
      <w:r>
        <w:rPr>
          <w:color w:val="231F20"/>
          <w:sz w:val="20"/>
        </w:rPr>
        <w:t>14.4 per cent reduction in anthropogenic end-of-catchment fine sediment</w:t>
      </w:r>
      <w:r>
        <w:rPr>
          <w:color w:val="231F20"/>
          <w:spacing w:val="-2"/>
          <w:sz w:val="20"/>
        </w:rPr>
        <w:t xml:space="preserve"> </w:t>
      </w:r>
      <w:r>
        <w:rPr>
          <w:color w:val="231F20"/>
          <w:sz w:val="20"/>
        </w:rPr>
        <w:t>loads</w:t>
      </w:r>
    </w:p>
    <w:p w:rsidR="00D1511D" w:rsidRDefault="003F0CB3">
      <w:pPr>
        <w:pStyle w:val="ListParagraph"/>
        <w:numPr>
          <w:ilvl w:val="0"/>
          <w:numId w:val="5"/>
        </w:numPr>
        <w:tabs>
          <w:tab w:val="left" w:pos="2067"/>
          <w:tab w:val="left" w:pos="2068"/>
        </w:tabs>
        <w:spacing w:before="96"/>
        <w:ind w:hanging="361"/>
        <w:rPr>
          <w:sz w:val="20"/>
        </w:rPr>
      </w:pPr>
      <w:r>
        <w:rPr>
          <w:color w:val="231F20"/>
          <w:sz w:val="20"/>
        </w:rPr>
        <w:t>13 per cent reduction in anthropogenic end-of-catchment particulate nutrient</w:t>
      </w:r>
      <w:r>
        <w:rPr>
          <w:color w:val="231F20"/>
          <w:spacing w:val="-1"/>
          <w:sz w:val="20"/>
        </w:rPr>
        <w:t xml:space="preserve"> </w:t>
      </w:r>
      <w:r>
        <w:rPr>
          <w:color w:val="231F20"/>
          <w:sz w:val="20"/>
        </w:rPr>
        <w:t>loads</w:t>
      </w:r>
    </w:p>
    <w:p w:rsidR="00D1511D" w:rsidRDefault="003F0CB3">
      <w:pPr>
        <w:pStyle w:val="ListParagraph"/>
        <w:numPr>
          <w:ilvl w:val="0"/>
          <w:numId w:val="5"/>
        </w:numPr>
        <w:tabs>
          <w:tab w:val="left" w:pos="2067"/>
          <w:tab w:val="left" w:pos="2068"/>
        </w:tabs>
        <w:spacing w:before="97"/>
        <w:ind w:hanging="361"/>
        <w:rPr>
          <w:sz w:val="20"/>
        </w:rPr>
      </w:pPr>
      <w:r>
        <w:rPr>
          <w:color w:val="231F20"/>
          <w:sz w:val="20"/>
        </w:rPr>
        <w:t>Pesticide target not included in this report card – scor</w:t>
      </w:r>
      <w:r>
        <w:rPr>
          <w:color w:val="231F20"/>
          <w:sz w:val="20"/>
        </w:rPr>
        <w:t>ing will occur for the next report</w:t>
      </w:r>
      <w:r>
        <w:rPr>
          <w:color w:val="231F20"/>
          <w:spacing w:val="-5"/>
          <w:sz w:val="20"/>
        </w:rPr>
        <w:t xml:space="preserve"> </w:t>
      </w:r>
      <w:r>
        <w:rPr>
          <w:color w:val="231F20"/>
          <w:sz w:val="20"/>
        </w:rPr>
        <w:t>card.</w:t>
      </w:r>
    </w:p>
    <w:p w:rsidR="00D1511D" w:rsidRDefault="003F0CB3">
      <w:pPr>
        <w:pStyle w:val="BodyText"/>
        <w:spacing w:before="210"/>
        <w:ind w:left="1707"/>
      </w:pPr>
      <w:r>
        <w:rPr>
          <w:color w:val="231F20"/>
        </w:rPr>
        <w:t xml:space="preserve">The 2017 and 2018 report card </w:t>
      </w:r>
      <w:proofErr w:type="gramStart"/>
      <w:r>
        <w:rPr>
          <w:color w:val="231F20"/>
        </w:rPr>
        <w:t>has</w:t>
      </w:r>
      <w:proofErr w:type="gramEnd"/>
      <w:r>
        <w:rPr>
          <w:color w:val="231F20"/>
        </w:rPr>
        <w:t xml:space="preserve"> some promising results:</w:t>
      </w:r>
    </w:p>
    <w:p w:rsidR="00D1511D" w:rsidRDefault="003F0CB3">
      <w:pPr>
        <w:pStyle w:val="ListParagraph"/>
        <w:numPr>
          <w:ilvl w:val="0"/>
          <w:numId w:val="5"/>
        </w:numPr>
        <w:tabs>
          <w:tab w:val="left" w:pos="2067"/>
          <w:tab w:val="left" w:pos="2068"/>
        </w:tabs>
        <w:spacing w:before="97" w:line="280" w:lineRule="auto"/>
        <w:ind w:right="1673"/>
        <w:rPr>
          <w:sz w:val="20"/>
        </w:rPr>
      </w:pPr>
      <w:r>
        <w:rPr>
          <w:color w:val="231F20"/>
          <w:sz w:val="20"/>
        </w:rPr>
        <w:t xml:space="preserve">The Cape </w:t>
      </w:r>
      <w:r>
        <w:rPr>
          <w:color w:val="231F20"/>
          <w:spacing w:val="-6"/>
          <w:sz w:val="20"/>
        </w:rPr>
        <w:t xml:space="preserve">York </w:t>
      </w:r>
      <w:r>
        <w:rPr>
          <w:color w:val="231F20"/>
          <w:sz w:val="20"/>
        </w:rPr>
        <w:t>sediment and particulate nutrient targets were met. Modelling shows the average annual loads of sediment reduced by 1.8 per cent to 9.8 per cen</w:t>
      </w:r>
      <w:r>
        <w:rPr>
          <w:color w:val="231F20"/>
          <w:sz w:val="20"/>
        </w:rPr>
        <w:t xml:space="preserve">t, almost double the 5 per cent target. </w:t>
      </w:r>
      <w:r>
        <w:rPr>
          <w:color w:val="231F20"/>
          <w:spacing w:val="-3"/>
          <w:sz w:val="20"/>
        </w:rPr>
        <w:t xml:space="preserve">Reductions </w:t>
      </w:r>
      <w:r>
        <w:rPr>
          <w:color w:val="231F20"/>
          <w:sz w:val="20"/>
        </w:rPr>
        <w:t>were due to improved pasture management from destocking cattle and controlling feral animals on</w:t>
      </w:r>
      <w:r>
        <w:rPr>
          <w:color w:val="231F20"/>
          <w:spacing w:val="-14"/>
          <w:sz w:val="20"/>
        </w:rPr>
        <w:t xml:space="preserve"> </w:t>
      </w:r>
      <w:r>
        <w:rPr>
          <w:color w:val="231F20"/>
          <w:sz w:val="20"/>
        </w:rPr>
        <w:t>the</w:t>
      </w: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spacing w:before="3"/>
        <w:rPr>
          <w:sz w:val="23"/>
        </w:rPr>
      </w:pPr>
    </w:p>
    <w:p w:rsidR="00D1511D" w:rsidRDefault="003F0CB3">
      <w:pPr>
        <w:ind w:right="1415"/>
        <w:jc w:val="right"/>
        <w:rPr>
          <w:rFonts w:ascii="Myriad Pro"/>
          <w:sz w:val="16"/>
        </w:rPr>
      </w:pPr>
      <w:r>
        <w:rPr>
          <w:rFonts w:ascii="Myriad Pro"/>
          <w:color w:val="231F20"/>
          <w:sz w:val="16"/>
        </w:rPr>
        <w:t>43</w:t>
      </w:r>
    </w:p>
    <w:p w:rsidR="00D1511D" w:rsidRDefault="00D1511D">
      <w:pPr>
        <w:jc w:val="right"/>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8"/>
        <w:rPr>
          <w:rFonts w:ascii="Myriad Pro"/>
        </w:rPr>
      </w:pPr>
    </w:p>
    <w:p w:rsidR="00D1511D" w:rsidRDefault="003F0CB3">
      <w:pPr>
        <w:pStyle w:val="BodyText"/>
        <w:spacing w:before="98" w:line="280" w:lineRule="auto"/>
        <w:ind w:left="1777" w:right="1802"/>
      </w:pPr>
      <w:r>
        <w:rPr>
          <w:color w:val="231F20"/>
        </w:rPr>
        <w:t>Queensland Government owned Springvale Station, and improved pasture and gully management through Australian Government Reef Trust projects.</w:t>
      </w:r>
    </w:p>
    <w:p w:rsidR="00D1511D" w:rsidRDefault="003F0CB3">
      <w:pPr>
        <w:pStyle w:val="ListParagraph"/>
        <w:numPr>
          <w:ilvl w:val="0"/>
          <w:numId w:val="37"/>
        </w:numPr>
        <w:tabs>
          <w:tab w:val="left" w:pos="1777"/>
          <w:tab w:val="left" w:pos="1778"/>
        </w:tabs>
        <w:spacing w:before="55" w:line="280" w:lineRule="auto"/>
        <w:ind w:right="1731"/>
        <w:rPr>
          <w:sz w:val="20"/>
        </w:rPr>
      </w:pPr>
      <w:r>
        <w:rPr>
          <w:color w:val="231F20"/>
          <w:sz w:val="20"/>
        </w:rPr>
        <w:t>The Burdekin region recorded the largest improvement (up 3.2 per cent to 19.6 per cent) in best practice nutrient m</w:t>
      </w:r>
      <w:r>
        <w:rPr>
          <w:color w:val="231F20"/>
          <w:sz w:val="20"/>
        </w:rPr>
        <w:t>anagement for sugarcane. Improved nutrient management was delivered through the Queensland Government</w:t>
      </w:r>
      <w:r>
        <w:rPr>
          <w:color w:val="231F20"/>
          <w:spacing w:val="-5"/>
          <w:sz w:val="20"/>
        </w:rPr>
        <w:t xml:space="preserve"> </w:t>
      </w:r>
      <w:r>
        <w:rPr>
          <w:color w:val="231F20"/>
          <w:sz w:val="20"/>
        </w:rPr>
        <w:t>Burdekin</w:t>
      </w:r>
      <w:r>
        <w:rPr>
          <w:color w:val="231F20"/>
          <w:spacing w:val="-4"/>
          <w:sz w:val="20"/>
        </w:rPr>
        <w:t xml:space="preserve"> </w:t>
      </w:r>
      <w:r>
        <w:rPr>
          <w:color w:val="231F20"/>
          <w:sz w:val="20"/>
        </w:rPr>
        <w:t>Nitrogen</w:t>
      </w:r>
      <w:r>
        <w:rPr>
          <w:color w:val="231F20"/>
          <w:spacing w:val="-4"/>
          <w:sz w:val="20"/>
        </w:rPr>
        <w:t xml:space="preserve"> </w:t>
      </w:r>
      <w:r>
        <w:rPr>
          <w:color w:val="231F20"/>
          <w:sz w:val="20"/>
        </w:rPr>
        <w:t>Project</w:t>
      </w:r>
      <w:r>
        <w:rPr>
          <w:color w:val="231F20"/>
          <w:spacing w:val="-4"/>
          <w:sz w:val="20"/>
        </w:rPr>
        <w:t xml:space="preserve"> </w:t>
      </w:r>
      <w:r>
        <w:rPr>
          <w:color w:val="231F20"/>
          <w:sz w:val="20"/>
        </w:rPr>
        <w:t>and</w:t>
      </w:r>
      <w:r>
        <w:rPr>
          <w:color w:val="231F20"/>
          <w:spacing w:val="-4"/>
          <w:sz w:val="20"/>
        </w:rPr>
        <w:t xml:space="preserve"> </w:t>
      </w:r>
      <w:r>
        <w:rPr>
          <w:color w:val="231F20"/>
          <w:sz w:val="20"/>
        </w:rPr>
        <w:t>the</w:t>
      </w:r>
      <w:r>
        <w:rPr>
          <w:color w:val="231F20"/>
          <w:spacing w:val="-4"/>
          <w:sz w:val="20"/>
        </w:rPr>
        <w:t xml:space="preserve"> </w:t>
      </w:r>
      <w:r>
        <w:rPr>
          <w:color w:val="231F20"/>
          <w:sz w:val="20"/>
        </w:rPr>
        <w:t>Australian</w:t>
      </w:r>
      <w:r>
        <w:rPr>
          <w:color w:val="231F20"/>
          <w:spacing w:val="-4"/>
          <w:sz w:val="20"/>
        </w:rPr>
        <w:t xml:space="preserve"> </w:t>
      </w:r>
      <w:r>
        <w:rPr>
          <w:color w:val="231F20"/>
          <w:sz w:val="20"/>
        </w:rPr>
        <w:t>Government</w:t>
      </w:r>
      <w:r>
        <w:rPr>
          <w:color w:val="231F20"/>
          <w:spacing w:val="-4"/>
          <w:sz w:val="20"/>
        </w:rPr>
        <w:t xml:space="preserve"> </w:t>
      </w:r>
      <w:r>
        <w:rPr>
          <w:color w:val="231F20"/>
          <w:sz w:val="20"/>
        </w:rPr>
        <w:t>Reef</w:t>
      </w:r>
      <w:r>
        <w:rPr>
          <w:color w:val="231F20"/>
          <w:spacing w:val="-12"/>
          <w:sz w:val="20"/>
        </w:rPr>
        <w:t xml:space="preserve"> </w:t>
      </w:r>
      <w:r>
        <w:rPr>
          <w:color w:val="231F20"/>
          <w:spacing w:val="-5"/>
          <w:sz w:val="20"/>
        </w:rPr>
        <w:t>Trust:</w:t>
      </w:r>
      <w:r>
        <w:rPr>
          <w:color w:val="231F20"/>
          <w:spacing w:val="-4"/>
          <w:sz w:val="20"/>
        </w:rPr>
        <w:t xml:space="preserve"> </w:t>
      </w:r>
      <w:r>
        <w:rPr>
          <w:color w:val="231F20"/>
          <w:sz w:val="20"/>
        </w:rPr>
        <w:t>Reef</w:t>
      </w:r>
      <w:r>
        <w:rPr>
          <w:color w:val="231F20"/>
          <w:spacing w:val="-4"/>
          <w:sz w:val="20"/>
        </w:rPr>
        <w:t xml:space="preserve"> </w:t>
      </w:r>
      <w:r>
        <w:rPr>
          <w:color w:val="231F20"/>
          <w:sz w:val="20"/>
        </w:rPr>
        <w:t>Alliance</w:t>
      </w:r>
      <w:r>
        <w:rPr>
          <w:color w:val="231F20"/>
          <w:spacing w:val="-4"/>
          <w:sz w:val="20"/>
        </w:rPr>
        <w:t xml:space="preserve"> </w:t>
      </w:r>
      <w:r>
        <w:rPr>
          <w:color w:val="231F20"/>
          <w:sz w:val="20"/>
        </w:rPr>
        <w:t>Growing</w:t>
      </w:r>
      <w:r>
        <w:rPr>
          <w:color w:val="231F20"/>
          <w:spacing w:val="-4"/>
          <w:sz w:val="20"/>
        </w:rPr>
        <w:t xml:space="preserve"> </w:t>
      </w:r>
      <w:r>
        <w:rPr>
          <w:color w:val="231F20"/>
          <w:sz w:val="20"/>
        </w:rPr>
        <w:t>a Great Barrier Reef</w:t>
      </w:r>
      <w:r>
        <w:rPr>
          <w:color w:val="231F20"/>
          <w:spacing w:val="-1"/>
          <w:sz w:val="20"/>
        </w:rPr>
        <w:t xml:space="preserve"> </w:t>
      </w:r>
      <w:r>
        <w:rPr>
          <w:color w:val="231F20"/>
          <w:sz w:val="20"/>
        </w:rPr>
        <w:t>project.</w:t>
      </w:r>
    </w:p>
    <w:p w:rsidR="00D1511D" w:rsidRDefault="003F0CB3">
      <w:pPr>
        <w:pStyle w:val="ListParagraph"/>
        <w:numPr>
          <w:ilvl w:val="0"/>
          <w:numId w:val="37"/>
        </w:numPr>
        <w:tabs>
          <w:tab w:val="left" w:pos="1777"/>
          <w:tab w:val="left" w:pos="1778"/>
        </w:tabs>
        <w:spacing w:before="54" w:line="280" w:lineRule="auto"/>
        <w:ind w:right="1754"/>
        <w:rPr>
          <w:sz w:val="20"/>
        </w:rPr>
      </w:pPr>
      <w:r>
        <w:rPr>
          <w:color w:val="231F20"/>
          <w:sz w:val="20"/>
        </w:rPr>
        <w:t>Modelling shows the annual average</w:t>
      </w:r>
      <w:r>
        <w:rPr>
          <w:color w:val="231F20"/>
          <w:sz w:val="20"/>
        </w:rPr>
        <w:t xml:space="preserve"> load of dissolved inorganic nitrogen flowing from the Burdekin </w:t>
      </w:r>
      <w:r>
        <w:rPr>
          <w:color w:val="231F20"/>
          <w:spacing w:val="-3"/>
          <w:sz w:val="20"/>
        </w:rPr>
        <w:t xml:space="preserve">reduced </w:t>
      </w:r>
      <w:r>
        <w:rPr>
          <w:color w:val="231F20"/>
          <w:sz w:val="20"/>
        </w:rPr>
        <w:t>by 1.2 per cent to 26.7 per cent as a result of these</w:t>
      </w:r>
      <w:r>
        <w:rPr>
          <w:color w:val="231F20"/>
          <w:spacing w:val="-2"/>
          <w:sz w:val="20"/>
        </w:rPr>
        <w:t xml:space="preserve"> </w:t>
      </w:r>
      <w:r>
        <w:rPr>
          <w:color w:val="231F20"/>
          <w:sz w:val="20"/>
        </w:rPr>
        <w:t>projects.</w:t>
      </w:r>
    </w:p>
    <w:p w:rsidR="00D1511D" w:rsidRDefault="003F0CB3">
      <w:pPr>
        <w:pStyle w:val="ListParagraph"/>
        <w:numPr>
          <w:ilvl w:val="0"/>
          <w:numId w:val="37"/>
        </w:numPr>
        <w:tabs>
          <w:tab w:val="left" w:pos="1777"/>
          <w:tab w:val="left" w:pos="1778"/>
        </w:tabs>
        <w:spacing w:before="55" w:line="280" w:lineRule="auto"/>
        <w:ind w:right="1756"/>
        <w:rPr>
          <w:sz w:val="20"/>
        </w:rPr>
      </w:pPr>
      <w:r>
        <w:rPr>
          <w:color w:val="231F20"/>
          <w:sz w:val="20"/>
        </w:rPr>
        <w:t xml:space="preserve">The loss of natural wetlands across the Reef catchments slowed with less than 0.1 per cent loss (556 </w:t>
      </w:r>
      <w:r>
        <w:rPr>
          <w:color w:val="231F20"/>
          <w:spacing w:val="-3"/>
          <w:sz w:val="20"/>
        </w:rPr>
        <w:t xml:space="preserve">hectares) </w:t>
      </w:r>
      <w:r>
        <w:rPr>
          <w:color w:val="231F20"/>
          <w:sz w:val="20"/>
        </w:rPr>
        <w:t>between 2</w:t>
      </w:r>
      <w:r>
        <w:rPr>
          <w:color w:val="231F20"/>
          <w:sz w:val="20"/>
        </w:rPr>
        <w:t>013 and</w:t>
      </w:r>
      <w:r>
        <w:rPr>
          <w:color w:val="231F20"/>
          <w:spacing w:val="-1"/>
          <w:sz w:val="20"/>
        </w:rPr>
        <w:t xml:space="preserve"> </w:t>
      </w:r>
      <w:r>
        <w:rPr>
          <w:color w:val="231F20"/>
          <w:sz w:val="20"/>
        </w:rPr>
        <w:t>2017.</w:t>
      </w:r>
    </w:p>
    <w:p w:rsidR="00D1511D" w:rsidRDefault="003F0CB3">
      <w:pPr>
        <w:pStyle w:val="ListParagraph"/>
        <w:numPr>
          <w:ilvl w:val="0"/>
          <w:numId w:val="37"/>
        </w:numPr>
        <w:tabs>
          <w:tab w:val="left" w:pos="1777"/>
          <w:tab w:val="left" w:pos="1778"/>
        </w:tabs>
        <w:spacing w:before="55"/>
        <w:ind w:hanging="361"/>
        <w:rPr>
          <w:sz w:val="20"/>
        </w:rPr>
      </w:pPr>
      <w:r>
        <w:rPr>
          <w:color w:val="231F20"/>
          <w:sz w:val="20"/>
        </w:rPr>
        <w:t>Throughout the catchments, freshwater floodplain wetlands remained in moderate</w:t>
      </w:r>
      <w:r>
        <w:rPr>
          <w:color w:val="231F20"/>
          <w:spacing w:val="-5"/>
          <w:sz w:val="20"/>
        </w:rPr>
        <w:t xml:space="preserve"> </w:t>
      </w:r>
      <w:r>
        <w:rPr>
          <w:color w:val="231F20"/>
          <w:sz w:val="20"/>
        </w:rPr>
        <w:t>condition.</w:t>
      </w:r>
    </w:p>
    <w:p w:rsidR="00D1511D" w:rsidRDefault="003F0CB3">
      <w:pPr>
        <w:pStyle w:val="BodyText"/>
        <w:rPr>
          <w:sz w:val="28"/>
        </w:rPr>
      </w:pPr>
      <w:r>
        <w:rPr>
          <w:noProof/>
        </w:rPr>
        <w:drawing>
          <wp:anchor distT="0" distB="0" distL="0" distR="0" simplePos="0" relativeHeight="41" behindDoc="0" locked="0" layoutInCell="1" allowOverlap="1">
            <wp:simplePos x="0" y="0"/>
            <wp:positionH relativeFrom="page">
              <wp:posOffset>978693</wp:posOffset>
            </wp:positionH>
            <wp:positionV relativeFrom="paragraph">
              <wp:posOffset>238342</wp:posOffset>
            </wp:positionV>
            <wp:extent cx="5485825" cy="5402960"/>
            <wp:effectExtent l="0" t="0" r="0" b="0"/>
            <wp:wrapTopAndBottom/>
            <wp:docPr id="11" name="image19.jpeg" descr="This figure summarises some of the key findings from the Reef Water Quality report card for 2017 and 2018. The figure is copyrighted to the Commonwealth of Australia and Queensland Gover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9.jpeg"/>
                    <pic:cNvPicPr/>
                  </pic:nvPicPr>
                  <pic:blipFill>
                    <a:blip r:embed="rId95" cstate="print"/>
                    <a:stretch>
                      <a:fillRect/>
                    </a:stretch>
                  </pic:blipFill>
                  <pic:spPr>
                    <a:xfrm>
                      <a:off x="0" y="0"/>
                      <a:ext cx="5485825" cy="5402960"/>
                    </a:xfrm>
                    <a:prstGeom prst="rect">
                      <a:avLst/>
                    </a:prstGeom>
                  </pic:spPr>
                </pic:pic>
              </a:graphicData>
            </a:graphic>
          </wp:anchor>
        </w:drawing>
      </w: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3F0CB3">
      <w:pPr>
        <w:spacing w:before="163"/>
        <w:ind w:left="1417"/>
        <w:rPr>
          <w:rFonts w:ascii="Myriad Pro"/>
          <w:sz w:val="16"/>
        </w:rPr>
      </w:pPr>
      <w:r>
        <w:rPr>
          <w:rFonts w:ascii="Myriad Pro"/>
          <w:color w:val="231F20"/>
          <w:sz w:val="16"/>
        </w:rPr>
        <w:t xml:space="preserve">44 / </w:t>
      </w:r>
      <w:r>
        <w:rPr>
          <w:rFonts w:ascii="Myriad Pro"/>
          <w:color w:val="005695"/>
          <w:sz w:val="16"/>
        </w:rPr>
        <w:t xml:space="preserve">State Party Report on the state of conservation of the </w:t>
      </w:r>
      <w:r>
        <w:rPr>
          <w:rFonts w:ascii="Myriad Pro"/>
          <w:b/>
          <w:color w:val="005695"/>
          <w:sz w:val="16"/>
        </w:rPr>
        <w:t xml:space="preserve">Great Barrier Reef World Heritage Area (Australia) </w:t>
      </w:r>
      <w:r>
        <w:rPr>
          <w:rFonts w:ascii="Myriad Pro"/>
          <w:color w:val="005695"/>
          <w:sz w:val="16"/>
        </w:rPr>
        <w:t>2019</w:t>
      </w:r>
    </w:p>
    <w:p w:rsidR="00D1511D" w:rsidRDefault="00D1511D">
      <w:pPr>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2"/>
        <w:rPr>
          <w:rFonts w:ascii="Myriad Pro"/>
          <w:sz w:val="12"/>
        </w:rPr>
      </w:pPr>
    </w:p>
    <w:p w:rsidR="00D1511D" w:rsidRDefault="003F0CB3">
      <w:pPr>
        <w:pStyle w:val="BodyText"/>
        <w:ind w:left="1695"/>
        <w:rPr>
          <w:rFonts w:ascii="Myriad Pro"/>
        </w:rPr>
      </w:pPr>
      <w:r>
        <w:rPr>
          <w:rFonts w:ascii="Myriad Pro"/>
        </w:rPr>
      </w:r>
      <w:r>
        <w:rPr>
          <w:rFonts w:ascii="Myriad Pro"/>
        </w:rPr>
        <w:pict>
          <v:shape id="_x0000_s1243" type="#_x0000_t202" alt="" style="width:439.7pt;height:130.4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e6e7e8" stroked="f">
            <v:textbox inset="0,0,0,0">
              <w:txbxContent>
                <w:p w:rsidR="00D1511D" w:rsidRDefault="00D1511D">
                  <w:pPr>
                    <w:pStyle w:val="BodyText"/>
                    <w:rPr>
                      <w:rFonts w:ascii="Myriad Pro"/>
                    </w:rPr>
                  </w:pPr>
                </w:p>
                <w:p w:rsidR="00D1511D" w:rsidRDefault="003F0CB3">
                  <w:pPr>
                    <w:ind w:left="289"/>
                    <w:rPr>
                      <w:b/>
                      <w:sz w:val="20"/>
                    </w:rPr>
                  </w:pPr>
                  <w:r>
                    <w:rPr>
                      <w:b/>
                      <w:color w:val="231F20"/>
                      <w:sz w:val="20"/>
                    </w:rPr>
                    <w:t>Continuous improvements in water quality management</w:t>
                  </w:r>
                </w:p>
                <w:p w:rsidR="00D1511D" w:rsidRDefault="003F0CB3">
                  <w:pPr>
                    <w:pStyle w:val="BodyText"/>
                    <w:spacing w:before="210" w:line="280" w:lineRule="auto"/>
                    <w:ind w:left="289"/>
                  </w:pPr>
                  <w:r>
                    <w:rPr>
                      <w:color w:val="231F20"/>
                    </w:rPr>
                    <w:t xml:space="preserve">Working with the Queensland Government and </w:t>
                  </w:r>
                  <w:proofErr w:type="spellStart"/>
                  <w:r>
                    <w:rPr>
                      <w:color w:val="231F20"/>
                    </w:rPr>
                    <w:t>NCEconomics</w:t>
                  </w:r>
                  <w:proofErr w:type="spellEnd"/>
                  <w:r>
                    <w:rPr>
                      <w:color w:val="231F20"/>
                    </w:rPr>
                    <w:t>, Alluvium Consulting developed an online interface to evaluate th</w:t>
                  </w:r>
                  <w:r>
                    <w:rPr>
                      <w:color w:val="231F20"/>
                    </w:rPr>
                    <w:t>e cost effectiveness of investment options for meeting specific regional water quality targets across the Reef, determining least cost pathways to meet these targets. By modelling reductions</w:t>
                  </w:r>
                </w:p>
                <w:p w:rsidR="00D1511D" w:rsidRDefault="003F0CB3">
                  <w:pPr>
                    <w:pStyle w:val="BodyText"/>
                    <w:spacing w:line="280" w:lineRule="auto"/>
                    <w:ind w:left="289"/>
                  </w:pPr>
                  <w:r>
                    <w:rPr>
                      <w:color w:val="231F20"/>
                    </w:rPr>
                    <w:t xml:space="preserve">in pollutant loads achieved through the various investments made </w:t>
                  </w:r>
                  <w:r>
                    <w:rPr>
                      <w:color w:val="231F20"/>
                    </w:rPr>
                    <w:t>under the governments water quality improvement initiatives, the tool can be used to estimate marginal and total abatement cost curves. A cost range was established enabling the total costs of achieving regional targets to be determined.</w:t>
                  </w:r>
                </w:p>
              </w:txbxContent>
            </v:textbox>
            <w10:anchorlock/>
          </v:shape>
        </w:pict>
      </w:r>
    </w:p>
    <w:p w:rsidR="00D1511D" w:rsidRDefault="003F0CB3">
      <w:pPr>
        <w:pStyle w:val="BodyText"/>
        <w:spacing w:before="3"/>
        <w:rPr>
          <w:rFonts w:ascii="Myriad Pro"/>
          <w:sz w:val="19"/>
        </w:rPr>
      </w:pPr>
      <w:r>
        <w:pict>
          <v:shape id="_x0000_s1242" type="#_x0000_t202" alt="" style="position:absolute;margin-left:84.75pt;margin-top:12.75pt;width:439.7pt;height:209.8pt;z-index:-251614208;mso-wrap-style:square;mso-wrap-edited:f;mso-width-percent:0;mso-height-percent:0;mso-wrap-distance-left:0;mso-wrap-distance-right:0;mso-position-horizontal-relative:page;mso-width-percent:0;mso-height-percent:0;v-text-anchor:top" fillcolor="#fecc96" stroked="f">
            <v:textbox inset="0,0,0,0">
              <w:txbxContent>
                <w:p w:rsidR="00D1511D" w:rsidRDefault="003F0CB3">
                  <w:pPr>
                    <w:spacing w:before="166"/>
                    <w:ind w:left="289"/>
                    <w:rPr>
                      <w:rFonts w:ascii="Myriad Pro"/>
                      <w:sz w:val="28"/>
                    </w:rPr>
                  </w:pPr>
                  <w:r>
                    <w:rPr>
                      <w:rFonts w:ascii="Myriad Pro"/>
                      <w:color w:val="005695"/>
                      <w:sz w:val="28"/>
                    </w:rPr>
                    <w:t>Case study: Gully and Stream Bank Erosion Control Program</w:t>
                  </w:r>
                </w:p>
                <w:p w:rsidR="00D1511D" w:rsidRDefault="003F0CB3">
                  <w:pPr>
                    <w:pStyle w:val="BodyText"/>
                    <w:spacing w:before="195" w:line="280" w:lineRule="auto"/>
                    <w:ind w:left="289"/>
                  </w:pPr>
                  <w:r>
                    <w:rPr>
                      <w:color w:val="231F20"/>
                    </w:rPr>
                    <w:t>This program addresses one of the key threats to the Reef, sediment run-off from gully and stream bank erosion, including in minor streams and drainage lines, large river channels, and high-energy streams in wet coastal catchments. Following a $7.5 million</w:t>
                  </w:r>
                  <w:r>
                    <w:rPr>
                      <w:color w:val="231F20"/>
                    </w:rPr>
                    <w:t xml:space="preserve"> pilot program, the Australian Government has expanded the program providing over $29 million in grants for nine projects through the Reef Trust.</w:t>
                  </w:r>
                </w:p>
                <w:p w:rsidR="00D1511D" w:rsidRDefault="003F0CB3">
                  <w:pPr>
                    <w:pStyle w:val="BodyText"/>
                    <w:spacing w:before="167" w:line="280" w:lineRule="auto"/>
                    <w:ind w:left="289" w:right="185"/>
                  </w:pPr>
                  <w:r>
                    <w:rPr>
                      <w:color w:val="231F20"/>
                    </w:rPr>
                    <w:t>This includes a $2.9 million project, Improving Reef Water Quality through Herbert River Catchment and Gully R</w:t>
                  </w:r>
                  <w:r>
                    <w:rPr>
                      <w:color w:val="231F20"/>
                    </w:rPr>
                    <w:t>emediation. Targeting priority erosion hot spots and high-risk areas in the Herbert River Basin, the project will reduce the export of fine sediments from eroding stream banks and gullies into the Reef lagoon. New grazing management practices and erosion r</w:t>
                  </w:r>
                  <w:r>
                    <w:rPr>
                      <w:color w:val="231F20"/>
                    </w:rPr>
                    <w:t xml:space="preserve">epair work is taking place on century-old Woodleigh Cattle Station, stopping thousands of </w:t>
                  </w:r>
                  <w:proofErr w:type="spellStart"/>
                  <w:r>
                    <w:rPr>
                      <w:color w:val="231F20"/>
                    </w:rPr>
                    <w:t>tonnes</w:t>
                  </w:r>
                  <w:proofErr w:type="spellEnd"/>
                  <w:r>
                    <w:rPr>
                      <w:color w:val="231F20"/>
                    </w:rPr>
                    <w:t xml:space="preserve"> of fine sediment from flowing to the Reef each year. Read more about this work at: </w:t>
                  </w:r>
                  <w:hyperlink r:id="rId96">
                    <w:r>
                      <w:rPr>
                        <w:color w:val="1B5BAA"/>
                        <w:u w:val="single" w:color="1B5BAA"/>
                      </w:rPr>
                      <w:t>https://terrain.org.au/wp-content/uploads/2019/09/Case-Study-Woodleigh-Cat</w:t>
                    </w:r>
                  </w:hyperlink>
                  <w:r>
                    <w:rPr>
                      <w:color w:val="1B5BAA"/>
                    </w:rPr>
                    <w:t xml:space="preserve"> </w:t>
                  </w:r>
                  <w:hyperlink r:id="rId97">
                    <w:r>
                      <w:rPr>
                        <w:color w:val="1B5BAA"/>
                        <w:u w:val="single" w:color="1B5BAA"/>
                      </w:rPr>
                      <w:t>tle-Station-Herbert-Gully-and-Grazing-Program.pdf</w:t>
                    </w:r>
                  </w:hyperlink>
                  <w:r>
                    <w:rPr>
                      <w:color w:val="231F20"/>
                    </w:rPr>
                    <w:t>.</w:t>
                  </w:r>
                </w:p>
              </w:txbxContent>
            </v:textbox>
            <w10:wrap type="topAndBottom" anchorx="page"/>
          </v:shape>
        </w:pict>
      </w:r>
    </w:p>
    <w:p w:rsidR="00D1511D" w:rsidRDefault="00D1511D">
      <w:pPr>
        <w:pStyle w:val="BodyText"/>
        <w:rPr>
          <w:rFonts w:ascii="Myriad Pro"/>
          <w:sz w:val="26"/>
        </w:rPr>
      </w:pPr>
    </w:p>
    <w:p w:rsidR="00D1511D" w:rsidRDefault="003F0CB3">
      <w:pPr>
        <w:pStyle w:val="Heading3"/>
        <w:spacing w:before="100"/>
        <w:ind w:left="1700"/>
      </w:pPr>
      <w:r>
        <w:pict>
          <v:shape id="_x0000_s1241" type="#_x0000_t202" alt="" style="position:absolute;left:0;text-align:left;margin-left:84.75pt;margin-top:27.25pt;width:439.7pt;height:46.3pt;z-index:-251613184;mso-wrap-style:square;mso-wrap-edited:f;mso-width-percent:0;mso-height-percent:0;mso-wrap-distance-left:0;mso-wrap-distance-right:0;mso-position-horizontal-relative:page;mso-width-percent:0;mso-height-percent:0;v-text-anchor:top" fillcolor="#d2e3de" stroked="f">
            <v:textbox inset="0,0,0,0">
              <w:txbxContent>
                <w:p w:rsidR="00D1511D" w:rsidRDefault="003F0CB3">
                  <w:pPr>
                    <w:pStyle w:val="BodyText"/>
                    <w:spacing w:before="199" w:line="280" w:lineRule="auto"/>
                    <w:ind w:left="289" w:right="231"/>
                  </w:pPr>
                  <w:r>
                    <w:rPr>
                      <w:color w:val="231F20"/>
                    </w:rPr>
                    <w:t>Target: Community benefit values for Great Barrier Reef coastal ecosystems are being monitored and show a positive trend (target CBT4)</w:t>
                  </w:r>
                </w:p>
              </w:txbxContent>
            </v:textbox>
            <w10:wrap type="topAndBottom" anchorx="page"/>
          </v:shape>
        </w:pict>
      </w:r>
      <w:r>
        <w:rPr>
          <w:color w:val="005695"/>
        </w:rPr>
        <w:t>4.3.2e Community benefit</w:t>
      </w:r>
    </w:p>
    <w:p w:rsidR="00D1511D" w:rsidRDefault="003F0CB3">
      <w:pPr>
        <w:pStyle w:val="BodyText"/>
        <w:spacing w:before="101" w:line="280" w:lineRule="auto"/>
        <w:ind w:left="1700" w:right="1418"/>
      </w:pPr>
      <w:r>
        <w:rPr>
          <w:color w:val="231F20"/>
        </w:rPr>
        <w:t>The community benefits of a healthy Reef (understanding, appreciation, enjoyment, personal conne</w:t>
      </w:r>
      <w:r>
        <w:rPr>
          <w:color w:val="231F20"/>
        </w:rPr>
        <w:t xml:space="preserve">ctions, health benefits and aesthetics) are </w:t>
      </w:r>
      <w:proofErr w:type="spellStart"/>
      <w:r>
        <w:rPr>
          <w:color w:val="231F20"/>
        </w:rPr>
        <w:t>recognised</w:t>
      </w:r>
      <w:proofErr w:type="spellEnd"/>
      <w:r>
        <w:rPr>
          <w:color w:val="231F20"/>
        </w:rPr>
        <w:t xml:space="preserve"> in the Marine Parks, Commonwealth marine area, National heritage</w:t>
      </w:r>
    </w:p>
    <w:p w:rsidR="00D1511D" w:rsidRDefault="003F0CB3">
      <w:pPr>
        <w:pStyle w:val="BodyText"/>
        <w:spacing w:line="280" w:lineRule="auto"/>
        <w:ind w:left="1700" w:right="1585"/>
      </w:pPr>
      <w:r>
        <w:rPr>
          <w:color w:val="231F20"/>
        </w:rPr>
        <w:t xml:space="preserve">place and World Heritage Area as values. Income, employment and access to reef resources are also considered community </w:t>
      </w:r>
      <w:proofErr w:type="gramStart"/>
      <w:r>
        <w:rPr>
          <w:color w:val="231F20"/>
        </w:rPr>
        <w:t>benefits, and</w:t>
      </w:r>
      <w:proofErr w:type="gramEnd"/>
      <w:r>
        <w:rPr>
          <w:color w:val="231F20"/>
        </w:rPr>
        <w:t xml:space="preserve"> are</w:t>
      </w:r>
      <w:r>
        <w:rPr>
          <w:color w:val="231F20"/>
        </w:rPr>
        <w:t xml:space="preserve"> discussed under economic benefit below.</w:t>
      </w:r>
    </w:p>
    <w:p w:rsidR="00D1511D" w:rsidRDefault="003F0CB3">
      <w:pPr>
        <w:pStyle w:val="BodyText"/>
        <w:spacing w:before="167" w:line="280" w:lineRule="auto"/>
        <w:ind w:left="1700" w:right="2017"/>
      </w:pPr>
      <w:r>
        <w:rPr>
          <w:color w:val="231F20"/>
        </w:rPr>
        <w:t>The property provides constantly evolving opportunities for people to engage with it. This allows people to develop a sense of identity based on living within the Region, pride in the World Heritage Area and an</w:t>
      </w:r>
    </w:p>
    <w:p w:rsidR="00D1511D" w:rsidRDefault="003F0CB3">
      <w:pPr>
        <w:pStyle w:val="BodyText"/>
        <w:spacing w:line="280" w:lineRule="auto"/>
        <w:ind w:left="1700" w:right="1359"/>
        <w:rPr>
          <w:sz w:val="11"/>
        </w:rPr>
      </w:pPr>
      <w:r>
        <w:rPr>
          <w:color w:val="231F20"/>
        </w:rPr>
        <w:t>appr</w:t>
      </w:r>
      <w:r>
        <w:rPr>
          <w:color w:val="231F20"/>
        </w:rPr>
        <w:t>eciation of its outstanding natural beauty and biodiversity. Survey results suggest that the cultural value of the Reef has significantly increased for residents since 2013 despite the loss of corals from climate change.</w:t>
      </w:r>
      <w:r>
        <w:rPr>
          <w:color w:val="231F20"/>
          <w:position w:val="7"/>
          <w:sz w:val="11"/>
        </w:rPr>
        <w:t>12</w:t>
      </w:r>
    </w:p>
    <w:p w:rsidR="00D1511D" w:rsidRDefault="00D1511D">
      <w:pPr>
        <w:pStyle w:val="BodyText"/>
      </w:pPr>
    </w:p>
    <w:p w:rsidR="00D1511D" w:rsidRDefault="003F0CB3">
      <w:pPr>
        <w:pStyle w:val="BodyText"/>
        <w:spacing w:before="4"/>
        <w:rPr>
          <w:sz w:val="11"/>
        </w:rPr>
      </w:pPr>
      <w:r>
        <w:pict>
          <v:shape id="_x0000_s1240" alt="" style="position:absolute;margin-left:85.05pt;margin-top:9pt;width:124.75pt;height:.1pt;z-index:-251612160;mso-wrap-edited:f;mso-width-percent:0;mso-height-percent:0;mso-wrap-distance-left:0;mso-wrap-distance-right:0;mso-position-horizontal-relative:page;mso-width-percent:0;mso-height-percent:0" coordsize="2495,1270" path="m,l2494,e" filled="f" strokecolor="#231f20" strokeweight=".5pt">
            <v:path arrowok="t" o:connecttype="custom" o:connectlocs="0,0;1583690,0" o:connectangles="0,0"/>
            <w10:wrap type="topAndBottom" anchorx="page"/>
          </v:shape>
        </w:pict>
      </w:r>
    </w:p>
    <w:p w:rsidR="00D1511D" w:rsidRDefault="003F0CB3">
      <w:pPr>
        <w:spacing w:before="62"/>
        <w:ind w:left="1700" w:right="1467"/>
        <w:rPr>
          <w:rFonts w:ascii="Myriad Pro" w:hAnsi="Myriad Pro"/>
          <w:sz w:val="16"/>
        </w:rPr>
      </w:pPr>
      <w:r>
        <w:rPr>
          <w:rFonts w:ascii="Myriad Pro" w:hAnsi="Myriad Pro"/>
          <w:color w:val="231F20"/>
          <w:sz w:val="16"/>
        </w:rPr>
        <w:t xml:space="preserve">12 Marshall and </w:t>
      </w:r>
      <w:proofErr w:type="spellStart"/>
      <w:r>
        <w:rPr>
          <w:rFonts w:ascii="Myriad Pro" w:hAnsi="Myriad Pro"/>
          <w:color w:val="231F20"/>
          <w:sz w:val="16"/>
        </w:rPr>
        <w:t>Curnock</w:t>
      </w:r>
      <w:proofErr w:type="spellEnd"/>
      <w:r>
        <w:rPr>
          <w:rFonts w:ascii="Myriad Pro" w:hAnsi="Myriad Pro"/>
          <w:color w:val="231F20"/>
          <w:sz w:val="16"/>
        </w:rPr>
        <w:t xml:space="preserve"> (2019) Changes among coastal residents in the Great Barrier Reef Region 2013-2017: </w:t>
      </w:r>
      <w:proofErr w:type="gramStart"/>
      <w:r>
        <w:rPr>
          <w:rFonts w:ascii="Myriad Pro" w:hAnsi="Myriad Pro"/>
          <w:color w:val="231F20"/>
          <w:sz w:val="16"/>
        </w:rPr>
        <w:t>a</w:t>
      </w:r>
      <w:proofErr w:type="gramEnd"/>
      <w:r>
        <w:rPr>
          <w:rFonts w:ascii="Myriad Pro" w:hAnsi="Myriad Pro"/>
          <w:color w:val="231F20"/>
          <w:sz w:val="16"/>
        </w:rPr>
        <w:t xml:space="preserve"> Report from the Social and Economic Long-term Monitoring Program – prepared for the Great Barrier Reef Marine Park Authority, CSIRO, Townsville.</w:t>
      </w: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spacing w:before="10"/>
        <w:rPr>
          <w:rFonts w:ascii="Myriad Pro"/>
          <w:sz w:val="23"/>
        </w:rPr>
      </w:pPr>
    </w:p>
    <w:p w:rsidR="00D1511D" w:rsidRDefault="003F0CB3">
      <w:pPr>
        <w:ind w:right="1415"/>
        <w:jc w:val="right"/>
        <w:rPr>
          <w:rFonts w:ascii="Myriad Pro"/>
          <w:sz w:val="16"/>
        </w:rPr>
      </w:pPr>
      <w:r>
        <w:rPr>
          <w:rFonts w:ascii="Myriad Pro"/>
          <w:color w:val="231F20"/>
          <w:sz w:val="16"/>
        </w:rPr>
        <w:t>45</w:t>
      </w:r>
    </w:p>
    <w:p w:rsidR="00D1511D" w:rsidRDefault="00D1511D">
      <w:pPr>
        <w:jc w:val="right"/>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9"/>
        <w:rPr>
          <w:rFonts w:ascii="Myriad Pro"/>
          <w:sz w:val="19"/>
        </w:rPr>
      </w:pPr>
    </w:p>
    <w:p w:rsidR="00D1511D" w:rsidRDefault="003F0CB3">
      <w:pPr>
        <w:pStyle w:val="Heading4"/>
        <w:spacing w:before="101"/>
      </w:pPr>
      <w:r>
        <w:rPr>
          <w:color w:val="58595B"/>
        </w:rPr>
        <w:t>Progress Summary</w:t>
      </w:r>
    </w:p>
    <w:p w:rsidR="00D1511D" w:rsidRDefault="003F0CB3">
      <w:pPr>
        <w:pStyle w:val="BodyText"/>
        <w:spacing w:before="205" w:line="280" w:lineRule="auto"/>
        <w:ind w:left="1700" w:right="1585"/>
      </w:pPr>
      <w:r>
        <w:rPr>
          <w:color w:val="231F20"/>
        </w:rPr>
        <w:t>Significant work has been undertaken over the past five years to understand the range of community benefits and to incorporate community benefits into policy, assessment processes and decision-making guidel</w:t>
      </w:r>
      <w:r>
        <w:rPr>
          <w:color w:val="231F20"/>
        </w:rPr>
        <w:t>ines.</w:t>
      </w:r>
    </w:p>
    <w:p w:rsidR="00D1511D" w:rsidRDefault="003F0CB3">
      <w:pPr>
        <w:pStyle w:val="BodyText"/>
        <w:spacing w:line="280" w:lineRule="auto"/>
        <w:ind w:left="1700" w:right="1585"/>
      </w:pPr>
      <w:r>
        <w:rPr>
          <w:color w:val="231F20"/>
        </w:rPr>
        <w:t xml:space="preserve">This includes projects under the </w:t>
      </w:r>
      <w:hyperlink r:id="rId98">
        <w:r>
          <w:rPr>
            <w:color w:val="1B5BAA"/>
            <w:u w:val="single" w:color="1B5BAA"/>
          </w:rPr>
          <w:t>National Environmental Science Program</w:t>
        </w:r>
        <w:r>
          <w:rPr>
            <w:color w:val="1B5BAA"/>
          </w:rPr>
          <w:t xml:space="preserve"> </w:t>
        </w:r>
      </w:hyperlink>
      <w:r>
        <w:rPr>
          <w:color w:val="231F20"/>
        </w:rPr>
        <w:t>that are developing indicators and metrics for human dimension outcomes, objectives and targets in the Reef 2050 Plan. This reflects a high-level understanding by managers that the property provides substantial and diverse community benefits.</w:t>
      </w:r>
    </w:p>
    <w:p w:rsidR="00D1511D" w:rsidRDefault="00D1511D">
      <w:pPr>
        <w:pStyle w:val="BodyText"/>
      </w:pPr>
    </w:p>
    <w:p w:rsidR="00D1511D" w:rsidRDefault="003F0CB3">
      <w:pPr>
        <w:pStyle w:val="BodyText"/>
        <w:spacing w:before="11"/>
        <w:rPr>
          <w:sz w:val="12"/>
        </w:rPr>
      </w:pPr>
      <w:r>
        <w:pict>
          <v:shape id="_x0000_s1239" type="#_x0000_t202" alt="" style="position:absolute;margin-left:85.05pt;margin-top:8.95pt;width:439.4pt;height:212.6pt;z-index:-251611136;mso-wrap-style:square;mso-wrap-edited:f;mso-width-percent:0;mso-height-percent:0;mso-wrap-distance-left:0;mso-wrap-distance-right:0;mso-position-horizontal-relative:page;mso-width-percent:0;mso-height-percent:0;v-text-anchor:top" fillcolor="#fecc96" stroked="f">
            <v:textbox inset="0,0,0,0">
              <w:txbxContent>
                <w:p w:rsidR="00D1511D" w:rsidRDefault="003F0CB3">
                  <w:pPr>
                    <w:spacing w:before="253"/>
                    <w:ind w:left="283"/>
                    <w:rPr>
                      <w:rFonts w:ascii="Myriad Pro"/>
                      <w:sz w:val="28"/>
                    </w:rPr>
                  </w:pPr>
                  <w:r>
                    <w:rPr>
                      <w:rFonts w:ascii="Myriad Pro"/>
                      <w:color w:val="005695"/>
                      <w:sz w:val="28"/>
                    </w:rPr>
                    <w:t>Case Study: National Environmental Science Program</w:t>
                  </w:r>
                </w:p>
                <w:p w:rsidR="00D1511D" w:rsidRDefault="003F0CB3">
                  <w:pPr>
                    <w:pStyle w:val="BodyText"/>
                    <w:spacing w:before="195" w:line="280" w:lineRule="auto"/>
                    <w:ind w:left="283" w:right="423"/>
                  </w:pPr>
                  <w:r>
                    <w:rPr>
                      <w:color w:val="231F20"/>
                    </w:rPr>
                    <w:t xml:space="preserve">Climate change, poor water quality from land-based run-off, impacts from coastal development and some fishing impacts such as illegal fishing are the major challenges being tackled as part of the National </w:t>
                  </w:r>
                  <w:r>
                    <w:rPr>
                      <w:color w:val="231F20"/>
                    </w:rPr>
                    <w:t>Environmental Science Program. With funding of $31 million, a new Tropical Water Quality hub was established in 2015 to research coastal water quality and coastal management focused on the Reef. In January 2018, 50 new research projects were announced unde</w:t>
                  </w:r>
                  <w:r>
                    <w:rPr>
                      <w:color w:val="231F20"/>
                    </w:rPr>
                    <w:t>r the program with more than a dozen projects looking at solutions to the challenges faced by the Reef. Projects being funded range from</w:t>
                  </w:r>
                </w:p>
                <w:p w:rsidR="00D1511D" w:rsidRDefault="003F0CB3">
                  <w:pPr>
                    <w:pStyle w:val="BodyText"/>
                    <w:spacing w:line="280" w:lineRule="auto"/>
                    <w:ind w:left="283" w:right="61"/>
                  </w:pPr>
                  <w:r>
                    <w:rPr>
                      <w:color w:val="231F20"/>
                    </w:rPr>
                    <w:t>crown-of-thorns starfish management approaches and seagrass condition assessment, through to reducing Reef governance r</w:t>
                  </w:r>
                  <w:r>
                    <w:rPr>
                      <w:color w:val="231F20"/>
                    </w:rPr>
                    <w:t>isks and testing the effectiveness of managing gully erosion to reduce sediment sources to the Reef.</w:t>
                  </w:r>
                </w:p>
                <w:p w:rsidR="00D1511D" w:rsidRDefault="003F0CB3">
                  <w:pPr>
                    <w:pStyle w:val="BodyText"/>
                    <w:spacing w:before="163" w:line="280" w:lineRule="auto"/>
                    <w:ind w:left="283" w:right="686"/>
                  </w:pPr>
                  <w:r>
                    <w:rPr>
                      <w:color w:val="231F20"/>
                    </w:rPr>
                    <w:t xml:space="preserve">Further information on the National Environmental Science Program Tropical Water Quality hub is available at </w:t>
                  </w:r>
                  <w:hyperlink r:id="rId99">
                    <w:r>
                      <w:rPr>
                        <w:color w:val="1B5BAA"/>
                        <w:u w:val="single" w:color="1B5BAA"/>
                      </w:rPr>
                      <w:t>https://www.environment.gov.au/science/nesp/current-projects/tropical-wate</w:t>
                    </w:r>
                  </w:hyperlink>
                  <w:r>
                    <w:rPr>
                      <w:color w:val="1B5BAA"/>
                      <w:u w:val="single" w:color="1B5BAA"/>
                    </w:rPr>
                    <w:t>r</w:t>
                  </w:r>
                  <w:r>
                    <w:rPr>
                      <w:color w:val="231F20"/>
                    </w:rPr>
                    <w:t>.</w:t>
                  </w:r>
                </w:p>
              </w:txbxContent>
            </v:textbox>
            <w10:wrap type="topAndBottom" anchorx="page"/>
          </v:shape>
        </w:pict>
      </w:r>
    </w:p>
    <w:p w:rsidR="00D1511D" w:rsidRDefault="00D1511D">
      <w:pPr>
        <w:pStyle w:val="BodyText"/>
        <w:spacing w:before="1"/>
        <w:rPr>
          <w:sz w:val="24"/>
        </w:rPr>
      </w:pPr>
    </w:p>
    <w:p w:rsidR="00D1511D" w:rsidRDefault="003F0CB3">
      <w:pPr>
        <w:pStyle w:val="BodyText"/>
        <w:spacing w:before="98" w:line="280" w:lineRule="auto"/>
        <w:ind w:left="1700" w:right="1422"/>
      </w:pPr>
      <w:r>
        <w:rPr>
          <w:color w:val="231F20"/>
        </w:rPr>
        <w:t>Economic and social use of the Region continues to provide benefit to communities and the Region is valued by residents, the nat</w:t>
      </w:r>
      <w:r>
        <w:rPr>
          <w:color w:val="231F20"/>
        </w:rPr>
        <w:t>ion and the world. This aspect of use continues to be in very good to good condition (refer table below from 2019 Outlook Report). For example, commercial and non-commercial use continue to contribute to the Region’s economy while the social benefits of tr</w:t>
      </w:r>
      <w:r>
        <w:rPr>
          <w:color w:val="231F20"/>
        </w:rPr>
        <w:t>aditional use, fishing and recreation continue to contribute to connection, health and wellbeing.</w:t>
      </w:r>
    </w:p>
    <w:p w:rsidR="00D1511D" w:rsidRDefault="003F0CB3">
      <w:pPr>
        <w:pStyle w:val="BodyText"/>
        <w:spacing w:before="166" w:line="280" w:lineRule="auto"/>
        <w:ind w:left="1700" w:right="1410"/>
      </w:pPr>
      <w:r>
        <w:rPr>
          <w:color w:val="231F20"/>
        </w:rPr>
        <w:t>However, many factors both inside and outside the Reef are impacting upon the social, economic and heritage values of the Region (Chapter 6). The economic val</w:t>
      </w:r>
      <w:r>
        <w:rPr>
          <w:color w:val="231F20"/>
        </w:rPr>
        <w:t xml:space="preserve">ue of Reef-dependent uses relies on a healthy reef ecosystem. The impact on economic values from factors such as climate change, coastal development, land-based run off and other direct uses is considered to be high and likely to increase into the future. </w:t>
      </w:r>
      <w:r>
        <w:rPr>
          <w:color w:val="231F20"/>
        </w:rPr>
        <w:t>The relatively low impact on social values so far is predicted to increase if ecosystem health declines with resulting consequences for community health, wellbeing and enjoyment (</w:t>
      </w:r>
      <w:proofErr w:type="spellStart"/>
      <w:r>
        <w:rPr>
          <w:color w:val="231F20"/>
        </w:rPr>
        <w:t>pg</w:t>
      </w:r>
      <w:proofErr w:type="spellEnd"/>
      <w:r>
        <w:rPr>
          <w:color w:val="231F20"/>
        </w:rPr>
        <w:t xml:space="preserve"> 188, 2019 Outlook Report).</w:t>
      </w: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spacing w:before="2"/>
        <w:rPr>
          <w:sz w:val="33"/>
        </w:rPr>
      </w:pPr>
    </w:p>
    <w:p w:rsidR="00D1511D" w:rsidRDefault="003F0CB3">
      <w:pPr>
        <w:ind w:left="1417"/>
        <w:rPr>
          <w:rFonts w:ascii="Myriad Pro"/>
          <w:sz w:val="16"/>
        </w:rPr>
      </w:pPr>
      <w:r>
        <w:rPr>
          <w:rFonts w:ascii="Myriad Pro"/>
          <w:color w:val="231F20"/>
          <w:sz w:val="16"/>
        </w:rPr>
        <w:t xml:space="preserve">46 / </w:t>
      </w:r>
      <w:r>
        <w:rPr>
          <w:rFonts w:ascii="Myriad Pro"/>
          <w:color w:val="005695"/>
          <w:sz w:val="16"/>
        </w:rPr>
        <w:t xml:space="preserve">State Party Report on the state of conservation of the </w:t>
      </w:r>
      <w:r>
        <w:rPr>
          <w:rFonts w:ascii="Myriad Pro"/>
          <w:b/>
          <w:color w:val="005695"/>
          <w:sz w:val="16"/>
        </w:rPr>
        <w:t xml:space="preserve">Great Barrier Reef World Heritage Area (Australia) </w:t>
      </w:r>
      <w:r>
        <w:rPr>
          <w:rFonts w:ascii="Myriad Pro"/>
          <w:color w:val="005695"/>
          <w:sz w:val="16"/>
        </w:rPr>
        <w:t>2019</w:t>
      </w:r>
    </w:p>
    <w:p w:rsidR="00D1511D" w:rsidRDefault="00D1511D">
      <w:pPr>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2"/>
        <w:rPr>
          <w:rFonts w:ascii="Myriad Pro"/>
          <w:sz w:val="12"/>
        </w:rPr>
      </w:pPr>
    </w:p>
    <w:tbl>
      <w:tblPr>
        <w:tblW w:w="0" w:type="auto"/>
        <w:tblInd w:w="1705"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399"/>
        <w:gridCol w:w="1248"/>
        <w:gridCol w:w="950"/>
        <w:gridCol w:w="1158"/>
        <w:gridCol w:w="1927"/>
        <w:gridCol w:w="2095"/>
      </w:tblGrid>
      <w:tr w:rsidR="00D1511D">
        <w:trPr>
          <w:trHeight w:val="479"/>
        </w:trPr>
        <w:tc>
          <w:tcPr>
            <w:tcW w:w="1399" w:type="dxa"/>
            <w:vMerge w:val="restart"/>
          </w:tcPr>
          <w:p w:rsidR="00D1511D" w:rsidRDefault="003F0CB3">
            <w:pPr>
              <w:pStyle w:val="TableParagraph"/>
              <w:spacing w:before="71"/>
              <w:ind w:left="113"/>
              <w:rPr>
                <w:b/>
                <w:sz w:val="20"/>
              </w:rPr>
            </w:pPr>
            <w:r>
              <w:rPr>
                <w:b/>
                <w:color w:val="231F20"/>
                <w:sz w:val="20"/>
              </w:rPr>
              <w:t>Value</w:t>
            </w:r>
          </w:p>
        </w:tc>
        <w:tc>
          <w:tcPr>
            <w:tcW w:w="2198" w:type="dxa"/>
            <w:gridSpan w:val="2"/>
          </w:tcPr>
          <w:p w:rsidR="00D1511D" w:rsidRDefault="003F0CB3">
            <w:pPr>
              <w:pStyle w:val="TableParagraph"/>
              <w:spacing w:before="127"/>
              <w:ind w:left="228"/>
              <w:rPr>
                <w:b/>
                <w:sz w:val="11"/>
              </w:rPr>
            </w:pPr>
            <w:r>
              <w:rPr>
                <w:b/>
                <w:color w:val="231F20"/>
                <w:sz w:val="20"/>
              </w:rPr>
              <w:t>Condition and trend</w:t>
            </w:r>
            <w:r>
              <w:rPr>
                <w:b/>
                <w:color w:val="231F20"/>
                <w:position w:val="7"/>
                <w:sz w:val="11"/>
              </w:rPr>
              <w:t>13</w:t>
            </w:r>
          </w:p>
        </w:tc>
        <w:tc>
          <w:tcPr>
            <w:tcW w:w="1158" w:type="dxa"/>
            <w:vMerge w:val="restart"/>
          </w:tcPr>
          <w:p w:rsidR="00D1511D" w:rsidRDefault="00D1511D">
            <w:pPr>
              <w:pStyle w:val="TableParagraph"/>
              <w:spacing w:before="5"/>
              <w:rPr>
                <w:rFonts w:ascii="Myriad Pro"/>
                <w:sz w:val="26"/>
              </w:rPr>
            </w:pPr>
          </w:p>
          <w:p w:rsidR="00D1511D" w:rsidRDefault="003F0CB3">
            <w:pPr>
              <w:pStyle w:val="TableParagraph"/>
              <w:spacing w:before="1"/>
              <w:ind w:left="113"/>
              <w:rPr>
                <w:b/>
                <w:sz w:val="20"/>
              </w:rPr>
            </w:pPr>
            <w:r>
              <w:rPr>
                <w:b/>
                <w:color w:val="231F20"/>
                <w:sz w:val="20"/>
              </w:rPr>
              <w:t>Progress</w:t>
            </w:r>
          </w:p>
        </w:tc>
        <w:tc>
          <w:tcPr>
            <w:tcW w:w="1927" w:type="dxa"/>
            <w:vMerge w:val="restart"/>
          </w:tcPr>
          <w:p w:rsidR="00D1511D" w:rsidRDefault="003F0CB3">
            <w:pPr>
              <w:pStyle w:val="TableParagraph"/>
              <w:spacing w:before="71" w:line="280" w:lineRule="auto"/>
              <w:ind w:left="115" w:right="123"/>
              <w:rPr>
                <w:b/>
                <w:sz w:val="20"/>
              </w:rPr>
            </w:pPr>
            <w:r>
              <w:rPr>
                <w:b/>
                <w:color w:val="231F20"/>
                <w:sz w:val="20"/>
              </w:rPr>
              <w:t>Reason for current state</w:t>
            </w:r>
          </w:p>
        </w:tc>
        <w:tc>
          <w:tcPr>
            <w:tcW w:w="2095" w:type="dxa"/>
            <w:vMerge w:val="restart"/>
          </w:tcPr>
          <w:p w:rsidR="00D1511D" w:rsidRDefault="003F0CB3">
            <w:pPr>
              <w:pStyle w:val="TableParagraph"/>
              <w:spacing w:before="71"/>
              <w:ind w:left="116"/>
              <w:rPr>
                <w:b/>
                <w:sz w:val="20"/>
              </w:rPr>
            </w:pPr>
            <w:r>
              <w:rPr>
                <w:b/>
                <w:color w:val="231F20"/>
                <w:sz w:val="20"/>
              </w:rPr>
              <w:t>Key progress enablers</w:t>
            </w:r>
          </w:p>
        </w:tc>
      </w:tr>
      <w:tr w:rsidR="00D1511D">
        <w:trPr>
          <w:trHeight w:val="375"/>
        </w:trPr>
        <w:tc>
          <w:tcPr>
            <w:tcW w:w="1399" w:type="dxa"/>
            <w:vMerge/>
            <w:tcBorders>
              <w:top w:val="nil"/>
            </w:tcBorders>
          </w:tcPr>
          <w:p w:rsidR="00D1511D" w:rsidRDefault="00D1511D">
            <w:pPr>
              <w:rPr>
                <w:sz w:val="2"/>
                <w:szCs w:val="2"/>
              </w:rPr>
            </w:pPr>
          </w:p>
        </w:tc>
        <w:tc>
          <w:tcPr>
            <w:tcW w:w="1248" w:type="dxa"/>
          </w:tcPr>
          <w:p w:rsidR="00D1511D" w:rsidRDefault="003F0CB3">
            <w:pPr>
              <w:pStyle w:val="TableParagraph"/>
              <w:spacing w:before="71"/>
              <w:ind w:left="115"/>
              <w:rPr>
                <w:b/>
                <w:sz w:val="20"/>
              </w:rPr>
            </w:pPr>
            <w:r>
              <w:rPr>
                <w:b/>
                <w:color w:val="231F20"/>
                <w:sz w:val="20"/>
              </w:rPr>
              <w:t>2014</w:t>
            </w:r>
          </w:p>
        </w:tc>
        <w:tc>
          <w:tcPr>
            <w:tcW w:w="950" w:type="dxa"/>
          </w:tcPr>
          <w:p w:rsidR="00D1511D" w:rsidRDefault="003F0CB3">
            <w:pPr>
              <w:pStyle w:val="TableParagraph"/>
              <w:spacing w:before="71"/>
              <w:ind w:left="114"/>
              <w:rPr>
                <w:b/>
                <w:sz w:val="20"/>
              </w:rPr>
            </w:pPr>
            <w:r>
              <w:rPr>
                <w:b/>
                <w:color w:val="231F20"/>
                <w:sz w:val="20"/>
              </w:rPr>
              <w:t>2019</w:t>
            </w:r>
          </w:p>
        </w:tc>
        <w:tc>
          <w:tcPr>
            <w:tcW w:w="1158" w:type="dxa"/>
            <w:vMerge/>
            <w:tcBorders>
              <w:top w:val="nil"/>
            </w:tcBorders>
          </w:tcPr>
          <w:p w:rsidR="00D1511D" w:rsidRDefault="00D1511D">
            <w:pPr>
              <w:rPr>
                <w:sz w:val="2"/>
                <w:szCs w:val="2"/>
              </w:rPr>
            </w:pPr>
          </w:p>
        </w:tc>
        <w:tc>
          <w:tcPr>
            <w:tcW w:w="1927" w:type="dxa"/>
            <w:vMerge/>
            <w:tcBorders>
              <w:top w:val="nil"/>
            </w:tcBorders>
          </w:tcPr>
          <w:p w:rsidR="00D1511D" w:rsidRDefault="00D1511D">
            <w:pPr>
              <w:rPr>
                <w:sz w:val="2"/>
                <w:szCs w:val="2"/>
              </w:rPr>
            </w:pPr>
          </w:p>
        </w:tc>
        <w:tc>
          <w:tcPr>
            <w:tcW w:w="2095" w:type="dxa"/>
            <w:vMerge/>
            <w:tcBorders>
              <w:top w:val="nil"/>
            </w:tcBorders>
          </w:tcPr>
          <w:p w:rsidR="00D1511D" w:rsidRDefault="00D1511D">
            <w:pPr>
              <w:rPr>
                <w:sz w:val="2"/>
                <w:szCs w:val="2"/>
              </w:rPr>
            </w:pPr>
          </w:p>
        </w:tc>
      </w:tr>
      <w:tr w:rsidR="00D1511D">
        <w:trPr>
          <w:trHeight w:val="9442"/>
        </w:trPr>
        <w:tc>
          <w:tcPr>
            <w:tcW w:w="1399" w:type="dxa"/>
          </w:tcPr>
          <w:p w:rsidR="00D1511D" w:rsidRDefault="003F0CB3">
            <w:pPr>
              <w:pStyle w:val="TableParagraph"/>
              <w:spacing w:before="71" w:line="280" w:lineRule="auto"/>
              <w:ind w:left="113" w:right="138"/>
              <w:rPr>
                <w:sz w:val="20"/>
              </w:rPr>
            </w:pPr>
            <w:r>
              <w:rPr>
                <w:color w:val="231F20"/>
                <w:sz w:val="20"/>
              </w:rPr>
              <w:t>Economic and social benefits of use (of the Marine Parks)</w:t>
            </w:r>
          </w:p>
        </w:tc>
        <w:tc>
          <w:tcPr>
            <w:tcW w:w="1248" w:type="dxa"/>
            <w:shd w:val="clear" w:color="auto" w:fill="008752"/>
          </w:tcPr>
          <w:p w:rsidR="00D1511D" w:rsidRDefault="003F0CB3">
            <w:pPr>
              <w:pStyle w:val="TableParagraph"/>
              <w:spacing w:before="71"/>
              <w:ind w:left="115"/>
              <w:rPr>
                <w:sz w:val="20"/>
              </w:rPr>
            </w:pPr>
            <w:r>
              <w:rPr>
                <w:color w:val="FFFFFF"/>
                <w:sz w:val="20"/>
              </w:rPr>
              <w:t>Stable</w:t>
            </w:r>
          </w:p>
        </w:tc>
        <w:tc>
          <w:tcPr>
            <w:tcW w:w="950" w:type="dxa"/>
            <w:shd w:val="clear" w:color="auto" w:fill="008752"/>
          </w:tcPr>
          <w:p w:rsidR="00D1511D" w:rsidRDefault="003F0CB3">
            <w:pPr>
              <w:pStyle w:val="TableParagraph"/>
              <w:spacing w:before="71"/>
              <w:ind w:left="114"/>
              <w:rPr>
                <w:sz w:val="20"/>
              </w:rPr>
            </w:pPr>
            <w:r>
              <w:rPr>
                <w:color w:val="FFFFFF"/>
                <w:sz w:val="20"/>
              </w:rPr>
              <w:t>Stable</w:t>
            </w:r>
          </w:p>
        </w:tc>
        <w:tc>
          <w:tcPr>
            <w:tcW w:w="1158" w:type="dxa"/>
          </w:tcPr>
          <w:p w:rsidR="00D1511D" w:rsidRDefault="003F0CB3">
            <w:pPr>
              <w:pStyle w:val="TableParagraph"/>
              <w:spacing w:before="71"/>
              <w:ind w:left="113"/>
              <w:rPr>
                <w:sz w:val="20"/>
              </w:rPr>
            </w:pPr>
            <w:r>
              <w:rPr>
                <w:color w:val="231F20"/>
                <w:sz w:val="20"/>
              </w:rPr>
              <w:t>Target met</w:t>
            </w:r>
          </w:p>
        </w:tc>
        <w:tc>
          <w:tcPr>
            <w:tcW w:w="1927" w:type="dxa"/>
          </w:tcPr>
          <w:p w:rsidR="00D1511D" w:rsidRDefault="003F0CB3">
            <w:pPr>
              <w:pStyle w:val="TableParagraph"/>
              <w:spacing w:before="71" w:line="280" w:lineRule="auto"/>
              <w:ind w:left="115" w:right="222"/>
              <w:rPr>
                <w:sz w:val="20"/>
              </w:rPr>
            </w:pPr>
            <w:r>
              <w:rPr>
                <w:color w:val="231F20"/>
                <w:sz w:val="20"/>
              </w:rPr>
              <w:t>The property continues to be managed as a multiple use marine park, enabling different types of use and community benefit to be</w:t>
            </w:r>
            <w:r>
              <w:rPr>
                <w:color w:val="231F20"/>
                <w:spacing w:val="4"/>
                <w:sz w:val="20"/>
              </w:rPr>
              <w:t xml:space="preserve"> </w:t>
            </w:r>
            <w:r>
              <w:rPr>
                <w:color w:val="231F20"/>
                <w:spacing w:val="-4"/>
                <w:sz w:val="20"/>
              </w:rPr>
              <w:t>derived</w:t>
            </w:r>
          </w:p>
          <w:p w:rsidR="00D1511D" w:rsidRDefault="003F0CB3">
            <w:pPr>
              <w:pStyle w:val="TableParagraph"/>
              <w:spacing w:before="0" w:line="280" w:lineRule="auto"/>
              <w:ind w:left="115" w:right="192"/>
              <w:rPr>
                <w:sz w:val="20"/>
              </w:rPr>
            </w:pPr>
            <w:r>
              <w:rPr>
                <w:color w:val="231F20"/>
                <w:sz w:val="20"/>
              </w:rPr>
              <w:t xml:space="preserve">from the Region in </w:t>
            </w:r>
            <w:r>
              <w:rPr>
                <w:color w:val="231F20"/>
                <w:spacing w:val="-16"/>
                <w:sz w:val="20"/>
              </w:rPr>
              <w:t xml:space="preserve">a </w:t>
            </w:r>
            <w:r>
              <w:rPr>
                <w:color w:val="231F20"/>
                <w:sz w:val="20"/>
              </w:rPr>
              <w:t>sustainable</w:t>
            </w:r>
            <w:r>
              <w:rPr>
                <w:color w:val="231F20"/>
                <w:spacing w:val="-6"/>
                <w:sz w:val="20"/>
              </w:rPr>
              <w:t xml:space="preserve"> </w:t>
            </w:r>
            <w:r>
              <w:rPr>
                <w:color w:val="231F20"/>
                <w:sz w:val="20"/>
              </w:rPr>
              <w:t>manner.</w:t>
            </w:r>
          </w:p>
          <w:p w:rsidR="00D1511D" w:rsidRDefault="00D1511D">
            <w:pPr>
              <w:pStyle w:val="TableParagraph"/>
              <w:spacing w:before="7"/>
              <w:rPr>
                <w:rFonts w:ascii="Myriad Pro"/>
              </w:rPr>
            </w:pPr>
          </w:p>
          <w:p w:rsidR="00D1511D" w:rsidRDefault="003F0CB3">
            <w:pPr>
              <w:pStyle w:val="TableParagraph"/>
              <w:spacing w:before="1" w:line="280" w:lineRule="auto"/>
              <w:ind w:left="115" w:right="109"/>
              <w:rPr>
                <w:sz w:val="20"/>
              </w:rPr>
            </w:pPr>
            <w:r>
              <w:rPr>
                <w:color w:val="231F20"/>
                <w:sz w:val="20"/>
              </w:rPr>
              <w:t xml:space="preserve">Economic and social benefits to the </w:t>
            </w:r>
            <w:r>
              <w:rPr>
                <w:color w:val="231F20"/>
                <w:spacing w:val="-4"/>
                <w:sz w:val="20"/>
              </w:rPr>
              <w:t xml:space="preserve">Region </w:t>
            </w:r>
            <w:r>
              <w:rPr>
                <w:color w:val="231F20"/>
                <w:sz w:val="20"/>
              </w:rPr>
              <w:t xml:space="preserve">continue to </w:t>
            </w:r>
            <w:proofErr w:type="gramStart"/>
            <w:r>
              <w:rPr>
                <w:color w:val="231F20"/>
                <w:sz w:val="20"/>
              </w:rPr>
              <w:t>be  in</w:t>
            </w:r>
            <w:proofErr w:type="gramEnd"/>
            <w:r>
              <w:rPr>
                <w:color w:val="231F20"/>
                <w:sz w:val="20"/>
              </w:rPr>
              <w:t xml:space="preserve"> very good or goo</w:t>
            </w:r>
            <w:r>
              <w:rPr>
                <w:color w:val="231F20"/>
                <w:sz w:val="20"/>
              </w:rPr>
              <w:t>d condition</w:t>
            </w:r>
            <w:r>
              <w:rPr>
                <w:color w:val="231F20"/>
                <w:spacing w:val="-1"/>
                <w:sz w:val="20"/>
              </w:rPr>
              <w:t xml:space="preserve"> </w:t>
            </w:r>
            <w:r>
              <w:rPr>
                <w:color w:val="231F20"/>
                <w:sz w:val="20"/>
              </w:rPr>
              <w:t>overall.</w:t>
            </w:r>
          </w:p>
          <w:p w:rsidR="00D1511D" w:rsidRDefault="003F0CB3">
            <w:pPr>
              <w:pStyle w:val="TableParagraph"/>
              <w:spacing w:before="0" w:line="280" w:lineRule="auto"/>
              <w:ind w:left="115" w:right="509"/>
              <w:jc w:val="both"/>
              <w:rPr>
                <w:sz w:val="20"/>
              </w:rPr>
            </w:pPr>
            <w:r>
              <w:rPr>
                <w:color w:val="231F20"/>
                <w:sz w:val="20"/>
              </w:rPr>
              <w:t>Commercial and non-commercial use continue</w:t>
            </w:r>
          </w:p>
          <w:p w:rsidR="00D1511D" w:rsidRDefault="003F0CB3">
            <w:pPr>
              <w:pStyle w:val="TableParagraph"/>
              <w:spacing w:before="0" w:line="280" w:lineRule="auto"/>
              <w:ind w:left="115" w:right="635"/>
              <w:rPr>
                <w:sz w:val="20"/>
              </w:rPr>
            </w:pPr>
            <w:r>
              <w:rPr>
                <w:color w:val="231F20"/>
                <w:sz w:val="20"/>
              </w:rPr>
              <w:t>to contribute to the Region’s</w:t>
            </w:r>
          </w:p>
          <w:p w:rsidR="00D1511D" w:rsidRDefault="003F0CB3">
            <w:pPr>
              <w:pStyle w:val="TableParagraph"/>
              <w:spacing w:before="0" w:line="280" w:lineRule="auto"/>
              <w:ind w:left="115"/>
              <w:rPr>
                <w:sz w:val="20"/>
              </w:rPr>
            </w:pPr>
            <w:r>
              <w:rPr>
                <w:color w:val="231F20"/>
                <w:sz w:val="20"/>
              </w:rPr>
              <w:t>economy. The social benefits of fishing and recreation contribute significantly to health and wellbeing. The Reef is of major importance to Traditional Owners. he</w:t>
            </w:r>
            <w:r>
              <w:rPr>
                <w:color w:val="231F20"/>
                <w:sz w:val="20"/>
              </w:rPr>
              <w:t>alth and wellbeing. The Reef is of major importance to Traditional Owners.</w:t>
            </w:r>
          </w:p>
        </w:tc>
        <w:tc>
          <w:tcPr>
            <w:tcW w:w="2095" w:type="dxa"/>
          </w:tcPr>
          <w:p w:rsidR="00D1511D" w:rsidRDefault="003F0CB3">
            <w:pPr>
              <w:pStyle w:val="TableParagraph"/>
              <w:spacing w:before="71" w:line="280" w:lineRule="auto"/>
              <w:ind w:left="116" w:right="138"/>
              <w:rPr>
                <w:sz w:val="20"/>
              </w:rPr>
            </w:pPr>
            <w:r>
              <w:rPr>
                <w:color w:val="231F20"/>
                <w:sz w:val="20"/>
              </w:rPr>
              <w:t>Social and Economic Long-term Monitoring program continues to inform management on community benefit.</w:t>
            </w:r>
          </w:p>
          <w:p w:rsidR="00D1511D" w:rsidRDefault="00D1511D">
            <w:pPr>
              <w:pStyle w:val="TableParagraph"/>
              <w:spacing w:before="11"/>
              <w:rPr>
                <w:rFonts w:ascii="Myriad Pro"/>
              </w:rPr>
            </w:pPr>
          </w:p>
          <w:p w:rsidR="00D1511D" w:rsidRDefault="003F0CB3">
            <w:pPr>
              <w:pStyle w:val="TableParagraph"/>
              <w:spacing w:before="1" w:line="280" w:lineRule="auto"/>
              <w:ind w:left="116" w:right="254"/>
              <w:rPr>
                <w:sz w:val="20"/>
              </w:rPr>
            </w:pPr>
            <w:r>
              <w:rPr>
                <w:color w:val="231F20"/>
                <w:sz w:val="20"/>
              </w:rPr>
              <w:t xml:space="preserve">Great Barrier Reef Marine Park Zoning Plan 2003 (and </w:t>
            </w:r>
            <w:proofErr w:type="spellStart"/>
            <w:r>
              <w:rPr>
                <w:color w:val="231F20"/>
                <w:sz w:val="20"/>
              </w:rPr>
              <w:t>complementarry</w:t>
            </w:r>
            <w:proofErr w:type="spellEnd"/>
            <w:r>
              <w:rPr>
                <w:color w:val="231F20"/>
                <w:sz w:val="20"/>
              </w:rPr>
              <w:t xml:space="preserve"> State zoning) protection and enforcement.</w:t>
            </w:r>
          </w:p>
          <w:p w:rsidR="00D1511D" w:rsidRDefault="00D1511D">
            <w:pPr>
              <w:pStyle w:val="TableParagraph"/>
              <w:spacing w:before="11"/>
              <w:rPr>
                <w:rFonts w:ascii="Myriad Pro"/>
              </w:rPr>
            </w:pPr>
          </w:p>
          <w:p w:rsidR="00D1511D" w:rsidRDefault="003F0CB3">
            <w:pPr>
              <w:pStyle w:val="TableParagraph"/>
              <w:spacing w:before="0" w:line="280" w:lineRule="auto"/>
              <w:ind w:left="116" w:right="154"/>
              <w:rPr>
                <w:sz w:val="20"/>
              </w:rPr>
            </w:pPr>
            <w:r>
              <w:rPr>
                <w:color w:val="231F20"/>
                <w:sz w:val="20"/>
              </w:rPr>
              <w:t>Expansion of Reef protection markers and m</w:t>
            </w:r>
            <w:r>
              <w:rPr>
                <w:color w:val="231F20"/>
                <w:sz w:val="20"/>
              </w:rPr>
              <w:t>oorings to prevent anchor damage.</w:t>
            </w:r>
          </w:p>
        </w:tc>
      </w:tr>
    </w:tbl>
    <w:p w:rsidR="00D1511D" w:rsidRDefault="003F0CB3">
      <w:pPr>
        <w:pStyle w:val="BodyText"/>
        <w:spacing w:before="10"/>
        <w:rPr>
          <w:rFonts w:ascii="Myriad Pro"/>
          <w:sz w:val="25"/>
        </w:rPr>
      </w:pPr>
      <w:r>
        <w:pict>
          <v:shape id="_x0000_s1238" alt="" style="position:absolute;margin-left:85.05pt;margin-top:17.75pt;width:124.75pt;height:.1pt;z-index:-251610112;mso-wrap-edited:f;mso-width-percent:0;mso-height-percent:0;mso-wrap-distance-left:0;mso-wrap-distance-right:0;mso-position-horizontal-relative:page;mso-position-vertical-relative:text;mso-width-percent:0;mso-height-percent:0" coordsize="2495,1270" path="m,l2494,e" filled="f" strokecolor="#231f20" strokeweight=".5pt">
            <v:path arrowok="t" o:connecttype="custom" o:connectlocs="0,0;1583690,0" o:connectangles="0,0"/>
            <w10:wrap type="topAndBottom" anchorx="page"/>
          </v:shape>
        </w:pict>
      </w:r>
    </w:p>
    <w:p w:rsidR="00D1511D" w:rsidRDefault="003F0CB3">
      <w:pPr>
        <w:spacing w:before="62" w:after="41"/>
        <w:ind w:left="1700"/>
        <w:rPr>
          <w:rFonts w:ascii="Myriad Pro"/>
          <w:sz w:val="16"/>
        </w:rPr>
      </w:pPr>
      <w:r>
        <w:rPr>
          <w:rFonts w:ascii="Myriad Pro"/>
          <w:color w:val="231F20"/>
          <w:sz w:val="16"/>
        </w:rPr>
        <w:t>13 2019 Outlook grading key</w:t>
      </w:r>
    </w:p>
    <w:tbl>
      <w:tblPr>
        <w:tblW w:w="0" w:type="auto"/>
        <w:tblInd w:w="1705"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2197"/>
        <w:gridCol w:w="2197"/>
        <w:gridCol w:w="2197"/>
        <w:gridCol w:w="2197"/>
      </w:tblGrid>
      <w:tr w:rsidR="00D1511D">
        <w:trPr>
          <w:trHeight w:val="299"/>
        </w:trPr>
        <w:tc>
          <w:tcPr>
            <w:tcW w:w="2197" w:type="dxa"/>
            <w:shd w:val="clear" w:color="auto" w:fill="008752"/>
          </w:tcPr>
          <w:p w:rsidR="00D1511D" w:rsidRDefault="003F0CB3">
            <w:pPr>
              <w:pStyle w:val="TableParagraph"/>
              <w:spacing w:before="37"/>
              <w:ind w:left="675"/>
              <w:rPr>
                <w:sz w:val="20"/>
              </w:rPr>
            </w:pPr>
            <w:r>
              <w:rPr>
                <w:color w:val="FFFFFF"/>
                <w:sz w:val="20"/>
              </w:rPr>
              <w:t>Very Good</w:t>
            </w:r>
          </w:p>
        </w:tc>
        <w:tc>
          <w:tcPr>
            <w:tcW w:w="2197" w:type="dxa"/>
            <w:shd w:val="clear" w:color="auto" w:fill="A8D59D"/>
          </w:tcPr>
          <w:p w:rsidR="00D1511D" w:rsidRDefault="003F0CB3">
            <w:pPr>
              <w:pStyle w:val="TableParagraph"/>
              <w:spacing w:before="37"/>
              <w:ind w:left="708" w:right="704"/>
              <w:jc w:val="center"/>
              <w:rPr>
                <w:sz w:val="20"/>
              </w:rPr>
            </w:pPr>
            <w:r>
              <w:rPr>
                <w:color w:val="231F20"/>
                <w:sz w:val="20"/>
              </w:rPr>
              <w:t>Good</w:t>
            </w:r>
          </w:p>
        </w:tc>
        <w:tc>
          <w:tcPr>
            <w:tcW w:w="2197" w:type="dxa"/>
            <w:shd w:val="clear" w:color="auto" w:fill="FBDBCD"/>
          </w:tcPr>
          <w:p w:rsidR="00D1511D" w:rsidRDefault="003F0CB3">
            <w:pPr>
              <w:pStyle w:val="TableParagraph"/>
              <w:spacing w:before="37"/>
              <w:ind w:left="708" w:right="704"/>
              <w:jc w:val="center"/>
              <w:rPr>
                <w:sz w:val="20"/>
              </w:rPr>
            </w:pPr>
            <w:r>
              <w:rPr>
                <w:color w:val="231F20"/>
                <w:sz w:val="20"/>
              </w:rPr>
              <w:t>Poor</w:t>
            </w:r>
          </w:p>
        </w:tc>
        <w:tc>
          <w:tcPr>
            <w:tcW w:w="2197" w:type="dxa"/>
            <w:shd w:val="clear" w:color="auto" w:fill="E31B23"/>
          </w:tcPr>
          <w:p w:rsidR="00D1511D" w:rsidRDefault="003F0CB3">
            <w:pPr>
              <w:pStyle w:val="TableParagraph"/>
              <w:spacing w:before="37"/>
              <w:ind w:left="708" w:right="705"/>
              <w:jc w:val="center"/>
              <w:rPr>
                <w:sz w:val="20"/>
              </w:rPr>
            </w:pPr>
            <w:proofErr w:type="spellStart"/>
            <w:r>
              <w:rPr>
                <w:color w:val="FFFFFF"/>
                <w:sz w:val="20"/>
              </w:rPr>
              <w:t>VeryPoor</w:t>
            </w:r>
            <w:proofErr w:type="spellEnd"/>
          </w:p>
        </w:tc>
      </w:tr>
    </w:tbl>
    <w:p w:rsidR="00D1511D" w:rsidRDefault="00D1511D">
      <w:pPr>
        <w:pStyle w:val="BodyText"/>
        <w:spacing w:before="3"/>
        <w:rPr>
          <w:rFonts w:ascii="Myriad Pro"/>
        </w:rPr>
      </w:pPr>
    </w:p>
    <w:p w:rsidR="00D1511D" w:rsidRDefault="003F0CB3">
      <w:pPr>
        <w:ind w:left="1700"/>
        <w:rPr>
          <w:rFonts w:ascii="Myriad Pro"/>
          <w:sz w:val="16"/>
        </w:rPr>
      </w:pPr>
      <w:r>
        <w:rPr>
          <w:rFonts w:ascii="Myriad Pro"/>
          <w:color w:val="231F20"/>
          <w:sz w:val="16"/>
        </w:rPr>
        <w:t xml:space="preserve">Further detail is available in the 2019 Outlook Report available at: </w:t>
      </w:r>
      <w:hyperlink r:id="rId100">
        <w:r>
          <w:rPr>
            <w:rFonts w:ascii="Myriad Pro"/>
            <w:color w:val="1B5BAA"/>
            <w:sz w:val="16"/>
            <w:u w:val="single" w:color="1B5BAA"/>
          </w:rPr>
          <w:t>www.gbrmpa.gov.au</w:t>
        </w:r>
      </w:hyperlink>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rPr>
          <w:rFonts w:ascii="Myriad Pro"/>
          <w:sz w:val="18"/>
        </w:rPr>
      </w:pPr>
    </w:p>
    <w:p w:rsidR="00D1511D" w:rsidRDefault="00D1511D">
      <w:pPr>
        <w:pStyle w:val="BodyText"/>
        <w:spacing w:before="3"/>
        <w:rPr>
          <w:rFonts w:ascii="Myriad Pro"/>
          <w:sz w:val="16"/>
        </w:rPr>
      </w:pPr>
    </w:p>
    <w:p w:rsidR="00D1511D" w:rsidRDefault="003F0CB3">
      <w:pPr>
        <w:spacing w:before="1"/>
        <w:ind w:right="1415"/>
        <w:jc w:val="right"/>
        <w:rPr>
          <w:rFonts w:ascii="Myriad Pro"/>
          <w:sz w:val="16"/>
        </w:rPr>
      </w:pPr>
      <w:r>
        <w:rPr>
          <w:rFonts w:ascii="Myriad Pro"/>
          <w:color w:val="231F20"/>
          <w:sz w:val="16"/>
        </w:rPr>
        <w:t>47</w:t>
      </w:r>
    </w:p>
    <w:p w:rsidR="00D1511D" w:rsidRDefault="00D1511D">
      <w:pPr>
        <w:jc w:val="right"/>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1"/>
        <w:rPr>
          <w:rFonts w:ascii="Myriad Pro"/>
          <w:sz w:val="19"/>
        </w:rPr>
      </w:pPr>
    </w:p>
    <w:p w:rsidR="00D1511D" w:rsidRDefault="003F0CB3">
      <w:pPr>
        <w:pStyle w:val="Heading3"/>
        <w:spacing w:before="101"/>
        <w:ind w:left="1700"/>
      </w:pPr>
      <w:r>
        <w:rPr>
          <w:color w:val="005695"/>
        </w:rPr>
        <w:t>4.3.2f Economic benefit</w:t>
      </w:r>
    </w:p>
    <w:p w:rsidR="00D1511D" w:rsidRDefault="003F0CB3">
      <w:pPr>
        <w:pStyle w:val="BodyText"/>
        <w:spacing w:before="6"/>
        <w:rPr>
          <w:rFonts w:ascii="Myriad Pro"/>
          <w:sz w:val="12"/>
        </w:rPr>
      </w:pPr>
      <w:r>
        <w:pict>
          <v:shape id="_x0000_s1237" type="#_x0000_t202" alt="" style="position:absolute;margin-left:85.05pt;margin-top:8.7pt;width:439.4pt;height:46.3pt;z-index:-251609088;mso-wrap-style:square;mso-wrap-edited:f;mso-width-percent:0;mso-height-percent:0;mso-wrap-distance-left:0;mso-wrap-distance-right:0;mso-position-horizontal-relative:page;mso-width-percent:0;mso-height-percent:0;v-text-anchor:top" fillcolor="#d2e3de" stroked="f">
            <v:textbox inset="0,0,0,0">
              <w:txbxContent>
                <w:p w:rsidR="00D1511D" w:rsidRDefault="003F0CB3">
                  <w:pPr>
                    <w:pStyle w:val="BodyText"/>
                    <w:spacing w:before="191" w:line="280" w:lineRule="auto"/>
                    <w:ind w:left="283" w:right="381"/>
                  </w:pPr>
                  <w:r>
                    <w:rPr>
                      <w:color w:val="231F20"/>
                    </w:rPr>
                    <w:t>Target: The relationship between Reef health and the viability of Reef-dependent industries (e.g. tourism and fishing) is understood and considered in planning and development decisions (target EBT5)</w:t>
                  </w:r>
                </w:p>
              </w:txbxContent>
            </v:textbox>
            <w10:wrap type="topAndBottom" anchorx="page"/>
          </v:shape>
        </w:pict>
      </w:r>
    </w:p>
    <w:p w:rsidR="00D1511D" w:rsidRDefault="003F0CB3">
      <w:pPr>
        <w:pStyle w:val="BodyText"/>
        <w:spacing w:before="94" w:line="280" w:lineRule="auto"/>
        <w:ind w:left="1700" w:right="1496"/>
      </w:pPr>
      <w:r>
        <w:rPr>
          <w:color w:val="231F20"/>
        </w:rPr>
        <w:t>Reef-dependent industries and activities directly suppo</w:t>
      </w:r>
      <w:r>
        <w:rPr>
          <w:color w:val="231F20"/>
        </w:rPr>
        <w:t>rt approximately 64,000 jobs and brought $6.4 billion into the Australian economy in 2015-16. Direct human use of the Reef continues to be a significant contributor to regional and national economies, which demonstrates that the Reef continues to be valued</w:t>
      </w:r>
      <w:r>
        <w:rPr>
          <w:color w:val="231F20"/>
        </w:rPr>
        <w:t xml:space="preserve"> by national and international communities.</w:t>
      </w:r>
    </w:p>
    <w:p w:rsidR="00D1511D" w:rsidRDefault="00D1511D">
      <w:pPr>
        <w:pStyle w:val="BodyText"/>
        <w:spacing w:before="1"/>
        <w:rPr>
          <w:sz w:val="23"/>
        </w:rPr>
      </w:pPr>
    </w:p>
    <w:p w:rsidR="00D1511D" w:rsidRDefault="003F0CB3">
      <w:pPr>
        <w:pStyle w:val="Heading4"/>
      </w:pPr>
      <w:r>
        <w:rPr>
          <w:color w:val="58595B"/>
        </w:rPr>
        <w:t>Progress Summary</w:t>
      </w:r>
    </w:p>
    <w:p w:rsidR="00D1511D" w:rsidRDefault="003F0CB3">
      <w:pPr>
        <w:pStyle w:val="BodyText"/>
        <w:spacing w:before="205" w:line="280" w:lineRule="auto"/>
        <w:ind w:left="1700" w:right="1827"/>
        <w:jc w:val="both"/>
      </w:pPr>
      <w:r>
        <w:rPr>
          <w:color w:val="231F20"/>
        </w:rPr>
        <w:t>The economic contributions to the Australian economy from Reef-dependent activities, 2006-07 to</w:t>
      </w:r>
      <w:r>
        <w:rPr>
          <w:color w:val="231F20"/>
          <w:spacing w:val="-25"/>
        </w:rPr>
        <w:t xml:space="preserve"> </w:t>
      </w:r>
      <w:r>
        <w:rPr>
          <w:color w:val="231F20"/>
          <w:spacing w:val="-3"/>
        </w:rPr>
        <w:t xml:space="preserve">2015-16 </w:t>
      </w:r>
      <w:r>
        <w:rPr>
          <w:color w:val="231F20"/>
        </w:rPr>
        <w:t>is provided in the table below (2019 Outlook Report, page 111). Data such as this are essential to measuring progress against this target. However up to date, ongoing analysis of the direct and indirect economic</w:t>
      </w:r>
      <w:r>
        <w:rPr>
          <w:color w:val="231F20"/>
          <w:spacing w:val="-26"/>
        </w:rPr>
        <w:t xml:space="preserve"> </w:t>
      </w:r>
      <w:r>
        <w:rPr>
          <w:color w:val="231F20"/>
        </w:rPr>
        <w:t>benefit</w:t>
      </w:r>
    </w:p>
    <w:p w:rsidR="00D1511D" w:rsidRDefault="003F0CB3">
      <w:pPr>
        <w:pStyle w:val="BodyText"/>
        <w:spacing w:line="280" w:lineRule="auto"/>
        <w:ind w:left="1700" w:right="1651"/>
        <w:jc w:val="both"/>
      </w:pPr>
      <w:r>
        <w:rPr>
          <w:color w:val="231F20"/>
        </w:rPr>
        <w:t>from the Reef was identified as a kn</w:t>
      </w:r>
      <w:r>
        <w:rPr>
          <w:color w:val="231F20"/>
        </w:rPr>
        <w:t xml:space="preserve">owledge gap in the 2019 Outlook Report and will need to be considered </w:t>
      </w:r>
      <w:r>
        <w:rPr>
          <w:color w:val="231F20"/>
          <w:spacing w:val="-6"/>
        </w:rPr>
        <w:t xml:space="preserve">in </w:t>
      </w:r>
      <w:r>
        <w:rPr>
          <w:color w:val="231F20"/>
        </w:rPr>
        <w:t>the 2020 review of the Reef 2050 Plan.</w:t>
      </w:r>
    </w:p>
    <w:p w:rsidR="00D1511D" w:rsidRDefault="00D1511D">
      <w:pPr>
        <w:pStyle w:val="BodyText"/>
        <w:spacing w:before="7"/>
        <w:rPr>
          <w:sz w:val="12"/>
        </w:rPr>
      </w:pPr>
    </w:p>
    <w:tbl>
      <w:tblPr>
        <w:tblW w:w="0" w:type="auto"/>
        <w:tblInd w:w="1705"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757"/>
        <w:gridCol w:w="1757"/>
        <w:gridCol w:w="1757"/>
        <w:gridCol w:w="1757"/>
        <w:gridCol w:w="1757"/>
      </w:tblGrid>
      <w:tr w:rsidR="00D1511D">
        <w:trPr>
          <w:trHeight w:val="299"/>
        </w:trPr>
        <w:tc>
          <w:tcPr>
            <w:tcW w:w="1757" w:type="dxa"/>
            <w:vMerge w:val="restart"/>
          </w:tcPr>
          <w:p w:rsidR="00D1511D" w:rsidRDefault="003F0CB3">
            <w:pPr>
              <w:pStyle w:val="TableParagraph"/>
              <w:spacing w:before="37"/>
              <w:ind w:left="79"/>
              <w:rPr>
                <w:b/>
                <w:sz w:val="20"/>
              </w:rPr>
            </w:pPr>
            <w:r>
              <w:rPr>
                <w:b/>
                <w:color w:val="231F20"/>
                <w:sz w:val="20"/>
              </w:rPr>
              <w:t>Activity</w:t>
            </w:r>
          </w:p>
        </w:tc>
        <w:tc>
          <w:tcPr>
            <w:tcW w:w="7028" w:type="dxa"/>
            <w:gridSpan w:val="4"/>
          </w:tcPr>
          <w:p w:rsidR="00D1511D" w:rsidRDefault="003F0CB3">
            <w:pPr>
              <w:pStyle w:val="TableParagraph"/>
              <w:spacing w:before="37"/>
              <w:ind w:left="80"/>
              <w:rPr>
                <w:b/>
                <w:sz w:val="20"/>
              </w:rPr>
            </w:pPr>
            <w:r>
              <w:rPr>
                <w:b/>
                <w:color w:val="231F20"/>
                <w:sz w:val="20"/>
              </w:rPr>
              <w:t>Australian total value-added ($ million)</w:t>
            </w:r>
          </w:p>
        </w:tc>
      </w:tr>
      <w:tr w:rsidR="00D1511D">
        <w:trPr>
          <w:trHeight w:val="579"/>
        </w:trPr>
        <w:tc>
          <w:tcPr>
            <w:tcW w:w="1757" w:type="dxa"/>
            <w:vMerge/>
            <w:tcBorders>
              <w:top w:val="nil"/>
            </w:tcBorders>
          </w:tcPr>
          <w:p w:rsidR="00D1511D" w:rsidRDefault="00D1511D">
            <w:pPr>
              <w:rPr>
                <w:sz w:val="2"/>
                <w:szCs w:val="2"/>
              </w:rPr>
            </w:pPr>
          </w:p>
        </w:tc>
        <w:tc>
          <w:tcPr>
            <w:tcW w:w="1757" w:type="dxa"/>
          </w:tcPr>
          <w:p w:rsidR="00D1511D" w:rsidRDefault="003F0CB3">
            <w:pPr>
              <w:pStyle w:val="TableParagraph"/>
              <w:spacing w:before="37"/>
              <w:ind w:left="80"/>
              <w:rPr>
                <w:b/>
                <w:sz w:val="20"/>
              </w:rPr>
            </w:pPr>
            <w:r>
              <w:rPr>
                <w:b/>
                <w:color w:val="231F20"/>
                <w:sz w:val="20"/>
              </w:rPr>
              <w:t>2006-07</w:t>
            </w:r>
          </w:p>
        </w:tc>
        <w:tc>
          <w:tcPr>
            <w:tcW w:w="1757" w:type="dxa"/>
          </w:tcPr>
          <w:p w:rsidR="00D1511D" w:rsidRDefault="003F0CB3">
            <w:pPr>
              <w:pStyle w:val="TableParagraph"/>
              <w:spacing w:before="37"/>
              <w:ind w:left="80"/>
              <w:rPr>
                <w:b/>
                <w:sz w:val="20"/>
              </w:rPr>
            </w:pPr>
            <w:r>
              <w:rPr>
                <w:b/>
                <w:color w:val="231F20"/>
                <w:sz w:val="20"/>
              </w:rPr>
              <w:t>2011-12</w:t>
            </w:r>
          </w:p>
        </w:tc>
        <w:tc>
          <w:tcPr>
            <w:tcW w:w="1757" w:type="dxa"/>
          </w:tcPr>
          <w:p w:rsidR="00D1511D" w:rsidRDefault="003F0CB3">
            <w:pPr>
              <w:pStyle w:val="TableParagraph"/>
              <w:spacing w:before="37"/>
              <w:ind w:left="81"/>
              <w:rPr>
                <w:b/>
                <w:sz w:val="20"/>
              </w:rPr>
            </w:pPr>
            <w:r>
              <w:rPr>
                <w:b/>
                <w:color w:val="231F20"/>
                <w:sz w:val="20"/>
              </w:rPr>
              <w:t>2015-16</w:t>
            </w:r>
          </w:p>
        </w:tc>
        <w:tc>
          <w:tcPr>
            <w:tcW w:w="1757" w:type="dxa"/>
          </w:tcPr>
          <w:p w:rsidR="00D1511D" w:rsidRDefault="003F0CB3">
            <w:pPr>
              <w:pStyle w:val="TableParagraph"/>
              <w:spacing w:before="37"/>
              <w:ind w:left="81"/>
              <w:rPr>
                <w:b/>
                <w:sz w:val="20"/>
              </w:rPr>
            </w:pPr>
            <w:r>
              <w:rPr>
                <w:b/>
                <w:color w:val="231F20"/>
                <w:sz w:val="20"/>
              </w:rPr>
              <w:t>Change since</w:t>
            </w:r>
          </w:p>
          <w:p w:rsidR="00D1511D" w:rsidRDefault="003F0CB3">
            <w:pPr>
              <w:pStyle w:val="TableParagraph"/>
              <w:spacing w:before="40"/>
              <w:ind w:left="81"/>
              <w:rPr>
                <w:b/>
                <w:sz w:val="20"/>
              </w:rPr>
            </w:pPr>
            <w:r>
              <w:rPr>
                <w:b/>
                <w:color w:val="231F20"/>
                <w:sz w:val="20"/>
              </w:rPr>
              <w:t>2011-12 (%)</w:t>
            </w:r>
          </w:p>
        </w:tc>
      </w:tr>
      <w:tr w:rsidR="00D1511D">
        <w:trPr>
          <w:trHeight w:val="299"/>
        </w:trPr>
        <w:tc>
          <w:tcPr>
            <w:tcW w:w="1757" w:type="dxa"/>
          </w:tcPr>
          <w:p w:rsidR="00D1511D" w:rsidRDefault="003F0CB3">
            <w:pPr>
              <w:pStyle w:val="TableParagraph"/>
              <w:spacing w:before="37"/>
              <w:ind w:left="79"/>
              <w:rPr>
                <w:b/>
                <w:sz w:val="20"/>
              </w:rPr>
            </w:pPr>
            <w:r>
              <w:rPr>
                <w:b/>
                <w:color w:val="231F20"/>
                <w:sz w:val="20"/>
              </w:rPr>
              <w:t>Tourism</w:t>
            </w:r>
          </w:p>
        </w:tc>
        <w:tc>
          <w:tcPr>
            <w:tcW w:w="1757" w:type="dxa"/>
          </w:tcPr>
          <w:p w:rsidR="00D1511D" w:rsidRDefault="003F0CB3">
            <w:pPr>
              <w:pStyle w:val="TableParagraph"/>
              <w:spacing w:before="37"/>
              <w:ind w:left="80"/>
              <w:rPr>
                <w:sz w:val="20"/>
              </w:rPr>
            </w:pPr>
            <w:r>
              <w:rPr>
                <w:color w:val="231F20"/>
                <w:sz w:val="20"/>
              </w:rPr>
              <w:t>$5117</w:t>
            </w:r>
          </w:p>
        </w:tc>
        <w:tc>
          <w:tcPr>
            <w:tcW w:w="1757" w:type="dxa"/>
          </w:tcPr>
          <w:p w:rsidR="00D1511D" w:rsidRDefault="003F0CB3">
            <w:pPr>
              <w:pStyle w:val="TableParagraph"/>
              <w:spacing w:before="37"/>
              <w:ind w:left="80"/>
              <w:rPr>
                <w:sz w:val="20"/>
              </w:rPr>
            </w:pPr>
            <w:r>
              <w:rPr>
                <w:color w:val="231F20"/>
                <w:sz w:val="20"/>
              </w:rPr>
              <w:t>$5176</w:t>
            </w:r>
          </w:p>
        </w:tc>
        <w:tc>
          <w:tcPr>
            <w:tcW w:w="1757" w:type="dxa"/>
          </w:tcPr>
          <w:p w:rsidR="00D1511D" w:rsidRDefault="003F0CB3">
            <w:pPr>
              <w:pStyle w:val="TableParagraph"/>
              <w:spacing w:before="37"/>
              <w:ind w:left="81"/>
              <w:rPr>
                <w:sz w:val="20"/>
              </w:rPr>
            </w:pPr>
            <w:r>
              <w:rPr>
                <w:color w:val="231F20"/>
                <w:sz w:val="20"/>
              </w:rPr>
              <w:t>$5700</w:t>
            </w:r>
          </w:p>
        </w:tc>
        <w:tc>
          <w:tcPr>
            <w:tcW w:w="1757" w:type="dxa"/>
          </w:tcPr>
          <w:p w:rsidR="00D1511D" w:rsidRDefault="003F0CB3">
            <w:pPr>
              <w:pStyle w:val="TableParagraph"/>
              <w:spacing w:before="37"/>
              <w:ind w:left="81"/>
              <w:rPr>
                <w:sz w:val="20"/>
              </w:rPr>
            </w:pPr>
            <w:r>
              <w:rPr>
                <w:color w:val="231F20"/>
                <w:sz w:val="20"/>
              </w:rPr>
              <w:t>+10</w:t>
            </w:r>
          </w:p>
        </w:tc>
      </w:tr>
      <w:tr w:rsidR="00D1511D">
        <w:trPr>
          <w:trHeight w:val="859"/>
        </w:trPr>
        <w:tc>
          <w:tcPr>
            <w:tcW w:w="1757" w:type="dxa"/>
          </w:tcPr>
          <w:p w:rsidR="00D1511D" w:rsidRDefault="003F0CB3">
            <w:pPr>
              <w:pStyle w:val="TableParagraph"/>
              <w:spacing w:before="37" w:line="280" w:lineRule="auto"/>
              <w:ind w:left="79" w:right="646"/>
              <w:rPr>
                <w:b/>
                <w:sz w:val="20"/>
              </w:rPr>
            </w:pPr>
            <w:r>
              <w:rPr>
                <w:b/>
                <w:color w:val="231F20"/>
                <w:sz w:val="20"/>
              </w:rPr>
              <w:t>Commercial fishing and</w:t>
            </w:r>
          </w:p>
          <w:p w:rsidR="00D1511D" w:rsidRDefault="003F0CB3">
            <w:pPr>
              <w:pStyle w:val="TableParagraph"/>
              <w:spacing w:before="0" w:line="238" w:lineRule="exact"/>
              <w:ind w:left="79"/>
              <w:rPr>
                <w:b/>
                <w:sz w:val="20"/>
              </w:rPr>
            </w:pPr>
            <w:r>
              <w:rPr>
                <w:b/>
                <w:color w:val="231F20"/>
                <w:sz w:val="20"/>
              </w:rPr>
              <w:t>aquaculture</w:t>
            </w:r>
          </w:p>
        </w:tc>
        <w:tc>
          <w:tcPr>
            <w:tcW w:w="1757" w:type="dxa"/>
          </w:tcPr>
          <w:p w:rsidR="00D1511D" w:rsidRDefault="003F0CB3">
            <w:pPr>
              <w:pStyle w:val="TableParagraph"/>
              <w:spacing w:before="37"/>
              <w:ind w:left="80"/>
              <w:rPr>
                <w:sz w:val="20"/>
              </w:rPr>
            </w:pPr>
            <w:r>
              <w:rPr>
                <w:color w:val="231F20"/>
                <w:sz w:val="20"/>
              </w:rPr>
              <w:t>$139</w:t>
            </w:r>
          </w:p>
        </w:tc>
        <w:tc>
          <w:tcPr>
            <w:tcW w:w="1757" w:type="dxa"/>
          </w:tcPr>
          <w:p w:rsidR="00D1511D" w:rsidRDefault="003F0CB3">
            <w:pPr>
              <w:pStyle w:val="TableParagraph"/>
              <w:spacing w:before="37"/>
              <w:ind w:left="80"/>
              <w:rPr>
                <w:sz w:val="20"/>
              </w:rPr>
            </w:pPr>
            <w:r>
              <w:rPr>
                <w:color w:val="231F20"/>
                <w:sz w:val="20"/>
              </w:rPr>
              <w:t>$160</w:t>
            </w:r>
          </w:p>
        </w:tc>
        <w:tc>
          <w:tcPr>
            <w:tcW w:w="1757" w:type="dxa"/>
          </w:tcPr>
          <w:p w:rsidR="00D1511D" w:rsidRDefault="003F0CB3">
            <w:pPr>
              <w:pStyle w:val="TableParagraph"/>
              <w:spacing w:before="37"/>
              <w:ind w:left="81"/>
              <w:rPr>
                <w:sz w:val="20"/>
              </w:rPr>
            </w:pPr>
            <w:r>
              <w:rPr>
                <w:color w:val="231F20"/>
                <w:sz w:val="20"/>
              </w:rPr>
              <w:t>$162</w:t>
            </w:r>
          </w:p>
        </w:tc>
        <w:tc>
          <w:tcPr>
            <w:tcW w:w="1757" w:type="dxa"/>
          </w:tcPr>
          <w:p w:rsidR="00D1511D" w:rsidRDefault="003F0CB3">
            <w:pPr>
              <w:pStyle w:val="TableParagraph"/>
              <w:spacing w:before="37"/>
              <w:ind w:left="81"/>
              <w:rPr>
                <w:sz w:val="20"/>
              </w:rPr>
            </w:pPr>
            <w:r>
              <w:rPr>
                <w:color w:val="231F20"/>
                <w:sz w:val="20"/>
              </w:rPr>
              <w:t>+1</w:t>
            </w:r>
          </w:p>
        </w:tc>
      </w:tr>
      <w:tr w:rsidR="00D1511D">
        <w:trPr>
          <w:trHeight w:val="579"/>
        </w:trPr>
        <w:tc>
          <w:tcPr>
            <w:tcW w:w="1757" w:type="dxa"/>
          </w:tcPr>
          <w:p w:rsidR="00D1511D" w:rsidRDefault="003F0CB3">
            <w:pPr>
              <w:pStyle w:val="TableParagraph"/>
              <w:spacing w:before="37"/>
              <w:ind w:left="79"/>
              <w:rPr>
                <w:b/>
                <w:sz w:val="20"/>
              </w:rPr>
            </w:pPr>
            <w:r>
              <w:rPr>
                <w:b/>
                <w:color w:val="231F20"/>
                <w:sz w:val="20"/>
              </w:rPr>
              <w:t>Recreation use</w:t>
            </w:r>
          </w:p>
          <w:p w:rsidR="00D1511D" w:rsidRDefault="003F0CB3">
            <w:pPr>
              <w:pStyle w:val="TableParagraph"/>
              <w:spacing w:before="40"/>
              <w:ind w:left="79"/>
              <w:rPr>
                <w:b/>
                <w:sz w:val="20"/>
              </w:rPr>
            </w:pPr>
            <w:r>
              <w:rPr>
                <w:b/>
                <w:color w:val="231F20"/>
                <w:sz w:val="20"/>
              </w:rPr>
              <w:t>(including fishing)</w:t>
            </w:r>
          </w:p>
        </w:tc>
        <w:tc>
          <w:tcPr>
            <w:tcW w:w="1757" w:type="dxa"/>
          </w:tcPr>
          <w:p w:rsidR="00D1511D" w:rsidRDefault="003F0CB3">
            <w:pPr>
              <w:pStyle w:val="TableParagraph"/>
              <w:spacing w:before="37"/>
              <w:ind w:left="80"/>
              <w:rPr>
                <w:sz w:val="20"/>
              </w:rPr>
            </w:pPr>
            <w:r>
              <w:rPr>
                <w:color w:val="231F20"/>
                <w:sz w:val="20"/>
              </w:rPr>
              <w:t>$153</w:t>
            </w:r>
          </w:p>
        </w:tc>
        <w:tc>
          <w:tcPr>
            <w:tcW w:w="1757" w:type="dxa"/>
          </w:tcPr>
          <w:p w:rsidR="00D1511D" w:rsidRDefault="003F0CB3">
            <w:pPr>
              <w:pStyle w:val="TableParagraph"/>
              <w:spacing w:before="37"/>
              <w:ind w:left="80"/>
              <w:rPr>
                <w:sz w:val="20"/>
              </w:rPr>
            </w:pPr>
            <w:r>
              <w:rPr>
                <w:color w:val="231F20"/>
                <w:sz w:val="20"/>
              </w:rPr>
              <w:t>$244</w:t>
            </w:r>
          </w:p>
        </w:tc>
        <w:tc>
          <w:tcPr>
            <w:tcW w:w="1757" w:type="dxa"/>
          </w:tcPr>
          <w:p w:rsidR="00D1511D" w:rsidRDefault="003F0CB3">
            <w:pPr>
              <w:pStyle w:val="TableParagraph"/>
              <w:spacing w:before="37"/>
              <w:ind w:left="81"/>
              <w:rPr>
                <w:sz w:val="20"/>
              </w:rPr>
            </w:pPr>
            <w:r>
              <w:rPr>
                <w:color w:val="231F20"/>
                <w:sz w:val="20"/>
              </w:rPr>
              <w:t>$346</w:t>
            </w:r>
          </w:p>
        </w:tc>
        <w:tc>
          <w:tcPr>
            <w:tcW w:w="1757" w:type="dxa"/>
          </w:tcPr>
          <w:p w:rsidR="00D1511D" w:rsidRDefault="003F0CB3">
            <w:pPr>
              <w:pStyle w:val="TableParagraph"/>
              <w:spacing w:before="37"/>
              <w:ind w:left="81"/>
              <w:rPr>
                <w:sz w:val="20"/>
              </w:rPr>
            </w:pPr>
            <w:r>
              <w:rPr>
                <w:color w:val="231F20"/>
                <w:sz w:val="20"/>
              </w:rPr>
              <w:t>+42</w:t>
            </w:r>
          </w:p>
        </w:tc>
      </w:tr>
      <w:tr w:rsidR="00D1511D">
        <w:trPr>
          <w:trHeight w:val="859"/>
        </w:trPr>
        <w:tc>
          <w:tcPr>
            <w:tcW w:w="1757" w:type="dxa"/>
          </w:tcPr>
          <w:p w:rsidR="00D1511D" w:rsidRDefault="003F0CB3">
            <w:pPr>
              <w:pStyle w:val="TableParagraph"/>
              <w:spacing w:before="37" w:line="280" w:lineRule="auto"/>
              <w:ind w:left="79" w:right="243"/>
              <w:rPr>
                <w:b/>
                <w:sz w:val="20"/>
              </w:rPr>
            </w:pPr>
            <w:r>
              <w:rPr>
                <w:b/>
                <w:color w:val="231F20"/>
                <w:sz w:val="20"/>
              </w:rPr>
              <w:t>Scientific research and</w:t>
            </w:r>
            <w:r>
              <w:rPr>
                <w:b/>
                <w:color w:val="231F20"/>
                <w:spacing w:val="-5"/>
                <w:sz w:val="20"/>
              </w:rPr>
              <w:t xml:space="preserve"> Reef</w:t>
            </w:r>
          </w:p>
          <w:p w:rsidR="00D1511D" w:rsidRDefault="003F0CB3">
            <w:pPr>
              <w:pStyle w:val="TableParagraph"/>
              <w:spacing w:before="0" w:line="238" w:lineRule="exact"/>
              <w:ind w:left="79"/>
              <w:rPr>
                <w:b/>
                <w:sz w:val="20"/>
              </w:rPr>
            </w:pPr>
            <w:r>
              <w:rPr>
                <w:b/>
                <w:color w:val="231F20"/>
                <w:sz w:val="20"/>
              </w:rPr>
              <w:t>management</w:t>
            </w:r>
          </w:p>
        </w:tc>
        <w:tc>
          <w:tcPr>
            <w:tcW w:w="1757" w:type="dxa"/>
          </w:tcPr>
          <w:p w:rsidR="00D1511D" w:rsidRDefault="003F0CB3">
            <w:pPr>
              <w:pStyle w:val="TableParagraph"/>
              <w:spacing w:before="37"/>
              <w:ind w:left="80"/>
              <w:rPr>
                <w:sz w:val="20"/>
              </w:rPr>
            </w:pPr>
            <w:r>
              <w:rPr>
                <w:color w:val="231F20"/>
                <w:sz w:val="20"/>
              </w:rPr>
              <w:t>-</w:t>
            </w:r>
          </w:p>
        </w:tc>
        <w:tc>
          <w:tcPr>
            <w:tcW w:w="1757" w:type="dxa"/>
          </w:tcPr>
          <w:p w:rsidR="00D1511D" w:rsidRDefault="003F0CB3">
            <w:pPr>
              <w:pStyle w:val="TableParagraph"/>
              <w:spacing w:before="37"/>
              <w:ind w:left="80"/>
              <w:rPr>
                <w:sz w:val="20"/>
              </w:rPr>
            </w:pPr>
            <w:r>
              <w:rPr>
                <w:color w:val="231F20"/>
                <w:sz w:val="20"/>
              </w:rPr>
              <w:t>$98</w:t>
            </w:r>
          </w:p>
        </w:tc>
        <w:tc>
          <w:tcPr>
            <w:tcW w:w="1757" w:type="dxa"/>
          </w:tcPr>
          <w:p w:rsidR="00D1511D" w:rsidRDefault="003F0CB3">
            <w:pPr>
              <w:pStyle w:val="TableParagraph"/>
              <w:spacing w:before="37"/>
              <w:ind w:left="81"/>
              <w:rPr>
                <w:sz w:val="20"/>
              </w:rPr>
            </w:pPr>
            <w:r>
              <w:rPr>
                <w:color w:val="231F20"/>
                <w:sz w:val="20"/>
              </w:rPr>
              <w:t>$182</w:t>
            </w:r>
          </w:p>
        </w:tc>
        <w:tc>
          <w:tcPr>
            <w:tcW w:w="1757" w:type="dxa"/>
          </w:tcPr>
          <w:p w:rsidR="00D1511D" w:rsidRDefault="003F0CB3">
            <w:pPr>
              <w:pStyle w:val="TableParagraph"/>
              <w:spacing w:before="37"/>
              <w:ind w:left="81"/>
              <w:rPr>
                <w:sz w:val="20"/>
              </w:rPr>
            </w:pPr>
            <w:r>
              <w:rPr>
                <w:color w:val="231F20"/>
                <w:sz w:val="20"/>
              </w:rPr>
              <w:t>+86</w:t>
            </w:r>
          </w:p>
        </w:tc>
      </w:tr>
      <w:tr w:rsidR="00D1511D">
        <w:trPr>
          <w:trHeight w:val="300"/>
        </w:trPr>
        <w:tc>
          <w:tcPr>
            <w:tcW w:w="1757" w:type="dxa"/>
          </w:tcPr>
          <w:p w:rsidR="00D1511D" w:rsidRDefault="003F0CB3">
            <w:pPr>
              <w:pStyle w:val="TableParagraph"/>
              <w:spacing w:before="37"/>
              <w:ind w:left="79"/>
              <w:rPr>
                <w:b/>
                <w:sz w:val="20"/>
              </w:rPr>
            </w:pPr>
            <w:r>
              <w:rPr>
                <w:b/>
                <w:color w:val="231F20"/>
                <w:sz w:val="20"/>
              </w:rPr>
              <w:t>Total contribution</w:t>
            </w:r>
          </w:p>
        </w:tc>
        <w:tc>
          <w:tcPr>
            <w:tcW w:w="1757" w:type="dxa"/>
          </w:tcPr>
          <w:p w:rsidR="00D1511D" w:rsidRDefault="003F0CB3">
            <w:pPr>
              <w:pStyle w:val="TableParagraph"/>
              <w:spacing w:before="37"/>
              <w:ind w:left="80"/>
              <w:rPr>
                <w:sz w:val="20"/>
              </w:rPr>
            </w:pPr>
            <w:r>
              <w:rPr>
                <w:color w:val="231F20"/>
                <w:sz w:val="20"/>
              </w:rPr>
              <w:t>$5409</w:t>
            </w:r>
          </w:p>
        </w:tc>
        <w:tc>
          <w:tcPr>
            <w:tcW w:w="1757" w:type="dxa"/>
          </w:tcPr>
          <w:p w:rsidR="00D1511D" w:rsidRDefault="003F0CB3">
            <w:pPr>
              <w:pStyle w:val="TableParagraph"/>
              <w:spacing w:before="37"/>
              <w:ind w:left="80"/>
              <w:rPr>
                <w:sz w:val="20"/>
              </w:rPr>
            </w:pPr>
            <w:r>
              <w:rPr>
                <w:color w:val="231F20"/>
                <w:sz w:val="20"/>
              </w:rPr>
              <w:t>$5678</w:t>
            </w:r>
          </w:p>
        </w:tc>
        <w:tc>
          <w:tcPr>
            <w:tcW w:w="1757" w:type="dxa"/>
          </w:tcPr>
          <w:p w:rsidR="00D1511D" w:rsidRDefault="003F0CB3">
            <w:pPr>
              <w:pStyle w:val="TableParagraph"/>
              <w:spacing w:before="37"/>
              <w:ind w:left="81"/>
              <w:rPr>
                <w:sz w:val="20"/>
              </w:rPr>
            </w:pPr>
            <w:r>
              <w:rPr>
                <w:color w:val="231F20"/>
                <w:sz w:val="20"/>
              </w:rPr>
              <w:t>$6390</w:t>
            </w:r>
          </w:p>
        </w:tc>
        <w:tc>
          <w:tcPr>
            <w:tcW w:w="1757" w:type="dxa"/>
          </w:tcPr>
          <w:p w:rsidR="00D1511D" w:rsidRDefault="003F0CB3">
            <w:pPr>
              <w:pStyle w:val="TableParagraph"/>
              <w:spacing w:before="37"/>
              <w:ind w:left="81"/>
              <w:rPr>
                <w:sz w:val="20"/>
              </w:rPr>
            </w:pPr>
            <w:r>
              <w:rPr>
                <w:color w:val="231F20"/>
                <w:sz w:val="20"/>
              </w:rPr>
              <w:t>+13</w:t>
            </w:r>
          </w:p>
        </w:tc>
      </w:tr>
    </w:tbl>
    <w:p w:rsidR="00D1511D" w:rsidRDefault="00D1511D">
      <w:pPr>
        <w:pStyle w:val="BodyText"/>
        <w:spacing w:before="10"/>
        <w:rPr>
          <w:sz w:val="30"/>
        </w:rPr>
      </w:pPr>
    </w:p>
    <w:p w:rsidR="00D1511D" w:rsidRDefault="003F0CB3">
      <w:pPr>
        <w:pStyle w:val="Heading3"/>
        <w:numPr>
          <w:ilvl w:val="2"/>
          <w:numId w:val="36"/>
        </w:numPr>
        <w:tabs>
          <w:tab w:val="left" w:pos="2251"/>
        </w:tabs>
        <w:spacing w:before="1"/>
        <w:ind w:hanging="551"/>
        <w:jc w:val="both"/>
      </w:pPr>
      <w:r>
        <w:rPr>
          <w:color w:val="005695"/>
        </w:rPr>
        <w:t xml:space="preserve">g </w:t>
      </w:r>
      <w:r>
        <w:rPr>
          <w:color w:val="005695"/>
          <w:spacing w:val="-4"/>
        </w:rPr>
        <w:t xml:space="preserve">Governance </w:t>
      </w:r>
      <w:r>
        <w:rPr>
          <w:color w:val="005695"/>
          <w:spacing w:val="-2"/>
        </w:rPr>
        <w:t>and</w:t>
      </w:r>
      <w:r>
        <w:rPr>
          <w:color w:val="005695"/>
          <w:spacing w:val="-33"/>
        </w:rPr>
        <w:t xml:space="preserve"> </w:t>
      </w:r>
      <w:r>
        <w:rPr>
          <w:color w:val="005695"/>
        </w:rPr>
        <w:t>performance</w:t>
      </w:r>
    </w:p>
    <w:p w:rsidR="00D1511D" w:rsidRDefault="003F0CB3">
      <w:pPr>
        <w:pStyle w:val="BodyText"/>
        <w:spacing w:before="10"/>
        <w:rPr>
          <w:rFonts w:ascii="Myriad Pro"/>
          <w:sz w:val="10"/>
        </w:rPr>
      </w:pPr>
      <w:r>
        <w:pict>
          <v:shape id="_x0000_s1236" type="#_x0000_t202" alt="" style="position:absolute;margin-left:85.35pt;margin-top:7.75pt;width:439.4pt;height:46.3pt;z-index:-251608064;mso-wrap-style:square;mso-wrap-edited:f;mso-width-percent:0;mso-height-percent:0;mso-wrap-distance-left:0;mso-wrap-distance-right:0;mso-position-horizontal-relative:page;mso-width-percent:0;mso-height-percent:0;v-text-anchor:top" fillcolor="#d2e3de" stroked="f">
            <v:textbox inset="0,0,0,0">
              <w:txbxContent>
                <w:p w:rsidR="00D1511D" w:rsidRDefault="003F0CB3">
                  <w:pPr>
                    <w:pStyle w:val="BodyText"/>
                    <w:spacing w:before="210" w:line="280" w:lineRule="auto"/>
                    <w:ind w:left="277" w:right="61"/>
                  </w:pPr>
                  <w:r>
                    <w:rPr>
                      <w:color w:val="231F20"/>
                    </w:rPr>
                    <w:t>Target: A comprehensive Integrated Monitoring and Reporting Program is established and operational and the reporting informs the review and updating of this Plan (target GT5)</w:t>
                  </w:r>
                </w:p>
              </w:txbxContent>
            </v:textbox>
            <w10:wrap type="topAndBottom" anchorx="page"/>
          </v:shape>
        </w:pict>
      </w:r>
    </w:p>
    <w:p w:rsidR="00D1511D" w:rsidRDefault="00D1511D">
      <w:pPr>
        <w:pStyle w:val="BodyText"/>
        <w:spacing w:before="11"/>
        <w:rPr>
          <w:rFonts w:ascii="Myriad Pro"/>
          <w:sz w:val="5"/>
        </w:rPr>
      </w:pPr>
    </w:p>
    <w:p w:rsidR="00D1511D" w:rsidRDefault="003F0CB3">
      <w:pPr>
        <w:pStyle w:val="BodyText"/>
        <w:spacing w:before="98" w:line="280" w:lineRule="auto"/>
        <w:ind w:left="1700" w:right="1422"/>
      </w:pPr>
      <w:r>
        <w:rPr>
          <w:color w:val="231F20"/>
        </w:rPr>
        <w:t xml:space="preserve">A key element of the Reef 2050 Plan is the establishment of the </w:t>
      </w:r>
      <w:hyperlink r:id="rId101">
        <w:r>
          <w:rPr>
            <w:color w:val="1B5BAA"/>
            <w:u w:val="single" w:color="1B5BAA"/>
          </w:rPr>
          <w:t>Reef 2050 Integrated Monitoring and Reporting</w:t>
        </w:r>
      </w:hyperlink>
      <w:r>
        <w:rPr>
          <w:color w:val="1B5BAA"/>
        </w:rPr>
        <w:t xml:space="preserve"> </w:t>
      </w:r>
      <w:hyperlink r:id="rId102">
        <w:r>
          <w:rPr>
            <w:color w:val="1B5BAA"/>
            <w:u w:val="single" w:color="1B5BAA"/>
          </w:rPr>
          <w:t>Program</w:t>
        </w:r>
      </w:hyperlink>
      <w:r>
        <w:rPr>
          <w:color w:val="231F20"/>
        </w:rPr>
        <w:t>. The program will provide a comprehensive and up-to-date understanding of the Reef and its adjacent catchment – the values and processes that support it and the threats that affect it. This knowledge is fundamental to informing actions r</w:t>
      </w:r>
      <w:r>
        <w:rPr>
          <w:color w:val="231F20"/>
        </w:rPr>
        <w:t>equired to protect and improve the Reef’s condition and to drive adaptive management.</w:t>
      </w:r>
    </w:p>
    <w:p w:rsidR="00D1511D" w:rsidRDefault="003F0CB3">
      <w:pPr>
        <w:pStyle w:val="BodyText"/>
        <w:spacing w:before="167" w:line="280" w:lineRule="auto"/>
        <w:ind w:left="1700" w:right="1538"/>
      </w:pPr>
      <w:r>
        <w:rPr>
          <w:color w:val="231F20"/>
        </w:rPr>
        <w:t xml:space="preserve">The program’s vision is to become a knowledge system that will enable resilience-based management of the Reef and its </w:t>
      </w:r>
      <w:proofErr w:type="gramStart"/>
      <w:r>
        <w:rPr>
          <w:color w:val="231F20"/>
        </w:rPr>
        <w:t>catchment, and</w:t>
      </w:r>
      <w:proofErr w:type="gramEnd"/>
      <w:r>
        <w:rPr>
          <w:color w:val="231F20"/>
        </w:rPr>
        <w:t xml:space="preserve"> provide managers with a comprehensive understanding of how the Reef 2050 Plan is progressing. Its goals are to be:</w:t>
      </w:r>
    </w:p>
    <w:p w:rsidR="00D1511D" w:rsidRDefault="003F0CB3">
      <w:pPr>
        <w:pStyle w:val="ListParagraph"/>
        <w:numPr>
          <w:ilvl w:val="0"/>
          <w:numId w:val="4"/>
        </w:numPr>
        <w:tabs>
          <w:tab w:val="left" w:pos="2060"/>
          <w:tab w:val="left" w:pos="2061"/>
        </w:tabs>
        <w:spacing w:before="168" w:line="280" w:lineRule="auto"/>
        <w:ind w:right="2122"/>
        <w:rPr>
          <w:sz w:val="20"/>
        </w:rPr>
      </w:pPr>
      <w:r>
        <w:rPr>
          <w:color w:val="231F20"/>
          <w:sz w:val="20"/>
        </w:rPr>
        <w:t>effectiv</w:t>
      </w:r>
      <w:r>
        <w:rPr>
          <w:color w:val="231F20"/>
          <w:sz w:val="20"/>
        </w:rPr>
        <w:t xml:space="preserve">e in enabling the early detection of trends and changes in the Reef’s environment, inform </w:t>
      </w:r>
      <w:r>
        <w:rPr>
          <w:color w:val="231F20"/>
          <w:spacing w:val="-5"/>
          <w:sz w:val="20"/>
        </w:rPr>
        <w:t xml:space="preserve">the </w:t>
      </w:r>
      <w:r>
        <w:rPr>
          <w:color w:val="231F20"/>
          <w:sz w:val="20"/>
        </w:rPr>
        <w:t>assessment of threats and risks, and drive resilience-based</w:t>
      </w:r>
      <w:r>
        <w:rPr>
          <w:color w:val="231F20"/>
          <w:spacing w:val="-2"/>
          <w:sz w:val="20"/>
        </w:rPr>
        <w:t xml:space="preserve"> </w:t>
      </w:r>
      <w:r>
        <w:rPr>
          <w:color w:val="231F20"/>
          <w:sz w:val="20"/>
        </w:rPr>
        <w:t>management</w:t>
      </w:r>
    </w:p>
    <w:p w:rsidR="00D1511D" w:rsidRDefault="00D1511D">
      <w:pPr>
        <w:pStyle w:val="BodyText"/>
        <w:rPr>
          <w:sz w:val="24"/>
        </w:rPr>
      </w:pPr>
    </w:p>
    <w:p w:rsidR="00D1511D" w:rsidRDefault="00D1511D">
      <w:pPr>
        <w:pStyle w:val="BodyText"/>
        <w:rPr>
          <w:sz w:val="24"/>
        </w:rPr>
      </w:pPr>
    </w:p>
    <w:p w:rsidR="00D1511D" w:rsidRDefault="003F0CB3">
      <w:pPr>
        <w:spacing w:before="151"/>
        <w:ind w:left="1417"/>
        <w:rPr>
          <w:rFonts w:ascii="Myriad Pro"/>
          <w:sz w:val="16"/>
        </w:rPr>
      </w:pPr>
      <w:r>
        <w:rPr>
          <w:rFonts w:ascii="Myriad Pro"/>
          <w:color w:val="231F20"/>
          <w:sz w:val="16"/>
        </w:rPr>
        <w:t xml:space="preserve">48 / </w:t>
      </w:r>
      <w:r>
        <w:rPr>
          <w:rFonts w:ascii="Myriad Pro"/>
          <w:color w:val="005695"/>
          <w:sz w:val="16"/>
        </w:rPr>
        <w:t xml:space="preserve">State Party Report on the state of conservation of the </w:t>
      </w:r>
      <w:r>
        <w:rPr>
          <w:rFonts w:ascii="Myriad Pro"/>
          <w:b/>
          <w:color w:val="005695"/>
          <w:sz w:val="16"/>
        </w:rPr>
        <w:t>Great Barrier Reef World Heri</w:t>
      </w:r>
      <w:r>
        <w:rPr>
          <w:rFonts w:ascii="Myriad Pro"/>
          <w:b/>
          <w:color w:val="005695"/>
          <w:sz w:val="16"/>
        </w:rPr>
        <w:t xml:space="preserve">tage Area (Australia) </w:t>
      </w:r>
      <w:r>
        <w:rPr>
          <w:rFonts w:ascii="Myriad Pro"/>
          <w:color w:val="005695"/>
          <w:sz w:val="16"/>
        </w:rPr>
        <w:t>2019</w:t>
      </w:r>
    </w:p>
    <w:p w:rsidR="00D1511D" w:rsidRDefault="00D1511D">
      <w:pPr>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8"/>
        <w:rPr>
          <w:rFonts w:ascii="Myriad Pro"/>
        </w:rPr>
      </w:pPr>
    </w:p>
    <w:p w:rsidR="00D1511D" w:rsidRDefault="003F0CB3">
      <w:pPr>
        <w:pStyle w:val="ListParagraph"/>
        <w:numPr>
          <w:ilvl w:val="0"/>
          <w:numId w:val="3"/>
        </w:numPr>
        <w:tabs>
          <w:tab w:val="left" w:pos="2060"/>
          <w:tab w:val="left" w:pos="2061"/>
        </w:tabs>
        <w:spacing w:before="98" w:line="280" w:lineRule="auto"/>
        <w:ind w:right="1649"/>
        <w:rPr>
          <w:sz w:val="20"/>
        </w:rPr>
      </w:pPr>
      <w:r>
        <w:rPr>
          <w:color w:val="231F20"/>
          <w:sz w:val="20"/>
        </w:rPr>
        <w:t>efficient in enabling management priorities and ensuring that all decisions are well informed,</w:t>
      </w:r>
      <w:r>
        <w:rPr>
          <w:color w:val="231F20"/>
          <w:spacing w:val="-34"/>
          <w:sz w:val="20"/>
        </w:rPr>
        <w:t xml:space="preserve"> </w:t>
      </w:r>
      <w:r>
        <w:rPr>
          <w:color w:val="231F20"/>
          <w:sz w:val="20"/>
        </w:rPr>
        <w:t>cost-effective and</w:t>
      </w:r>
      <w:r>
        <w:rPr>
          <w:color w:val="231F20"/>
          <w:spacing w:val="-1"/>
          <w:sz w:val="20"/>
        </w:rPr>
        <w:t xml:space="preserve"> </w:t>
      </w:r>
      <w:r>
        <w:rPr>
          <w:color w:val="231F20"/>
          <w:sz w:val="20"/>
        </w:rPr>
        <w:t>transparent.</w:t>
      </w:r>
    </w:p>
    <w:p w:rsidR="00D1511D" w:rsidRDefault="003F0CB3">
      <w:pPr>
        <w:pStyle w:val="ListParagraph"/>
        <w:numPr>
          <w:ilvl w:val="0"/>
          <w:numId w:val="3"/>
        </w:numPr>
        <w:tabs>
          <w:tab w:val="left" w:pos="2060"/>
          <w:tab w:val="left" w:pos="2061"/>
        </w:tabs>
        <w:spacing w:before="169" w:line="280" w:lineRule="auto"/>
        <w:ind w:right="1969"/>
        <w:rPr>
          <w:sz w:val="20"/>
        </w:rPr>
      </w:pPr>
      <w:r>
        <w:rPr>
          <w:color w:val="231F20"/>
          <w:sz w:val="20"/>
        </w:rPr>
        <w:t>evolving based on the findings of the Great Barrier Reef Outlook reports, new technology and</w:t>
      </w:r>
      <w:r>
        <w:rPr>
          <w:color w:val="231F20"/>
          <w:spacing w:val="-34"/>
          <w:sz w:val="20"/>
        </w:rPr>
        <w:t xml:space="preserve"> </w:t>
      </w:r>
      <w:r>
        <w:rPr>
          <w:color w:val="231F20"/>
          <w:sz w:val="20"/>
        </w:rPr>
        <w:t>priority management and stakeholder feedback.</w:t>
      </w:r>
    </w:p>
    <w:p w:rsidR="00D1511D" w:rsidRDefault="003F0CB3">
      <w:pPr>
        <w:pStyle w:val="BodyText"/>
        <w:spacing w:before="168" w:line="280" w:lineRule="auto"/>
        <w:ind w:left="1700" w:right="1432"/>
      </w:pPr>
      <w:r>
        <w:rPr>
          <w:color w:val="231F20"/>
        </w:rPr>
        <w:t>This ambitious program, now moving from design to implementation, is unprecedented in its scale and scope, drawing to</w:t>
      </w:r>
      <w:r>
        <w:rPr>
          <w:color w:val="231F20"/>
        </w:rPr>
        <w:t>gether more than 90 existing environmental, social and economic monitoring and modelling programs across the Reef and adjacent catchment.</w:t>
      </w:r>
    </w:p>
    <w:p w:rsidR="00D1511D" w:rsidRDefault="00D1511D">
      <w:pPr>
        <w:pStyle w:val="BodyText"/>
        <w:spacing w:before="2"/>
        <w:rPr>
          <w:sz w:val="23"/>
        </w:rPr>
      </w:pPr>
    </w:p>
    <w:p w:rsidR="00D1511D" w:rsidRDefault="003F0CB3">
      <w:pPr>
        <w:pStyle w:val="Heading4"/>
      </w:pPr>
      <w:r>
        <w:rPr>
          <w:color w:val="58595B"/>
        </w:rPr>
        <w:t>Progress Summary</w:t>
      </w:r>
    </w:p>
    <w:p w:rsidR="00D1511D" w:rsidRDefault="003F0CB3">
      <w:pPr>
        <w:pStyle w:val="BodyText"/>
        <w:spacing w:before="205" w:line="280" w:lineRule="auto"/>
        <w:ind w:left="1700" w:right="1422"/>
      </w:pPr>
      <w:r>
        <w:rPr>
          <w:color w:val="231F20"/>
        </w:rPr>
        <w:t xml:space="preserve">The Marine Park Authority has </w:t>
      </w:r>
      <w:proofErr w:type="spellStart"/>
      <w:r>
        <w:rPr>
          <w:color w:val="231F20"/>
        </w:rPr>
        <w:t>finalised</w:t>
      </w:r>
      <w:proofErr w:type="spellEnd"/>
      <w:r>
        <w:rPr>
          <w:color w:val="231F20"/>
        </w:rPr>
        <w:t xml:space="preserve"> version one of the recommended monitoring program design and</w:t>
      </w:r>
      <w:r>
        <w:rPr>
          <w:color w:val="231F20"/>
        </w:rPr>
        <w:t xml:space="preserve"> developed a </w:t>
      </w:r>
      <w:hyperlink r:id="rId103">
        <w:r>
          <w:rPr>
            <w:color w:val="1B5BAA"/>
            <w:u w:val="single" w:color="1B5BAA"/>
          </w:rPr>
          <w:t>prototype</w:t>
        </w:r>
        <w:r>
          <w:rPr>
            <w:color w:val="1B5BAA"/>
          </w:rPr>
          <w:t xml:space="preserve"> </w:t>
        </w:r>
      </w:hyperlink>
      <w:r>
        <w:rPr>
          <w:color w:val="231F20"/>
        </w:rPr>
        <w:t>knowledge system that is currently being tested by program partners. The next steps are to establish governance, fundi</w:t>
      </w:r>
      <w:r>
        <w:rPr>
          <w:color w:val="231F20"/>
        </w:rPr>
        <w:t>ng and data systems to support the delivery.</w:t>
      </w:r>
    </w:p>
    <w:p w:rsidR="00D1511D" w:rsidRDefault="00D1511D">
      <w:pPr>
        <w:pStyle w:val="BodyText"/>
        <w:spacing w:before="6"/>
        <w:rPr>
          <w:sz w:val="29"/>
        </w:rPr>
      </w:pPr>
    </w:p>
    <w:p w:rsidR="00D1511D" w:rsidRDefault="003F0CB3">
      <w:pPr>
        <w:pStyle w:val="Heading3"/>
        <w:numPr>
          <w:ilvl w:val="2"/>
          <w:numId w:val="36"/>
        </w:numPr>
        <w:tabs>
          <w:tab w:val="left" w:pos="2539"/>
          <w:tab w:val="left" w:pos="2540"/>
        </w:tabs>
        <w:ind w:left="2539" w:hanging="840"/>
      </w:pPr>
      <w:bookmarkStart w:id="1" w:name="_TOC_250007"/>
      <w:r>
        <w:rPr>
          <w:color w:val="005695"/>
          <w:spacing w:val="-3"/>
        </w:rPr>
        <w:t xml:space="preserve">Development </w:t>
      </w:r>
      <w:r>
        <w:rPr>
          <w:color w:val="005695"/>
        </w:rPr>
        <w:t xml:space="preserve">of targets for </w:t>
      </w:r>
      <w:r>
        <w:rPr>
          <w:color w:val="005695"/>
          <w:spacing w:val="-2"/>
        </w:rPr>
        <w:t xml:space="preserve">the </w:t>
      </w:r>
      <w:r>
        <w:rPr>
          <w:color w:val="005695"/>
          <w:spacing w:val="-3"/>
        </w:rPr>
        <w:t xml:space="preserve">revised </w:t>
      </w:r>
      <w:r>
        <w:rPr>
          <w:color w:val="005695"/>
        </w:rPr>
        <w:t xml:space="preserve">Reef </w:t>
      </w:r>
      <w:r>
        <w:rPr>
          <w:color w:val="005695"/>
          <w:spacing w:val="-5"/>
        </w:rPr>
        <w:t>2050</w:t>
      </w:r>
      <w:r>
        <w:rPr>
          <w:color w:val="005695"/>
          <w:spacing w:val="6"/>
        </w:rPr>
        <w:t xml:space="preserve"> </w:t>
      </w:r>
      <w:bookmarkEnd w:id="1"/>
      <w:r>
        <w:rPr>
          <w:color w:val="005695"/>
          <w:spacing w:val="-4"/>
        </w:rPr>
        <w:t>Plan</w:t>
      </w:r>
    </w:p>
    <w:p w:rsidR="00D1511D" w:rsidRDefault="003F0CB3">
      <w:pPr>
        <w:pStyle w:val="BodyText"/>
        <w:spacing w:before="195"/>
        <w:ind w:left="1700"/>
      </w:pPr>
      <w:r>
        <w:rPr>
          <w:color w:val="231F20"/>
        </w:rPr>
        <w:t>Reporting against Reef 2050 targets has presented a number of reporting challenges, including:</w:t>
      </w:r>
    </w:p>
    <w:p w:rsidR="00D1511D" w:rsidRDefault="003F0CB3">
      <w:pPr>
        <w:pStyle w:val="ListParagraph"/>
        <w:numPr>
          <w:ilvl w:val="0"/>
          <w:numId w:val="3"/>
        </w:numPr>
        <w:tabs>
          <w:tab w:val="left" w:pos="2060"/>
          <w:tab w:val="left" w:pos="2061"/>
        </w:tabs>
        <w:spacing w:before="210"/>
        <w:ind w:hanging="361"/>
        <w:rPr>
          <w:sz w:val="20"/>
        </w:rPr>
      </w:pPr>
      <w:r>
        <w:rPr>
          <w:color w:val="231F20"/>
          <w:sz w:val="20"/>
        </w:rPr>
        <w:t>limited capability to provide quantitative data against</w:t>
      </w:r>
      <w:r>
        <w:rPr>
          <w:color w:val="231F20"/>
          <w:spacing w:val="-1"/>
          <w:sz w:val="20"/>
        </w:rPr>
        <w:t xml:space="preserve"> </w:t>
      </w:r>
      <w:r>
        <w:rPr>
          <w:color w:val="231F20"/>
          <w:sz w:val="20"/>
        </w:rPr>
        <w:t>targets</w:t>
      </w:r>
    </w:p>
    <w:p w:rsidR="00D1511D" w:rsidRDefault="003F0CB3">
      <w:pPr>
        <w:pStyle w:val="ListParagraph"/>
        <w:numPr>
          <w:ilvl w:val="0"/>
          <w:numId w:val="3"/>
        </w:numPr>
        <w:tabs>
          <w:tab w:val="left" w:pos="2060"/>
          <w:tab w:val="left" w:pos="2061"/>
        </w:tabs>
        <w:spacing w:before="97"/>
        <w:ind w:hanging="361"/>
        <w:rPr>
          <w:sz w:val="20"/>
        </w:rPr>
      </w:pPr>
      <w:r>
        <w:rPr>
          <w:color w:val="231F20"/>
          <w:sz w:val="20"/>
        </w:rPr>
        <w:t>high complexity within single targets, including varying spatial scales and habitat types, and</w:t>
      </w:r>
    </w:p>
    <w:p w:rsidR="00D1511D" w:rsidRDefault="003F0CB3">
      <w:pPr>
        <w:pStyle w:val="ListParagraph"/>
        <w:numPr>
          <w:ilvl w:val="0"/>
          <w:numId w:val="3"/>
        </w:numPr>
        <w:tabs>
          <w:tab w:val="left" w:pos="2060"/>
          <w:tab w:val="left" w:pos="2061"/>
        </w:tabs>
        <w:spacing w:before="96"/>
        <w:ind w:hanging="361"/>
        <w:rPr>
          <w:sz w:val="20"/>
        </w:rPr>
      </w:pPr>
      <w:r>
        <w:rPr>
          <w:color w:val="231F20"/>
          <w:sz w:val="20"/>
        </w:rPr>
        <w:t>reference to terminology not defined in legislation or</w:t>
      </w:r>
      <w:r>
        <w:rPr>
          <w:color w:val="231F20"/>
          <w:spacing w:val="-1"/>
          <w:sz w:val="20"/>
        </w:rPr>
        <w:t xml:space="preserve"> </w:t>
      </w:r>
      <w:r>
        <w:rPr>
          <w:color w:val="231F20"/>
          <w:spacing w:val="-3"/>
          <w:sz w:val="20"/>
        </w:rPr>
        <w:t>policy.</w:t>
      </w:r>
    </w:p>
    <w:p w:rsidR="00D1511D" w:rsidRDefault="003F0CB3">
      <w:pPr>
        <w:pStyle w:val="BodyText"/>
        <w:spacing w:before="210" w:line="280" w:lineRule="auto"/>
        <w:ind w:left="1700" w:right="1990"/>
        <w:jc w:val="both"/>
      </w:pPr>
      <w:r>
        <w:rPr>
          <w:color w:val="231F20"/>
          <w:spacing w:val="-12"/>
        </w:rPr>
        <w:t xml:space="preserve">To </w:t>
      </w:r>
      <w:r>
        <w:rPr>
          <w:color w:val="231F20"/>
        </w:rPr>
        <w:t xml:space="preserve">ensure that the Reef 2050 Plan remains fit for purpose, its 2020 review will include the development of a comprehensive and measurable set of targets and objectives to guide the delivery of </w:t>
      </w:r>
      <w:r>
        <w:rPr>
          <w:color w:val="231F20"/>
        </w:rPr>
        <w:t>the revised outcomes and vision. This reflects the continuous improvement approach adopted by the Australian and</w:t>
      </w:r>
      <w:r>
        <w:rPr>
          <w:color w:val="231F20"/>
          <w:spacing w:val="-26"/>
        </w:rPr>
        <w:t xml:space="preserve"> </w:t>
      </w:r>
      <w:r>
        <w:rPr>
          <w:color w:val="231F20"/>
          <w:spacing w:val="-3"/>
        </w:rPr>
        <w:t>Queensland</w:t>
      </w:r>
    </w:p>
    <w:p w:rsidR="00D1511D" w:rsidRDefault="003F0CB3">
      <w:pPr>
        <w:pStyle w:val="BodyText"/>
        <w:spacing w:line="280" w:lineRule="auto"/>
        <w:ind w:left="1700" w:right="1467"/>
      </w:pPr>
      <w:r>
        <w:rPr>
          <w:color w:val="231F20"/>
        </w:rPr>
        <w:t>governments to ensure that the property is managed adaptively in a changing environment. This, combined with the implementation of t</w:t>
      </w:r>
      <w:r>
        <w:rPr>
          <w:color w:val="231F20"/>
        </w:rPr>
        <w:t>he Reef 2050 Integrated Monitoring and Reporting Program, will facilitate improved tracking and evaluation or progress and reporting against targets in future.</w:t>
      </w:r>
    </w:p>
    <w:p w:rsidR="00D1511D" w:rsidRDefault="003F0CB3">
      <w:pPr>
        <w:pStyle w:val="BodyText"/>
        <w:spacing w:before="166" w:line="280" w:lineRule="auto"/>
        <w:ind w:left="1700" w:right="1802"/>
      </w:pPr>
      <w:r>
        <w:rPr>
          <w:color w:val="231F20"/>
        </w:rPr>
        <w:t xml:space="preserve">Progress on the implementation of the Reef 2050 Plan is reported annually. </w:t>
      </w:r>
      <w:hyperlink r:id="rId104">
        <w:r>
          <w:rPr>
            <w:color w:val="1B5BAA"/>
            <w:u w:val="single" w:color="1B5BAA"/>
          </w:rPr>
          <w:t>Annual reports</w:t>
        </w:r>
      </w:hyperlink>
      <w:r>
        <w:rPr>
          <w:color w:val="231F20"/>
        </w:rPr>
        <w:t xml:space="preserve">, provided to the Great Barrier Reef Ministerial Forum, highlight key achievements during the year and include case studies demonstrating the range of work </w:t>
      </w:r>
      <w:r>
        <w:rPr>
          <w:color w:val="231F20"/>
        </w:rPr>
        <w:t>undertaken by Reef 2050 delivery partners.</w:t>
      </w: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spacing w:before="11"/>
        <w:rPr>
          <w:sz w:val="32"/>
        </w:rPr>
      </w:pPr>
    </w:p>
    <w:p w:rsidR="00D1511D" w:rsidRDefault="003F0CB3">
      <w:pPr>
        <w:spacing w:before="1"/>
        <w:ind w:right="1415"/>
        <w:jc w:val="right"/>
        <w:rPr>
          <w:rFonts w:ascii="Myriad Pro"/>
          <w:sz w:val="16"/>
        </w:rPr>
      </w:pPr>
      <w:r>
        <w:rPr>
          <w:rFonts w:ascii="Myriad Pro"/>
          <w:color w:val="231F20"/>
          <w:sz w:val="16"/>
        </w:rPr>
        <w:t>49</w:t>
      </w:r>
    </w:p>
    <w:p w:rsidR="00D1511D" w:rsidRDefault="00D1511D">
      <w:pPr>
        <w:jc w:val="right"/>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1"/>
        <w:rPr>
          <w:rFonts w:ascii="Myriad Pro"/>
          <w:sz w:val="15"/>
        </w:rPr>
      </w:pPr>
    </w:p>
    <w:p w:rsidR="00D1511D" w:rsidRDefault="003F0CB3">
      <w:pPr>
        <w:pStyle w:val="Heading1"/>
        <w:numPr>
          <w:ilvl w:val="0"/>
          <w:numId w:val="40"/>
        </w:numPr>
        <w:tabs>
          <w:tab w:val="left" w:pos="2380"/>
          <w:tab w:val="left" w:pos="2381"/>
        </w:tabs>
        <w:spacing w:before="106" w:line="237" w:lineRule="auto"/>
        <w:ind w:left="2381" w:right="1539" w:hanging="681"/>
        <w:rPr>
          <w:color w:val="005695"/>
        </w:rPr>
      </w:pPr>
      <w:r>
        <w:rPr>
          <w:color w:val="005695"/>
          <w:spacing w:val="-4"/>
        </w:rPr>
        <w:t xml:space="preserve">Other </w:t>
      </w:r>
      <w:r>
        <w:rPr>
          <w:color w:val="005695"/>
          <w:spacing w:val="-6"/>
        </w:rPr>
        <w:t xml:space="preserve">conservation </w:t>
      </w:r>
      <w:r>
        <w:rPr>
          <w:color w:val="005695"/>
          <w:spacing w:val="-8"/>
        </w:rPr>
        <w:t xml:space="preserve">issues </w:t>
      </w:r>
      <w:r>
        <w:rPr>
          <w:color w:val="005695"/>
          <w:spacing w:val="-5"/>
        </w:rPr>
        <w:t xml:space="preserve">identified </w:t>
      </w:r>
      <w:r>
        <w:rPr>
          <w:color w:val="005695"/>
          <w:spacing w:val="-6"/>
        </w:rPr>
        <w:t xml:space="preserve">by </w:t>
      </w:r>
      <w:r>
        <w:rPr>
          <w:color w:val="005695"/>
          <w:spacing w:val="-5"/>
        </w:rPr>
        <w:t xml:space="preserve">the </w:t>
      </w:r>
      <w:r>
        <w:rPr>
          <w:color w:val="005695"/>
          <w:spacing w:val="-8"/>
        </w:rPr>
        <w:t xml:space="preserve">State </w:t>
      </w:r>
      <w:r>
        <w:rPr>
          <w:color w:val="005695"/>
        </w:rPr>
        <w:t xml:space="preserve">Party </w:t>
      </w:r>
      <w:r>
        <w:rPr>
          <w:color w:val="005695"/>
          <w:spacing w:val="-6"/>
        </w:rPr>
        <w:t xml:space="preserve">which </w:t>
      </w:r>
      <w:r>
        <w:rPr>
          <w:color w:val="005695"/>
          <w:spacing w:val="-8"/>
        </w:rPr>
        <w:t xml:space="preserve">may </w:t>
      </w:r>
      <w:r>
        <w:rPr>
          <w:color w:val="005695"/>
          <w:spacing w:val="-10"/>
        </w:rPr>
        <w:t xml:space="preserve">have </w:t>
      </w:r>
      <w:r>
        <w:rPr>
          <w:color w:val="005695"/>
          <w:spacing w:val="-4"/>
        </w:rPr>
        <w:t xml:space="preserve">an impact </w:t>
      </w:r>
      <w:r>
        <w:rPr>
          <w:color w:val="005695"/>
          <w:spacing w:val="-3"/>
        </w:rPr>
        <w:t xml:space="preserve">on </w:t>
      </w:r>
      <w:r>
        <w:rPr>
          <w:color w:val="005695"/>
          <w:spacing w:val="-5"/>
        </w:rPr>
        <w:t xml:space="preserve">the </w:t>
      </w:r>
      <w:r>
        <w:rPr>
          <w:color w:val="005695"/>
          <w:spacing w:val="-4"/>
        </w:rPr>
        <w:t xml:space="preserve">property’s </w:t>
      </w:r>
      <w:r>
        <w:rPr>
          <w:color w:val="005695"/>
          <w:spacing w:val="-6"/>
        </w:rPr>
        <w:t xml:space="preserve">outstanding </w:t>
      </w:r>
      <w:r>
        <w:rPr>
          <w:color w:val="005695"/>
          <w:spacing w:val="-7"/>
        </w:rPr>
        <w:t>universal</w:t>
      </w:r>
      <w:r>
        <w:rPr>
          <w:color w:val="005695"/>
        </w:rPr>
        <w:t xml:space="preserve"> </w:t>
      </w:r>
      <w:r>
        <w:rPr>
          <w:color w:val="005695"/>
          <w:spacing w:val="-6"/>
        </w:rPr>
        <w:t>value</w:t>
      </w:r>
    </w:p>
    <w:p w:rsidR="00D1511D" w:rsidRDefault="00D1511D">
      <w:pPr>
        <w:pStyle w:val="BodyText"/>
        <w:spacing w:before="6"/>
        <w:rPr>
          <w:rFonts w:ascii="Myriad Pro"/>
          <w:sz w:val="76"/>
        </w:rPr>
      </w:pPr>
    </w:p>
    <w:p w:rsidR="00D1511D" w:rsidRDefault="003F0CB3">
      <w:pPr>
        <w:pStyle w:val="Heading2"/>
        <w:numPr>
          <w:ilvl w:val="1"/>
          <w:numId w:val="40"/>
        </w:numPr>
        <w:tabs>
          <w:tab w:val="left" w:pos="2381"/>
          <w:tab w:val="left" w:pos="2382"/>
        </w:tabs>
        <w:ind w:hanging="682"/>
      </w:pPr>
      <w:bookmarkStart w:id="2" w:name="_TOC_250006"/>
      <w:r>
        <w:rPr>
          <w:color w:val="005695"/>
        </w:rPr>
        <w:t xml:space="preserve">Great </w:t>
      </w:r>
      <w:r>
        <w:rPr>
          <w:color w:val="005695"/>
          <w:spacing w:val="-3"/>
        </w:rPr>
        <w:t xml:space="preserve">Barrier </w:t>
      </w:r>
      <w:r>
        <w:rPr>
          <w:color w:val="005695"/>
        </w:rPr>
        <w:t xml:space="preserve">Reef Outlook Report </w:t>
      </w:r>
      <w:r>
        <w:rPr>
          <w:color w:val="005695"/>
          <w:spacing w:val="-11"/>
        </w:rPr>
        <w:t xml:space="preserve">2019 </w:t>
      </w:r>
      <w:r>
        <w:rPr>
          <w:color w:val="005695"/>
        </w:rPr>
        <w:t xml:space="preserve">– </w:t>
      </w:r>
      <w:r>
        <w:rPr>
          <w:color w:val="005695"/>
          <w:spacing w:val="-3"/>
        </w:rPr>
        <w:t>risk</w:t>
      </w:r>
      <w:r>
        <w:rPr>
          <w:color w:val="005695"/>
          <w:spacing w:val="10"/>
        </w:rPr>
        <w:t xml:space="preserve"> </w:t>
      </w:r>
      <w:bookmarkEnd w:id="2"/>
      <w:r>
        <w:rPr>
          <w:color w:val="005695"/>
          <w:spacing w:val="-3"/>
        </w:rPr>
        <w:t>assessment</w:t>
      </w:r>
    </w:p>
    <w:p w:rsidR="00D1511D" w:rsidRDefault="003F0CB3">
      <w:pPr>
        <w:pStyle w:val="BodyText"/>
        <w:spacing w:before="185" w:line="280" w:lineRule="auto"/>
        <w:ind w:left="1700" w:right="1674"/>
      </w:pPr>
      <w:r>
        <w:rPr>
          <w:color w:val="231F20"/>
        </w:rPr>
        <w:t xml:space="preserve">The 2019 Outlook Report includes a chapter assessing the risks to the Reef’s ecosystem and heritage values (Chapter 9). </w:t>
      </w:r>
      <w:r>
        <w:rPr>
          <w:color w:val="231F20"/>
          <w:spacing w:val="-3"/>
        </w:rPr>
        <w:t xml:space="preserve">It </w:t>
      </w:r>
      <w:r>
        <w:rPr>
          <w:color w:val="231F20"/>
        </w:rPr>
        <w:t>demonstrates that, as well as the significant risk from threats associated with climate ch</w:t>
      </w:r>
      <w:r>
        <w:rPr>
          <w:color w:val="231F20"/>
        </w:rPr>
        <w:t xml:space="preserve">ange and water </w:t>
      </w:r>
      <w:r>
        <w:rPr>
          <w:color w:val="231F20"/>
          <w:spacing w:val="-3"/>
        </w:rPr>
        <w:t xml:space="preserve">quality, </w:t>
      </w:r>
      <w:r>
        <w:rPr>
          <w:color w:val="231F20"/>
        </w:rPr>
        <w:t xml:space="preserve">a range of other threats also pose risks and contribute to cumulative impacts. </w:t>
      </w:r>
      <w:proofErr w:type="spellStart"/>
      <w:r>
        <w:rPr>
          <w:color w:val="231F20"/>
        </w:rPr>
        <w:t>Recognising</w:t>
      </w:r>
      <w:proofErr w:type="spellEnd"/>
      <w:r>
        <w:rPr>
          <w:color w:val="231F20"/>
        </w:rPr>
        <w:t xml:space="preserve"> the need to manage cumulative impacts, the </w:t>
      </w:r>
      <w:hyperlink r:id="rId105">
        <w:r>
          <w:rPr>
            <w:color w:val="1B5BAA"/>
            <w:u w:val="single" w:color="1B5BAA"/>
          </w:rPr>
          <w:t>Reef 2050 Cumulative Impact Management Policy</w:t>
        </w:r>
      </w:hyperlink>
      <w:r>
        <w:rPr>
          <w:color w:val="1B5BAA"/>
        </w:rPr>
        <w:t xml:space="preserve"> </w:t>
      </w:r>
      <w:r>
        <w:rPr>
          <w:color w:val="231F20"/>
        </w:rPr>
        <w:t xml:space="preserve">was </w:t>
      </w:r>
      <w:r>
        <w:rPr>
          <w:color w:val="231F20"/>
          <w:spacing w:val="-3"/>
        </w:rPr>
        <w:t xml:space="preserve">developed </w:t>
      </w:r>
      <w:r>
        <w:rPr>
          <w:color w:val="231F20"/>
        </w:rPr>
        <w:t xml:space="preserve">alongside a complimentary </w:t>
      </w:r>
      <w:hyperlink r:id="rId106">
        <w:r>
          <w:rPr>
            <w:color w:val="1B5BAA"/>
            <w:u w:val="single" w:color="1B5BAA"/>
          </w:rPr>
          <w:t xml:space="preserve">Reef 2050 Net Benefit </w:t>
        </w:r>
        <w:r>
          <w:rPr>
            <w:color w:val="1B5BAA"/>
            <w:spacing w:val="-4"/>
            <w:u w:val="single" w:color="1B5BAA"/>
          </w:rPr>
          <w:t>Policy</w:t>
        </w:r>
      </w:hyperlink>
      <w:r>
        <w:rPr>
          <w:color w:val="231F20"/>
          <w:spacing w:val="-4"/>
        </w:rPr>
        <w:t xml:space="preserve">. </w:t>
      </w:r>
      <w:r>
        <w:rPr>
          <w:color w:val="231F20"/>
        </w:rPr>
        <w:t>These policies were released in July 2018 and are being implemented. Continued awareness and management of all threats is critical to ongoing protection and management of the</w:t>
      </w:r>
      <w:r>
        <w:rPr>
          <w:color w:val="231F20"/>
          <w:spacing w:val="-1"/>
        </w:rPr>
        <w:t xml:space="preserve"> </w:t>
      </w:r>
      <w:r>
        <w:rPr>
          <w:color w:val="231F20"/>
        </w:rPr>
        <w:t>Reef.</w:t>
      </w:r>
    </w:p>
    <w:p w:rsidR="00D1511D" w:rsidRDefault="00D1511D">
      <w:pPr>
        <w:pStyle w:val="BodyText"/>
        <w:spacing w:before="3"/>
        <w:rPr>
          <w:sz w:val="31"/>
        </w:rPr>
      </w:pPr>
    </w:p>
    <w:p w:rsidR="00D1511D" w:rsidRDefault="003F0CB3">
      <w:pPr>
        <w:pStyle w:val="Heading2"/>
        <w:numPr>
          <w:ilvl w:val="1"/>
          <w:numId w:val="40"/>
        </w:numPr>
        <w:tabs>
          <w:tab w:val="left" w:pos="2381"/>
          <w:tab w:val="left" w:pos="2382"/>
        </w:tabs>
        <w:spacing w:line="237" w:lineRule="auto"/>
        <w:ind w:right="2527"/>
      </w:pPr>
      <w:bookmarkStart w:id="3" w:name="_TOC_250005"/>
      <w:r>
        <w:rPr>
          <w:color w:val="005695"/>
        </w:rPr>
        <w:t xml:space="preserve">Great </w:t>
      </w:r>
      <w:r>
        <w:rPr>
          <w:color w:val="005695"/>
          <w:spacing w:val="-3"/>
        </w:rPr>
        <w:t xml:space="preserve">Barrier </w:t>
      </w:r>
      <w:r>
        <w:rPr>
          <w:color w:val="005695"/>
        </w:rPr>
        <w:t xml:space="preserve">Reef Outlook Report </w:t>
      </w:r>
      <w:r>
        <w:rPr>
          <w:color w:val="005695"/>
          <w:spacing w:val="-11"/>
        </w:rPr>
        <w:t xml:space="preserve">2019 </w:t>
      </w:r>
      <w:r>
        <w:rPr>
          <w:color w:val="005695"/>
        </w:rPr>
        <w:t xml:space="preserve">– </w:t>
      </w:r>
      <w:r>
        <w:rPr>
          <w:color w:val="005695"/>
          <w:spacing w:val="-3"/>
        </w:rPr>
        <w:t xml:space="preserve">long-term </w:t>
      </w:r>
      <w:bookmarkEnd w:id="3"/>
      <w:r>
        <w:rPr>
          <w:color w:val="005695"/>
        </w:rPr>
        <w:t>outlook</w:t>
      </w:r>
    </w:p>
    <w:p w:rsidR="00D1511D" w:rsidRDefault="003F0CB3">
      <w:pPr>
        <w:pStyle w:val="BodyText"/>
        <w:spacing w:before="186" w:line="280" w:lineRule="auto"/>
        <w:ind w:left="1700" w:right="1448"/>
      </w:pPr>
      <w:r>
        <w:rPr>
          <w:color w:val="231F20"/>
        </w:rPr>
        <w:t>The final chapt</w:t>
      </w:r>
      <w:r>
        <w:rPr>
          <w:color w:val="231F20"/>
        </w:rPr>
        <w:t xml:space="preserve">er of the report (Chapter 10) considers the risk findings as part of the overarching assessment of the Reef’s future long-term outlook and mentions some of the </w:t>
      </w:r>
      <w:hyperlink r:id="rId107">
        <w:r>
          <w:rPr>
            <w:color w:val="1B5BAA"/>
            <w:u w:val="single" w:color="1B5BAA"/>
          </w:rPr>
          <w:t>existing and future initiatives</w:t>
        </w:r>
      </w:hyperlink>
      <w:r>
        <w:rPr>
          <w:color w:val="1B5BAA"/>
        </w:rPr>
        <w:t xml:space="preserve"> </w:t>
      </w:r>
      <w:r>
        <w:rPr>
          <w:color w:val="231F20"/>
        </w:rPr>
        <w:t>to support the Reef’s resilience. This includes work in the Marine Park such as enhanced compliance and effective Reef restoration</w:t>
      </w:r>
    </w:p>
    <w:p w:rsidR="00D1511D" w:rsidRDefault="003F0CB3">
      <w:pPr>
        <w:pStyle w:val="BodyText"/>
        <w:spacing w:line="280" w:lineRule="auto"/>
        <w:ind w:left="1700" w:right="2209"/>
      </w:pPr>
      <w:r>
        <w:rPr>
          <w:color w:val="231F20"/>
        </w:rPr>
        <w:t>and intervention, as well as accelerated action to improve agricultural land management practices across the catchments.</w:t>
      </w: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spacing w:before="9"/>
        <w:rPr>
          <w:sz w:val="24"/>
        </w:rPr>
      </w:pPr>
    </w:p>
    <w:p w:rsidR="00D1511D" w:rsidRDefault="003F0CB3">
      <w:pPr>
        <w:ind w:left="1417"/>
        <w:rPr>
          <w:rFonts w:ascii="Myriad Pro"/>
          <w:sz w:val="16"/>
        </w:rPr>
      </w:pPr>
      <w:r>
        <w:rPr>
          <w:rFonts w:ascii="Myriad Pro"/>
          <w:color w:val="231F20"/>
          <w:sz w:val="16"/>
        </w:rPr>
        <w:t xml:space="preserve">50 / </w:t>
      </w:r>
      <w:r>
        <w:rPr>
          <w:rFonts w:ascii="Myriad Pro"/>
          <w:color w:val="005695"/>
          <w:sz w:val="16"/>
        </w:rPr>
        <w:t xml:space="preserve">State Party Report on the state of conservation of the </w:t>
      </w:r>
      <w:r>
        <w:rPr>
          <w:rFonts w:ascii="Myriad Pro"/>
          <w:b/>
          <w:color w:val="005695"/>
          <w:sz w:val="16"/>
        </w:rPr>
        <w:t xml:space="preserve">Great Barrier Reef World Heritage Area (Australia) </w:t>
      </w:r>
      <w:r>
        <w:rPr>
          <w:rFonts w:ascii="Myriad Pro"/>
          <w:color w:val="005695"/>
          <w:sz w:val="16"/>
        </w:rPr>
        <w:t>2019</w:t>
      </w:r>
    </w:p>
    <w:p w:rsidR="00D1511D" w:rsidRDefault="00D1511D">
      <w:pPr>
        <w:rPr>
          <w:rFonts w:ascii="Myriad Pro"/>
          <w:sz w:val="16"/>
        </w:rPr>
        <w:sectPr w:rsidR="00D1511D">
          <w:pgSz w:w="11910" w:h="16840"/>
          <w:pgMar w:top="620" w:right="0" w:bottom="0" w:left="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1"/>
        <w:rPr>
          <w:rFonts w:ascii="Myriad Pro"/>
          <w:sz w:val="15"/>
        </w:rPr>
      </w:pPr>
    </w:p>
    <w:p w:rsidR="00D1511D" w:rsidRDefault="003F0CB3">
      <w:pPr>
        <w:pStyle w:val="Heading1"/>
        <w:numPr>
          <w:ilvl w:val="0"/>
          <w:numId w:val="40"/>
        </w:numPr>
        <w:tabs>
          <w:tab w:val="left" w:pos="2380"/>
          <w:tab w:val="left" w:pos="2381"/>
        </w:tabs>
        <w:spacing w:before="106" w:line="237" w:lineRule="auto"/>
        <w:ind w:left="2381" w:right="1444" w:hanging="681"/>
        <w:rPr>
          <w:color w:val="005695"/>
        </w:rPr>
      </w:pPr>
      <w:r>
        <w:rPr>
          <w:color w:val="005695"/>
          <w:spacing w:val="-9"/>
        </w:rPr>
        <w:t xml:space="preserve">Potential </w:t>
      </w:r>
      <w:r>
        <w:rPr>
          <w:color w:val="005695"/>
          <w:spacing w:val="-7"/>
        </w:rPr>
        <w:t xml:space="preserve">major restorations, </w:t>
      </w:r>
      <w:r>
        <w:rPr>
          <w:color w:val="005695"/>
          <w:spacing w:val="-8"/>
        </w:rPr>
        <w:t xml:space="preserve">alterations </w:t>
      </w:r>
      <w:r>
        <w:rPr>
          <w:color w:val="005695"/>
          <w:spacing w:val="-9"/>
        </w:rPr>
        <w:t xml:space="preserve">and/or </w:t>
      </w:r>
      <w:r>
        <w:rPr>
          <w:color w:val="005695"/>
          <w:spacing w:val="-5"/>
        </w:rPr>
        <w:t xml:space="preserve">new </w:t>
      </w:r>
      <w:r>
        <w:rPr>
          <w:color w:val="005695"/>
          <w:spacing w:val="-6"/>
        </w:rPr>
        <w:t xml:space="preserve">constructions </w:t>
      </w:r>
      <w:r>
        <w:rPr>
          <w:color w:val="005695"/>
          <w:spacing w:val="-7"/>
        </w:rPr>
        <w:t xml:space="preserve">intended within </w:t>
      </w:r>
      <w:r>
        <w:rPr>
          <w:color w:val="005695"/>
          <w:spacing w:val="-5"/>
        </w:rPr>
        <w:t xml:space="preserve">the property, the </w:t>
      </w:r>
      <w:r>
        <w:rPr>
          <w:color w:val="005695"/>
        </w:rPr>
        <w:t xml:space="preserve">buffer </w:t>
      </w:r>
      <w:r>
        <w:rPr>
          <w:color w:val="005695"/>
          <w:spacing w:val="-6"/>
        </w:rPr>
        <w:t xml:space="preserve">zones </w:t>
      </w:r>
      <w:r>
        <w:rPr>
          <w:color w:val="005695"/>
          <w:spacing w:val="-9"/>
        </w:rPr>
        <w:t xml:space="preserve">and/or </w:t>
      </w:r>
      <w:r>
        <w:rPr>
          <w:color w:val="005695"/>
          <w:spacing w:val="-6"/>
        </w:rPr>
        <w:t xml:space="preserve">corridors </w:t>
      </w:r>
      <w:r>
        <w:rPr>
          <w:color w:val="005695"/>
          <w:spacing w:val="-3"/>
        </w:rPr>
        <w:t xml:space="preserve">or </w:t>
      </w:r>
      <w:r>
        <w:rPr>
          <w:color w:val="005695"/>
          <w:spacing w:val="-6"/>
        </w:rPr>
        <w:t xml:space="preserve">other </w:t>
      </w:r>
      <w:r>
        <w:rPr>
          <w:color w:val="005695"/>
          <w:spacing w:val="-7"/>
        </w:rPr>
        <w:t xml:space="preserve">areas, </w:t>
      </w:r>
      <w:r>
        <w:rPr>
          <w:color w:val="005695"/>
          <w:spacing w:val="-5"/>
        </w:rPr>
        <w:t xml:space="preserve">where </w:t>
      </w:r>
      <w:r>
        <w:rPr>
          <w:color w:val="005695"/>
          <w:spacing w:val="-7"/>
        </w:rPr>
        <w:t xml:space="preserve">such developments </w:t>
      </w:r>
      <w:r>
        <w:rPr>
          <w:color w:val="005695"/>
          <w:spacing w:val="-8"/>
        </w:rPr>
        <w:t xml:space="preserve">may </w:t>
      </w:r>
      <w:r>
        <w:rPr>
          <w:color w:val="005695"/>
        </w:rPr>
        <w:t xml:space="preserve">affect </w:t>
      </w:r>
      <w:r>
        <w:rPr>
          <w:color w:val="005695"/>
          <w:spacing w:val="-5"/>
        </w:rPr>
        <w:t xml:space="preserve">the </w:t>
      </w:r>
      <w:r>
        <w:rPr>
          <w:color w:val="005695"/>
          <w:spacing w:val="-6"/>
        </w:rPr>
        <w:t xml:space="preserve">outstanding </w:t>
      </w:r>
      <w:r>
        <w:rPr>
          <w:color w:val="005695"/>
          <w:spacing w:val="-7"/>
        </w:rPr>
        <w:t xml:space="preserve">universal value </w:t>
      </w:r>
      <w:r>
        <w:rPr>
          <w:color w:val="005695"/>
          <w:spacing w:val="-4"/>
        </w:rPr>
        <w:t xml:space="preserve">of </w:t>
      </w:r>
      <w:r>
        <w:rPr>
          <w:color w:val="005695"/>
          <w:spacing w:val="-5"/>
        </w:rPr>
        <w:t xml:space="preserve">the property, </w:t>
      </w:r>
      <w:r>
        <w:rPr>
          <w:color w:val="005695"/>
          <w:spacing w:val="-7"/>
        </w:rPr>
        <w:t xml:space="preserve">including authenticity </w:t>
      </w:r>
      <w:r>
        <w:rPr>
          <w:color w:val="005695"/>
          <w:spacing w:val="-5"/>
        </w:rPr>
        <w:t>and</w:t>
      </w:r>
      <w:r>
        <w:rPr>
          <w:color w:val="005695"/>
        </w:rPr>
        <w:t xml:space="preserve"> </w:t>
      </w:r>
      <w:r>
        <w:rPr>
          <w:color w:val="005695"/>
          <w:spacing w:val="-6"/>
        </w:rPr>
        <w:t>integrity</w:t>
      </w:r>
    </w:p>
    <w:p w:rsidR="00D1511D" w:rsidRDefault="00D1511D">
      <w:pPr>
        <w:pStyle w:val="BodyText"/>
        <w:spacing w:before="3"/>
        <w:rPr>
          <w:rFonts w:ascii="Myriad Pro"/>
          <w:sz w:val="77"/>
        </w:rPr>
      </w:pPr>
    </w:p>
    <w:p w:rsidR="00D1511D" w:rsidRDefault="003F0CB3">
      <w:pPr>
        <w:pStyle w:val="Heading2"/>
        <w:numPr>
          <w:ilvl w:val="1"/>
          <w:numId w:val="40"/>
        </w:numPr>
        <w:tabs>
          <w:tab w:val="left" w:pos="2381"/>
          <w:tab w:val="left" w:pos="2382"/>
        </w:tabs>
        <w:ind w:hanging="682"/>
      </w:pPr>
      <w:bookmarkStart w:id="4" w:name="_TOC_250004"/>
      <w:r>
        <w:rPr>
          <w:color w:val="005695"/>
        </w:rPr>
        <w:t>Quarterly</w:t>
      </w:r>
      <w:r>
        <w:rPr>
          <w:color w:val="005695"/>
          <w:spacing w:val="-1"/>
        </w:rPr>
        <w:t xml:space="preserve"> </w:t>
      </w:r>
      <w:bookmarkEnd w:id="4"/>
      <w:r>
        <w:rPr>
          <w:color w:val="005695"/>
        </w:rPr>
        <w:t>reporting</w:t>
      </w:r>
    </w:p>
    <w:p w:rsidR="00D1511D" w:rsidRDefault="003F0CB3">
      <w:pPr>
        <w:pStyle w:val="BodyText"/>
        <w:spacing w:before="185" w:line="280" w:lineRule="auto"/>
        <w:ind w:left="1700" w:right="1461"/>
      </w:pPr>
      <w:r>
        <w:rPr>
          <w:color w:val="231F20"/>
        </w:rPr>
        <w:t xml:space="preserve">In 2011 Australia </w:t>
      </w:r>
      <w:proofErr w:type="spellStart"/>
      <w:r>
        <w:rPr>
          <w:color w:val="231F20"/>
        </w:rPr>
        <w:t>formalised</w:t>
      </w:r>
      <w:proofErr w:type="spellEnd"/>
      <w:r>
        <w:rPr>
          <w:color w:val="231F20"/>
        </w:rPr>
        <w:t xml:space="preserve"> a procedure for providing quarterly notification reports to the World Heritage Centre of proposed developments within or outside a property that may impact</w:t>
      </w:r>
      <w:r>
        <w:rPr>
          <w:color w:val="231F20"/>
        </w:rPr>
        <w:t xml:space="preserve"> upon a property's Outstanding Universal Value. Notification reports and a full list of proposed, approved and withdrawn actions relating to the property that require consideration under the national Environment Protection and Biodiversity Conservation Act</w:t>
      </w:r>
      <w:r>
        <w:rPr>
          <w:color w:val="231F20"/>
        </w:rPr>
        <w:t xml:space="preserve"> 1999 (the EPBC Act) are available at: </w:t>
      </w:r>
      <w:hyperlink r:id="rId108">
        <w:r>
          <w:rPr>
            <w:color w:val="1B5BAA"/>
            <w:u w:val="single" w:color="1B5BAA"/>
          </w:rPr>
          <w:t>www.environment.gov.au/heritage/about/world/notification-developm</w:t>
        </w:r>
      </w:hyperlink>
      <w:r>
        <w:rPr>
          <w:color w:val="1B5BAA"/>
        </w:rPr>
        <w:t xml:space="preserve"> </w:t>
      </w:r>
      <w:hyperlink r:id="rId109">
        <w:proofErr w:type="spellStart"/>
        <w:r>
          <w:rPr>
            <w:color w:val="1B5BAA"/>
            <w:u w:val="single" w:color="1B5BAA"/>
          </w:rPr>
          <w:t>ent</w:t>
        </w:r>
        <w:proofErr w:type="spellEnd"/>
        <w:r>
          <w:rPr>
            <w:color w:val="1B5BAA"/>
            <w:u w:val="single" w:color="1B5BAA"/>
          </w:rPr>
          <w:t>-proposals</w:t>
        </w:r>
      </w:hyperlink>
      <w:r>
        <w:rPr>
          <w:color w:val="231F20"/>
        </w:rPr>
        <w:t>.</w:t>
      </w:r>
    </w:p>
    <w:p w:rsidR="00D1511D" w:rsidRDefault="003F0CB3">
      <w:pPr>
        <w:pStyle w:val="BodyText"/>
        <w:spacing w:before="165" w:line="280" w:lineRule="auto"/>
        <w:ind w:left="1700" w:right="1491"/>
      </w:pPr>
      <w:r>
        <w:rPr>
          <w:color w:val="231F20"/>
        </w:rPr>
        <w:t xml:space="preserve">Sixteen proposals have been approved under the EPBC Act for the Great Barrier Reef World Heritage Area since the 2015 State Party Report on the state of conservation of the property </w:t>
      </w:r>
      <w:r>
        <w:rPr>
          <w:color w:val="231F20"/>
        </w:rPr>
        <w:t>was submitted on 30 January 2015.</w:t>
      </w: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32"/>
        </w:rPr>
      </w:pPr>
    </w:p>
    <w:p w:rsidR="00D1511D" w:rsidRDefault="003F0CB3">
      <w:pPr>
        <w:ind w:right="1415"/>
        <w:jc w:val="right"/>
        <w:rPr>
          <w:rFonts w:ascii="Myriad Pro"/>
          <w:sz w:val="16"/>
        </w:rPr>
      </w:pPr>
      <w:r>
        <w:rPr>
          <w:rFonts w:ascii="Myriad Pro"/>
          <w:color w:val="231F20"/>
          <w:sz w:val="16"/>
        </w:rPr>
        <w:t>51</w:t>
      </w:r>
    </w:p>
    <w:p w:rsidR="00D1511D" w:rsidRDefault="00D1511D">
      <w:pPr>
        <w:jc w:val="right"/>
        <w:rPr>
          <w:rFonts w:ascii="Myriad Pro"/>
          <w:sz w:val="16"/>
        </w:rPr>
        <w:sectPr w:rsidR="00D1511D">
          <w:pgSz w:w="11910" w:h="16840"/>
          <w:pgMar w:top="620" w:right="0" w:bottom="0" w:left="0" w:header="260" w:footer="0" w:gutter="0"/>
          <w:cols w:space="720"/>
        </w:sectPr>
      </w:pPr>
    </w:p>
    <w:p w:rsidR="00D1511D" w:rsidRDefault="003F0CB3">
      <w:pPr>
        <w:pStyle w:val="BodyText"/>
        <w:rPr>
          <w:rFonts w:ascii="Myriad Pro"/>
        </w:rPr>
      </w:pPr>
      <w:r>
        <w:lastRenderedPageBreak/>
        <w:pict>
          <v:rect id="_x0000_s1235" alt="" style="position:absolute;margin-left:0;margin-top:0;width:595.3pt;height:841.9pt;z-index:-256958464;mso-wrap-edited:f;mso-width-percent:0;mso-height-percent:0;mso-position-horizontal-relative:page;mso-position-vertical-relative:page;mso-width-percent:0;mso-height-percent:0" fillcolor="#005695" stroked="f">
            <w10:wrap anchorx="page" anchory="page"/>
          </v:rect>
        </w:pict>
      </w:r>
    </w:p>
    <w:p w:rsidR="00D1511D" w:rsidRDefault="00D1511D">
      <w:pPr>
        <w:pStyle w:val="BodyText"/>
        <w:spacing w:before="4"/>
        <w:rPr>
          <w:rFonts w:ascii="Myriad Pro"/>
          <w:sz w:val="26"/>
        </w:rPr>
      </w:pPr>
    </w:p>
    <w:p w:rsidR="00D1511D" w:rsidRDefault="003F0CB3">
      <w:pPr>
        <w:spacing w:before="101"/>
        <w:ind w:left="1700"/>
        <w:rPr>
          <w:rFonts w:ascii="Myriad Pro"/>
          <w:sz w:val="52"/>
        </w:rPr>
      </w:pPr>
      <w:r>
        <w:rPr>
          <w:rFonts w:ascii="Myriad Pro"/>
          <w:color w:val="FFFFFF"/>
          <w:sz w:val="52"/>
        </w:rPr>
        <w:t>Appendices</w:t>
      </w:r>
    </w:p>
    <w:p w:rsidR="00D1511D" w:rsidRDefault="00D1511D">
      <w:pPr>
        <w:pStyle w:val="BodyText"/>
        <w:spacing w:before="6"/>
        <w:rPr>
          <w:rFonts w:ascii="Myriad Pro"/>
          <w:sz w:val="58"/>
        </w:rPr>
      </w:pPr>
    </w:p>
    <w:p w:rsidR="00D1511D" w:rsidRDefault="003F0CB3">
      <w:pPr>
        <w:pStyle w:val="BodyText"/>
        <w:ind w:left="1700"/>
      </w:pPr>
      <w:r>
        <w:rPr>
          <w:b/>
          <w:color w:val="FFFFFF"/>
        </w:rPr>
        <w:t xml:space="preserve">Appendix A: </w:t>
      </w:r>
      <w:r>
        <w:rPr>
          <w:color w:val="FFFFFF"/>
        </w:rPr>
        <w:t>Map of the Great Barrier Reef World Heritage Area</w:t>
      </w:r>
    </w:p>
    <w:p w:rsidR="00D1511D" w:rsidRDefault="003F0CB3">
      <w:pPr>
        <w:spacing w:before="210"/>
        <w:ind w:left="1700"/>
        <w:rPr>
          <w:sz w:val="20"/>
        </w:rPr>
      </w:pPr>
      <w:r>
        <w:rPr>
          <w:b/>
          <w:color w:val="FFFFFF"/>
          <w:sz w:val="20"/>
        </w:rPr>
        <w:t xml:space="preserve">Appendix B: </w:t>
      </w:r>
      <w:r>
        <w:rPr>
          <w:color w:val="FFFFFF"/>
          <w:sz w:val="20"/>
        </w:rPr>
        <w:t>Reef Funding 2014-15 to 2023-24</w:t>
      </w:r>
    </w:p>
    <w:p w:rsidR="00D1511D" w:rsidRDefault="003F0CB3">
      <w:pPr>
        <w:spacing w:before="210"/>
        <w:ind w:left="1700"/>
        <w:rPr>
          <w:sz w:val="20"/>
        </w:rPr>
      </w:pPr>
      <w:r>
        <w:rPr>
          <w:b/>
          <w:color w:val="FFFFFF"/>
          <w:sz w:val="20"/>
        </w:rPr>
        <w:t xml:space="preserve">Appendix C: </w:t>
      </w:r>
      <w:r>
        <w:rPr>
          <w:color w:val="FFFFFF"/>
          <w:sz w:val="20"/>
        </w:rPr>
        <w:t>World Heritage Committee Decisions</w:t>
      </w:r>
    </w:p>
    <w:p w:rsidR="00D1511D" w:rsidRDefault="003F0CB3">
      <w:pPr>
        <w:pStyle w:val="BodyText"/>
        <w:spacing w:before="210" w:line="280" w:lineRule="auto"/>
        <w:ind w:left="1700" w:right="2593"/>
      </w:pPr>
      <w:r>
        <w:rPr>
          <w:b/>
          <w:color w:val="FFFFFF"/>
        </w:rPr>
        <w:t xml:space="preserve">Appendix D: </w:t>
      </w:r>
      <w:r>
        <w:rPr>
          <w:color w:val="FFFFFF"/>
        </w:rPr>
        <w:t>Summary of heritage attributes from the 2019 Outlook Report and Complementary assessments- linking the Outlook Report and the Great Barrier Reef’s outstanding universal value</w:t>
      </w:r>
    </w:p>
    <w:p w:rsidR="00D1511D" w:rsidRDefault="003F0CB3">
      <w:pPr>
        <w:pStyle w:val="BodyText"/>
        <w:spacing w:before="169"/>
        <w:ind w:left="1700"/>
      </w:pPr>
      <w:r>
        <w:rPr>
          <w:b/>
          <w:color w:val="FFFFFF"/>
        </w:rPr>
        <w:t xml:space="preserve">Appendix E: </w:t>
      </w:r>
      <w:r>
        <w:rPr>
          <w:color w:val="FFFFFF"/>
        </w:rPr>
        <w:t>Integrity test – Great</w:t>
      </w:r>
      <w:r>
        <w:rPr>
          <w:color w:val="FFFFFF"/>
        </w:rPr>
        <w:t xml:space="preserve"> Barrier Reef World Heritage Area (from the 2019 Outlook Report)</w:t>
      </w: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spacing w:before="9"/>
        <w:rPr>
          <w:sz w:val="26"/>
        </w:rPr>
      </w:pPr>
    </w:p>
    <w:p w:rsidR="00D1511D" w:rsidRDefault="003F0CB3">
      <w:pPr>
        <w:ind w:left="1700"/>
        <w:rPr>
          <w:rFonts w:ascii="Myriad Pro"/>
          <w:sz w:val="16"/>
        </w:rPr>
      </w:pPr>
      <w:r>
        <w:rPr>
          <w:rFonts w:ascii="Myriad Pro"/>
          <w:color w:val="FFFFFF"/>
          <w:sz w:val="16"/>
        </w:rPr>
        <w:t xml:space="preserve">52 / State Party Report on the state of conservation of the </w:t>
      </w:r>
      <w:r>
        <w:rPr>
          <w:rFonts w:ascii="Myriad Pro"/>
          <w:b/>
          <w:color w:val="FFFFFF"/>
          <w:sz w:val="16"/>
        </w:rPr>
        <w:t xml:space="preserve">Great Barrier Reef World Heritage Area (Australia) </w:t>
      </w:r>
      <w:r>
        <w:rPr>
          <w:rFonts w:ascii="Myriad Pro"/>
          <w:color w:val="FFFFFF"/>
          <w:sz w:val="16"/>
        </w:rPr>
        <w:t>2019</w:t>
      </w:r>
    </w:p>
    <w:p w:rsidR="00D1511D" w:rsidRDefault="00D1511D">
      <w:pPr>
        <w:rPr>
          <w:rFonts w:ascii="Myriad Pro"/>
          <w:sz w:val="16"/>
        </w:rPr>
        <w:sectPr w:rsidR="00D1511D">
          <w:headerReference w:type="default" r:id="rId110"/>
          <w:pgSz w:w="11910" w:h="16840"/>
          <w:pgMar w:top="1580" w:right="0" w:bottom="0" w:left="0" w:header="0" w:footer="0" w:gutter="0"/>
          <w:cols w:space="720"/>
        </w:sectPr>
      </w:pPr>
    </w:p>
    <w:p w:rsidR="00D1511D" w:rsidRDefault="003F0CB3">
      <w:pPr>
        <w:pStyle w:val="Heading2"/>
        <w:spacing w:before="92"/>
        <w:ind w:left="1640" w:right="1575" w:firstLine="0"/>
        <w:jc w:val="center"/>
      </w:pPr>
      <w:bookmarkStart w:id="5" w:name="_TOC_250003"/>
      <w:bookmarkEnd w:id="5"/>
      <w:r>
        <w:rPr>
          <w:color w:val="005695"/>
        </w:rPr>
        <w:lastRenderedPageBreak/>
        <w:t>Appendix A: Map of the Great Barrier Reef World Heritage Area</w:t>
      </w:r>
    </w:p>
    <w:p w:rsidR="00D1511D" w:rsidRDefault="003F0CB3">
      <w:pPr>
        <w:pStyle w:val="BodyText"/>
        <w:spacing w:before="4"/>
        <w:rPr>
          <w:rFonts w:ascii="MyriadPro-Semibold"/>
          <w:b/>
          <w:sz w:val="10"/>
        </w:rPr>
      </w:pPr>
      <w:r>
        <w:rPr>
          <w:noProof/>
        </w:rPr>
        <w:drawing>
          <wp:anchor distT="0" distB="0" distL="0" distR="0" simplePos="0" relativeHeight="51" behindDoc="0" locked="0" layoutInCell="1" allowOverlap="1">
            <wp:simplePos x="0" y="0"/>
            <wp:positionH relativeFrom="page">
              <wp:posOffset>706617</wp:posOffset>
            </wp:positionH>
            <wp:positionV relativeFrom="paragraph">
              <wp:posOffset>103654</wp:posOffset>
            </wp:positionV>
            <wp:extent cx="6351848" cy="9342120"/>
            <wp:effectExtent l="0" t="0" r="0" b="0"/>
            <wp:wrapTopAndBottom/>
            <wp:docPr id="13" name="image20.jpeg" descr="This image shows a map of the Great Barrier Reef World Heritag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111" cstate="print"/>
                    <a:stretch>
                      <a:fillRect/>
                    </a:stretch>
                  </pic:blipFill>
                  <pic:spPr>
                    <a:xfrm>
                      <a:off x="0" y="0"/>
                      <a:ext cx="6351848" cy="9342120"/>
                    </a:xfrm>
                    <a:prstGeom prst="rect">
                      <a:avLst/>
                    </a:prstGeom>
                  </pic:spPr>
                </pic:pic>
              </a:graphicData>
            </a:graphic>
          </wp:anchor>
        </w:drawing>
      </w:r>
    </w:p>
    <w:p w:rsidR="00D1511D" w:rsidRDefault="003F0CB3">
      <w:pPr>
        <w:spacing w:before="284"/>
        <w:ind w:right="1415"/>
        <w:jc w:val="right"/>
        <w:rPr>
          <w:rFonts w:ascii="Myriad Pro"/>
          <w:sz w:val="16"/>
        </w:rPr>
      </w:pPr>
      <w:r>
        <w:rPr>
          <w:rFonts w:ascii="Myriad Pro"/>
          <w:color w:val="231F20"/>
          <w:sz w:val="16"/>
        </w:rPr>
        <w:t>53</w:t>
      </w:r>
    </w:p>
    <w:p w:rsidR="00D1511D" w:rsidRDefault="00D1511D">
      <w:pPr>
        <w:jc w:val="right"/>
        <w:rPr>
          <w:rFonts w:ascii="Myriad Pro"/>
          <w:sz w:val="16"/>
        </w:rPr>
        <w:sectPr w:rsidR="00D1511D">
          <w:headerReference w:type="default" r:id="rId112"/>
          <w:pgSz w:w="11910" w:h="16840"/>
          <w:pgMar w:top="620" w:right="0" w:bottom="0" w:left="0" w:header="0" w:footer="0" w:gutter="0"/>
          <w:cols w:space="720"/>
        </w:sectPr>
      </w:pPr>
    </w:p>
    <w:p w:rsidR="00D1511D" w:rsidRDefault="003F0CB3">
      <w:pPr>
        <w:pStyle w:val="BodyText"/>
        <w:rPr>
          <w:rFonts w:ascii="Myriad Pro"/>
        </w:rPr>
      </w:pPr>
      <w:r>
        <w:lastRenderedPageBreak/>
        <w:pict>
          <v:line id="_x0000_s1234" alt="" style="position:absolute;z-index:251711488;mso-wrap-edited:f;mso-width-percent:0;mso-height-percent:0;mso-position-horizontal-relative:page;mso-position-vertical-relative:page;mso-width-percent:0;mso-height-percent:0" from="819.9pt,0" to="819.9pt,588.75pt" strokecolor="#005695" strokeweight="2pt">
            <w10:wrap anchorx="page" anchory="page"/>
          </v:line>
        </w:pict>
      </w:r>
      <w:r>
        <w:pict>
          <v:shape id="_x0000_s1233" type="#_x0000_t202" alt="" style="position:absolute;margin-left:16.15pt;margin-top:69.85pt;width:11.95pt;height:392.65pt;z-index:251712512;mso-wrap-style:square;mso-wrap-edited:f;mso-width-percent:0;mso-height-percent:0;mso-position-horizontal-relative:page;mso-position-vertical-relative:page;mso-width-percent:0;mso-height-percent:0;v-text-anchor:top" filled="f" stroked="f">
            <v:textbox style="layout-flow:vertical" inset="0,0,0,0">
              <w:txbxContent>
                <w:p w:rsidR="00D1511D" w:rsidRDefault="003F0CB3">
                  <w:pPr>
                    <w:spacing w:before="26"/>
                    <w:ind w:left="20"/>
                    <w:rPr>
                      <w:rFonts w:ascii="Myriad Pro"/>
                      <w:sz w:val="16"/>
                    </w:rPr>
                  </w:pPr>
                  <w:r>
                    <w:rPr>
                      <w:rFonts w:ascii="Myriad Pro"/>
                      <w:color w:val="231F20"/>
                      <w:sz w:val="16"/>
                    </w:rPr>
                    <w:t xml:space="preserve">54 / </w:t>
                  </w:r>
                  <w:r>
                    <w:rPr>
                      <w:rFonts w:ascii="Myriad Pro"/>
                      <w:color w:val="005695"/>
                      <w:sz w:val="16"/>
                    </w:rPr>
                    <w:t xml:space="preserve">State Party Report on the state of conservation of the </w:t>
                  </w:r>
                  <w:r>
                    <w:rPr>
                      <w:rFonts w:ascii="Myriad Pro"/>
                      <w:b/>
                      <w:color w:val="005695"/>
                      <w:sz w:val="16"/>
                    </w:rPr>
                    <w:t xml:space="preserve">Great Barrier Reef World Heritage Area (Australia) </w:t>
                  </w:r>
                  <w:r>
                    <w:rPr>
                      <w:rFonts w:ascii="Myriad Pro"/>
                      <w:color w:val="005695"/>
                      <w:sz w:val="16"/>
                    </w:rPr>
                    <w:t>2019</w:t>
                  </w:r>
                </w:p>
              </w:txbxContent>
            </v:textbox>
            <w10:wrap anchorx="page" anchory="page"/>
          </v:shape>
        </w:pict>
      </w:r>
    </w:p>
    <w:p w:rsidR="00D1511D" w:rsidRDefault="00D1511D">
      <w:pPr>
        <w:pStyle w:val="BodyText"/>
        <w:rPr>
          <w:rFonts w:ascii="Myriad Pro"/>
        </w:rPr>
      </w:pPr>
    </w:p>
    <w:p w:rsidR="00D1511D" w:rsidRDefault="00D1511D">
      <w:pPr>
        <w:pStyle w:val="BodyText"/>
        <w:rPr>
          <w:rFonts w:ascii="Myriad Pro"/>
        </w:rPr>
      </w:pPr>
    </w:p>
    <w:p w:rsidR="00D1511D" w:rsidRDefault="003F0CB3">
      <w:pPr>
        <w:pStyle w:val="Heading1"/>
        <w:spacing w:before="228"/>
        <w:ind w:left="2670" w:right="2673"/>
        <w:jc w:val="center"/>
      </w:pPr>
      <w:bookmarkStart w:id="6" w:name="_TOC_250002"/>
      <w:r>
        <w:rPr>
          <w:color w:val="005695"/>
          <w:spacing w:val="-5"/>
        </w:rPr>
        <w:t xml:space="preserve">Appendix </w:t>
      </w:r>
      <w:r>
        <w:rPr>
          <w:color w:val="005695"/>
          <w:spacing w:val="-6"/>
        </w:rPr>
        <w:t xml:space="preserve">B: </w:t>
      </w:r>
      <w:r>
        <w:rPr>
          <w:color w:val="005695"/>
          <w:spacing w:val="-3"/>
        </w:rPr>
        <w:t xml:space="preserve">Reef </w:t>
      </w:r>
      <w:r>
        <w:rPr>
          <w:color w:val="005695"/>
          <w:spacing w:val="-6"/>
        </w:rPr>
        <w:t xml:space="preserve">funding </w:t>
      </w:r>
      <w:r>
        <w:rPr>
          <w:color w:val="005695"/>
          <w:spacing w:val="-23"/>
        </w:rPr>
        <w:t xml:space="preserve">2014-15 </w:t>
      </w:r>
      <w:r>
        <w:rPr>
          <w:color w:val="005695"/>
          <w:spacing w:val="-6"/>
        </w:rPr>
        <w:t>to</w:t>
      </w:r>
      <w:r>
        <w:rPr>
          <w:color w:val="005695"/>
          <w:spacing w:val="45"/>
        </w:rPr>
        <w:t xml:space="preserve"> </w:t>
      </w:r>
      <w:bookmarkEnd w:id="6"/>
      <w:r>
        <w:rPr>
          <w:color w:val="005695"/>
          <w:spacing w:val="-15"/>
        </w:rPr>
        <w:t>2023-24</w:t>
      </w:r>
    </w:p>
    <w:p w:rsidR="00D1511D" w:rsidRDefault="00D1511D">
      <w:pPr>
        <w:pStyle w:val="BodyText"/>
        <w:spacing w:before="8"/>
        <w:rPr>
          <w:rFonts w:ascii="Myriad Pro"/>
          <w:sz w:val="19"/>
        </w:rPr>
      </w:pPr>
    </w:p>
    <w:tbl>
      <w:tblPr>
        <w:tblW w:w="0" w:type="auto"/>
        <w:tblInd w:w="139"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5015"/>
        <w:gridCol w:w="836"/>
        <w:gridCol w:w="813"/>
        <w:gridCol w:w="849"/>
        <w:gridCol w:w="836"/>
        <w:gridCol w:w="885"/>
        <w:gridCol w:w="921"/>
        <w:gridCol w:w="921"/>
        <w:gridCol w:w="800"/>
        <w:gridCol w:w="861"/>
        <w:gridCol w:w="910"/>
        <w:gridCol w:w="910"/>
      </w:tblGrid>
      <w:tr w:rsidR="00D1511D">
        <w:trPr>
          <w:trHeight w:val="220"/>
        </w:trPr>
        <w:tc>
          <w:tcPr>
            <w:tcW w:w="5015" w:type="dxa"/>
          </w:tcPr>
          <w:p w:rsidR="00D1511D" w:rsidRDefault="003F0CB3">
            <w:pPr>
              <w:pStyle w:val="TableParagraph"/>
              <w:ind w:left="28"/>
              <w:rPr>
                <w:rFonts w:ascii="Arial"/>
                <w:b/>
                <w:sz w:val="15"/>
              </w:rPr>
            </w:pPr>
            <w:r>
              <w:rPr>
                <w:rFonts w:ascii="Arial"/>
                <w:b/>
                <w:color w:val="231F20"/>
                <w:sz w:val="15"/>
              </w:rPr>
              <w:t>All figures in AUD $m</w:t>
            </w:r>
          </w:p>
        </w:tc>
        <w:tc>
          <w:tcPr>
            <w:tcW w:w="836" w:type="dxa"/>
          </w:tcPr>
          <w:p w:rsidR="00D1511D" w:rsidRDefault="003F0CB3">
            <w:pPr>
              <w:pStyle w:val="TableParagraph"/>
              <w:ind w:left="143"/>
              <w:rPr>
                <w:rFonts w:ascii="Arial"/>
                <w:b/>
                <w:sz w:val="15"/>
              </w:rPr>
            </w:pPr>
            <w:r>
              <w:rPr>
                <w:rFonts w:ascii="Arial"/>
                <w:b/>
                <w:color w:val="231F20"/>
                <w:sz w:val="15"/>
              </w:rPr>
              <w:t>2014-15</w:t>
            </w:r>
          </w:p>
        </w:tc>
        <w:tc>
          <w:tcPr>
            <w:tcW w:w="813" w:type="dxa"/>
          </w:tcPr>
          <w:p w:rsidR="00D1511D" w:rsidRDefault="003F0CB3">
            <w:pPr>
              <w:pStyle w:val="TableParagraph"/>
              <w:ind w:left="131"/>
              <w:rPr>
                <w:rFonts w:ascii="Arial"/>
                <w:b/>
                <w:sz w:val="15"/>
              </w:rPr>
            </w:pPr>
            <w:r>
              <w:rPr>
                <w:rFonts w:ascii="Arial"/>
                <w:b/>
                <w:color w:val="231F20"/>
                <w:sz w:val="15"/>
              </w:rPr>
              <w:t>2015-16</w:t>
            </w:r>
          </w:p>
        </w:tc>
        <w:tc>
          <w:tcPr>
            <w:tcW w:w="849" w:type="dxa"/>
          </w:tcPr>
          <w:p w:rsidR="00D1511D" w:rsidRDefault="003F0CB3">
            <w:pPr>
              <w:pStyle w:val="TableParagraph"/>
              <w:ind w:left="148"/>
              <w:rPr>
                <w:rFonts w:ascii="Arial"/>
                <w:b/>
                <w:sz w:val="15"/>
              </w:rPr>
            </w:pPr>
            <w:r>
              <w:rPr>
                <w:rFonts w:ascii="Arial"/>
                <w:b/>
                <w:color w:val="231F20"/>
                <w:sz w:val="15"/>
              </w:rPr>
              <w:t>2016-17</w:t>
            </w:r>
          </w:p>
        </w:tc>
        <w:tc>
          <w:tcPr>
            <w:tcW w:w="836" w:type="dxa"/>
          </w:tcPr>
          <w:p w:rsidR="00D1511D" w:rsidRDefault="003F0CB3">
            <w:pPr>
              <w:pStyle w:val="TableParagraph"/>
              <w:ind w:left="139"/>
              <w:rPr>
                <w:rFonts w:ascii="Arial"/>
                <w:b/>
                <w:sz w:val="15"/>
              </w:rPr>
            </w:pPr>
            <w:r>
              <w:rPr>
                <w:rFonts w:ascii="Arial"/>
                <w:b/>
                <w:color w:val="231F20"/>
                <w:sz w:val="15"/>
              </w:rPr>
              <w:t>2017-18</w:t>
            </w:r>
          </w:p>
        </w:tc>
        <w:tc>
          <w:tcPr>
            <w:tcW w:w="885" w:type="dxa"/>
          </w:tcPr>
          <w:p w:rsidR="00D1511D" w:rsidRDefault="003F0CB3">
            <w:pPr>
              <w:pStyle w:val="TableParagraph"/>
              <w:ind w:left="164"/>
              <w:rPr>
                <w:rFonts w:ascii="Arial"/>
                <w:b/>
                <w:sz w:val="15"/>
              </w:rPr>
            </w:pPr>
            <w:r>
              <w:rPr>
                <w:rFonts w:ascii="Arial"/>
                <w:b/>
                <w:color w:val="231F20"/>
                <w:sz w:val="15"/>
              </w:rPr>
              <w:t>2018-19</w:t>
            </w:r>
          </w:p>
        </w:tc>
        <w:tc>
          <w:tcPr>
            <w:tcW w:w="921" w:type="dxa"/>
          </w:tcPr>
          <w:p w:rsidR="00D1511D" w:rsidRDefault="003F0CB3">
            <w:pPr>
              <w:pStyle w:val="TableParagraph"/>
              <w:ind w:left="181"/>
              <w:rPr>
                <w:rFonts w:ascii="Arial"/>
                <w:b/>
                <w:sz w:val="15"/>
              </w:rPr>
            </w:pPr>
            <w:r>
              <w:rPr>
                <w:rFonts w:ascii="Arial"/>
                <w:b/>
                <w:color w:val="231F20"/>
                <w:sz w:val="15"/>
              </w:rPr>
              <w:t>2019-20</w:t>
            </w:r>
          </w:p>
        </w:tc>
        <w:tc>
          <w:tcPr>
            <w:tcW w:w="921" w:type="dxa"/>
          </w:tcPr>
          <w:p w:rsidR="00D1511D" w:rsidRDefault="003F0CB3">
            <w:pPr>
              <w:pStyle w:val="TableParagraph"/>
              <w:ind w:left="180"/>
              <w:rPr>
                <w:rFonts w:ascii="Arial"/>
                <w:b/>
                <w:sz w:val="15"/>
              </w:rPr>
            </w:pPr>
            <w:r>
              <w:rPr>
                <w:rFonts w:ascii="Arial"/>
                <w:b/>
                <w:color w:val="231F20"/>
                <w:sz w:val="15"/>
              </w:rPr>
              <w:t>2020-21</w:t>
            </w:r>
          </w:p>
        </w:tc>
        <w:tc>
          <w:tcPr>
            <w:tcW w:w="800" w:type="dxa"/>
          </w:tcPr>
          <w:p w:rsidR="00D1511D" w:rsidRDefault="003F0CB3">
            <w:pPr>
              <w:pStyle w:val="TableParagraph"/>
              <w:ind w:left="117"/>
              <w:rPr>
                <w:rFonts w:ascii="Arial"/>
                <w:b/>
                <w:sz w:val="15"/>
              </w:rPr>
            </w:pPr>
            <w:r>
              <w:rPr>
                <w:rFonts w:ascii="Arial"/>
                <w:b/>
                <w:color w:val="231F20"/>
                <w:sz w:val="15"/>
              </w:rPr>
              <w:t>2021-22</w:t>
            </w:r>
          </w:p>
        </w:tc>
        <w:tc>
          <w:tcPr>
            <w:tcW w:w="861" w:type="dxa"/>
          </w:tcPr>
          <w:p w:rsidR="00D1511D" w:rsidRDefault="003F0CB3">
            <w:pPr>
              <w:pStyle w:val="TableParagraph"/>
              <w:ind w:left="147"/>
              <w:rPr>
                <w:rFonts w:ascii="Arial"/>
                <w:b/>
                <w:sz w:val="15"/>
              </w:rPr>
            </w:pPr>
            <w:r>
              <w:rPr>
                <w:rFonts w:ascii="Arial"/>
                <w:b/>
                <w:color w:val="231F20"/>
                <w:sz w:val="15"/>
              </w:rPr>
              <w:t>2022-23</w:t>
            </w:r>
          </w:p>
        </w:tc>
        <w:tc>
          <w:tcPr>
            <w:tcW w:w="910" w:type="dxa"/>
          </w:tcPr>
          <w:p w:rsidR="00D1511D" w:rsidRDefault="003F0CB3">
            <w:pPr>
              <w:pStyle w:val="TableParagraph"/>
              <w:ind w:left="172"/>
              <w:rPr>
                <w:rFonts w:ascii="Arial"/>
                <w:b/>
                <w:sz w:val="15"/>
              </w:rPr>
            </w:pPr>
            <w:r>
              <w:rPr>
                <w:rFonts w:ascii="Arial"/>
                <w:b/>
                <w:color w:val="231F20"/>
                <w:sz w:val="15"/>
              </w:rPr>
              <w:t>2023-24</w:t>
            </w:r>
          </w:p>
        </w:tc>
        <w:tc>
          <w:tcPr>
            <w:tcW w:w="910" w:type="dxa"/>
          </w:tcPr>
          <w:p w:rsidR="00D1511D" w:rsidRDefault="003F0CB3">
            <w:pPr>
              <w:pStyle w:val="TableParagraph"/>
              <w:ind w:left="265"/>
              <w:rPr>
                <w:rFonts w:ascii="Arial"/>
                <w:b/>
                <w:sz w:val="15"/>
              </w:rPr>
            </w:pPr>
            <w:r>
              <w:rPr>
                <w:rFonts w:ascii="Arial"/>
                <w:b/>
                <w:color w:val="231F20"/>
                <w:sz w:val="15"/>
              </w:rPr>
              <w:t>Total</w:t>
            </w:r>
          </w:p>
        </w:tc>
      </w:tr>
      <w:tr w:rsidR="00D1511D">
        <w:trPr>
          <w:trHeight w:val="220"/>
        </w:trPr>
        <w:tc>
          <w:tcPr>
            <w:tcW w:w="5015" w:type="dxa"/>
            <w:shd w:val="clear" w:color="auto" w:fill="81B1DF"/>
          </w:tcPr>
          <w:p w:rsidR="00D1511D" w:rsidRDefault="003F0CB3">
            <w:pPr>
              <w:pStyle w:val="TableParagraph"/>
              <w:ind w:left="28"/>
              <w:rPr>
                <w:rFonts w:ascii="Arial"/>
                <w:b/>
                <w:sz w:val="15"/>
              </w:rPr>
            </w:pPr>
            <w:r>
              <w:rPr>
                <w:rFonts w:ascii="Arial"/>
                <w:b/>
                <w:color w:val="231F20"/>
                <w:sz w:val="15"/>
              </w:rPr>
              <w:t>Australian Government Reef Programs</w:t>
            </w:r>
          </w:p>
        </w:tc>
        <w:tc>
          <w:tcPr>
            <w:tcW w:w="9542" w:type="dxa"/>
            <w:gridSpan w:val="11"/>
            <w:shd w:val="clear" w:color="auto" w:fill="81B1DF"/>
          </w:tcPr>
          <w:p w:rsidR="00D1511D" w:rsidRDefault="00D1511D">
            <w:pPr>
              <w:pStyle w:val="TableParagraph"/>
              <w:spacing w:before="0"/>
              <w:rPr>
                <w:rFonts w:ascii="Times New Roman"/>
                <w:sz w:val="14"/>
              </w:rPr>
            </w:pPr>
          </w:p>
        </w:tc>
      </w:tr>
      <w:tr w:rsidR="00D1511D">
        <w:trPr>
          <w:trHeight w:val="220"/>
        </w:trPr>
        <w:tc>
          <w:tcPr>
            <w:tcW w:w="5015" w:type="dxa"/>
          </w:tcPr>
          <w:p w:rsidR="00D1511D" w:rsidRDefault="003F0CB3">
            <w:pPr>
              <w:pStyle w:val="TableParagraph"/>
              <w:spacing w:before="23"/>
              <w:ind w:left="28"/>
              <w:rPr>
                <w:rFonts w:ascii="Arial"/>
                <w:sz w:val="15"/>
              </w:rPr>
            </w:pPr>
            <w:r>
              <w:rPr>
                <w:rFonts w:ascii="Arial"/>
                <w:color w:val="231F20"/>
                <w:sz w:val="15"/>
              </w:rPr>
              <w:t>Reef 2050</w:t>
            </w:r>
          </w:p>
        </w:tc>
        <w:tc>
          <w:tcPr>
            <w:tcW w:w="836" w:type="dxa"/>
            <w:shd w:val="clear" w:color="auto" w:fill="949698"/>
          </w:tcPr>
          <w:p w:rsidR="00D1511D" w:rsidRDefault="00D1511D">
            <w:pPr>
              <w:pStyle w:val="TableParagraph"/>
              <w:spacing w:before="0"/>
              <w:rPr>
                <w:rFonts w:ascii="Times New Roman"/>
                <w:sz w:val="14"/>
              </w:rPr>
            </w:pPr>
          </w:p>
        </w:tc>
        <w:tc>
          <w:tcPr>
            <w:tcW w:w="813" w:type="dxa"/>
            <w:shd w:val="clear" w:color="auto" w:fill="949698"/>
          </w:tcPr>
          <w:p w:rsidR="00D1511D" w:rsidRDefault="00D1511D">
            <w:pPr>
              <w:pStyle w:val="TableParagraph"/>
              <w:spacing w:before="0"/>
              <w:rPr>
                <w:rFonts w:ascii="Times New Roman"/>
                <w:sz w:val="14"/>
              </w:rPr>
            </w:pPr>
          </w:p>
        </w:tc>
        <w:tc>
          <w:tcPr>
            <w:tcW w:w="849" w:type="dxa"/>
          </w:tcPr>
          <w:p w:rsidR="00D1511D" w:rsidRDefault="003F0CB3">
            <w:pPr>
              <w:pStyle w:val="TableParagraph"/>
              <w:spacing w:before="23"/>
              <w:ind w:right="-15"/>
              <w:jc w:val="right"/>
              <w:rPr>
                <w:rFonts w:ascii="Arial"/>
                <w:sz w:val="15"/>
              </w:rPr>
            </w:pPr>
            <w:r>
              <w:rPr>
                <w:rFonts w:ascii="Arial"/>
                <w:color w:val="231F20"/>
                <w:w w:val="95"/>
                <w:sz w:val="15"/>
              </w:rPr>
              <w:t>2.090</w:t>
            </w:r>
          </w:p>
        </w:tc>
        <w:tc>
          <w:tcPr>
            <w:tcW w:w="836" w:type="dxa"/>
          </w:tcPr>
          <w:p w:rsidR="00D1511D" w:rsidRDefault="003F0CB3">
            <w:pPr>
              <w:pStyle w:val="TableParagraph"/>
              <w:spacing w:before="23"/>
              <w:jc w:val="right"/>
              <w:rPr>
                <w:rFonts w:ascii="Arial"/>
                <w:sz w:val="15"/>
              </w:rPr>
            </w:pPr>
            <w:r>
              <w:rPr>
                <w:rFonts w:ascii="Arial"/>
                <w:color w:val="231F20"/>
                <w:w w:val="95"/>
                <w:sz w:val="15"/>
              </w:rPr>
              <w:t>9.438</w:t>
            </w:r>
          </w:p>
        </w:tc>
        <w:tc>
          <w:tcPr>
            <w:tcW w:w="885" w:type="dxa"/>
          </w:tcPr>
          <w:p w:rsidR="00D1511D" w:rsidRDefault="003F0CB3">
            <w:pPr>
              <w:pStyle w:val="TableParagraph"/>
              <w:spacing w:before="23"/>
              <w:ind w:right="1"/>
              <w:jc w:val="right"/>
              <w:rPr>
                <w:rFonts w:ascii="Arial"/>
                <w:sz w:val="15"/>
              </w:rPr>
            </w:pPr>
            <w:r>
              <w:rPr>
                <w:rFonts w:ascii="Arial"/>
                <w:color w:val="231F20"/>
                <w:w w:val="95"/>
                <w:sz w:val="15"/>
              </w:rPr>
              <w:t>8.891</w:t>
            </w:r>
          </w:p>
        </w:tc>
        <w:tc>
          <w:tcPr>
            <w:tcW w:w="921" w:type="dxa"/>
          </w:tcPr>
          <w:p w:rsidR="00D1511D" w:rsidRDefault="003F0CB3">
            <w:pPr>
              <w:pStyle w:val="TableParagraph"/>
              <w:spacing w:before="23"/>
              <w:jc w:val="right"/>
              <w:rPr>
                <w:rFonts w:ascii="Arial"/>
                <w:sz w:val="15"/>
              </w:rPr>
            </w:pPr>
            <w:r>
              <w:rPr>
                <w:rFonts w:ascii="Arial"/>
                <w:color w:val="231F20"/>
                <w:w w:val="95"/>
                <w:sz w:val="15"/>
              </w:rPr>
              <w:t>8.891</w:t>
            </w:r>
          </w:p>
        </w:tc>
        <w:tc>
          <w:tcPr>
            <w:tcW w:w="921" w:type="dxa"/>
          </w:tcPr>
          <w:p w:rsidR="00D1511D" w:rsidRDefault="003F0CB3">
            <w:pPr>
              <w:pStyle w:val="TableParagraph"/>
              <w:spacing w:before="23"/>
              <w:ind w:right="1"/>
              <w:jc w:val="right"/>
              <w:rPr>
                <w:rFonts w:ascii="Arial"/>
                <w:sz w:val="15"/>
              </w:rPr>
            </w:pPr>
            <w:r>
              <w:rPr>
                <w:rFonts w:ascii="Arial"/>
                <w:color w:val="231F20"/>
                <w:w w:val="95"/>
                <w:sz w:val="15"/>
              </w:rPr>
              <w:t>7.736</w:t>
            </w:r>
          </w:p>
        </w:tc>
        <w:tc>
          <w:tcPr>
            <w:tcW w:w="800" w:type="dxa"/>
          </w:tcPr>
          <w:p w:rsidR="00D1511D" w:rsidRDefault="003F0CB3">
            <w:pPr>
              <w:pStyle w:val="TableParagraph"/>
              <w:spacing w:before="23"/>
              <w:ind w:right="2"/>
              <w:jc w:val="right"/>
              <w:rPr>
                <w:rFonts w:ascii="Arial"/>
                <w:sz w:val="15"/>
              </w:rPr>
            </w:pPr>
            <w:r>
              <w:rPr>
                <w:rFonts w:ascii="Arial"/>
                <w:color w:val="231F20"/>
                <w:w w:val="95"/>
                <w:sz w:val="15"/>
              </w:rPr>
              <w:t>7.736</w:t>
            </w:r>
          </w:p>
        </w:tc>
        <w:tc>
          <w:tcPr>
            <w:tcW w:w="861" w:type="dxa"/>
          </w:tcPr>
          <w:p w:rsidR="00D1511D" w:rsidRDefault="003F0CB3">
            <w:pPr>
              <w:pStyle w:val="TableParagraph"/>
              <w:spacing w:before="23"/>
              <w:ind w:right="3"/>
              <w:jc w:val="right"/>
              <w:rPr>
                <w:rFonts w:ascii="Arial"/>
                <w:sz w:val="15"/>
              </w:rPr>
            </w:pPr>
            <w:r>
              <w:rPr>
                <w:rFonts w:ascii="Arial"/>
                <w:color w:val="231F20"/>
                <w:w w:val="95"/>
                <w:sz w:val="15"/>
              </w:rPr>
              <w:t>9.700</w:t>
            </w:r>
          </w:p>
        </w:tc>
        <w:tc>
          <w:tcPr>
            <w:tcW w:w="910" w:type="dxa"/>
            <w:shd w:val="clear" w:color="auto" w:fill="F1F1F2"/>
          </w:tcPr>
          <w:p w:rsidR="00D1511D" w:rsidRDefault="003F0CB3">
            <w:pPr>
              <w:pStyle w:val="TableParagraph"/>
              <w:ind w:left="291"/>
              <w:rPr>
                <w:rFonts w:ascii="Arial"/>
                <w:b/>
                <w:sz w:val="15"/>
              </w:rPr>
            </w:pPr>
            <w:r>
              <w:rPr>
                <w:rFonts w:ascii="Arial"/>
                <w:b/>
                <w:color w:val="231F20"/>
                <w:sz w:val="15"/>
              </w:rPr>
              <w:t>TBD</w:t>
            </w:r>
          </w:p>
        </w:tc>
        <w:tc>
          <w:tcPr>
            <w:tcW w:w="910" w:type="dxa"/>
          </w:tcPr>
          <w:p w:rsidR="00D1511D" w:rsidRDefault="003F0CB3">
            <w:pPr>
              <w:pStyle w:val="TableParagraph"/>
              <w:ind w:right="5"/>
              <w:jc w:val="right"/>
              <w:rPr>
                <w:rFonts w:ascii="Arial"/>
                <w:b/>
                <w:sz w:val="15"/>
              </w:rPr>
            </w:pPr>
            <w:r>
              <w:rPr>
                <w:rFonts w:ascii="Arial"/>
                <w:b/>
                <w:color w:val="231F20"/>
                <w:w w:val="95"/>
                <w:sz w:val="15"/>
              </w:rPr>
              <w:t>54.482</w:t>
            </w:r>
          </w:p>
        </w:tc>
      </w:tr>
      <w:tr w:rsidR="00D1511D">
        <w:trPr>
          <w:trHeight w:val="220"/>
        </w:trPr>
        <w:tc>
          <w:tcPr>
            <w:tcW w:w="5015" w:type="dxa"/>
          </w:tcPr>
          <w:p w:rsidR="00D1511D" w:rsidRDefault="003F0CB3">
            <w:pPr>
              <w:pStyle w:val="TableParagraph"/>
              <w:spacing w:before="23"/>
              <w:ind w:left="28"/>
              <w:rPr>
                <w:rFonts w:ascii="Arial"/>
                <w:sz w:val="15"/>
              </w:rPr>
            </w:pPr>
            <w:r>
              <w:rPr>
                <w:rFonts w:ascii="Arial"/>
                <w:color w:val="231F20"/>
                <w:sz w:val="15"/>
              </w:rPr>
              <w:t>Reef Trust*^</w:t>
            </w:r>
          </w:p>
        </w:tc>
        <w:tc>
          <w:tcPr>
            <w:tcW w:w="836" w:type="dxa"/>
          </w:tcPr>
          <w:p w:rsidR="00D1511D" w:rsidRDefault="003F0CB3">
            <w:pPr>
              <w:pStyle w:val="TableParagraph"/>
              <w:spacing w:before="23"/>
              <w:ind w:right="-15"/>
              <w:jc w:val="right"/>
              <w:rPr>
                <w:rFonts w:ascii="Arial"/>
                <w:sz w:val="15"/>
              </w:rPr>
            </w:pPr>
            <w:r>
              <w:rPr>
                <w:rFonts w:ascii="Arial"/>
                <w:color w:val="231F20"/>
                <w:w w:val="95"/>
                <w:sz w:val="15"/>
              </w:rPr>
              <w:t>7.702</w:t>
            </w:r>
          </w:p>
        </w:tc>
        <w:tc>
          <w:tcPr>
            <w:tcW w:w="813" w:type="dxa"/>
          </w:tcPr>
          <w:p w:rsidR="00D1511D" w:rsidRDefault="003F0CB3">
            <w:pPr>
              <w:pStyle w:val="TableParagraph"/>
              <w:spacing w:before="23"/>
              <w:ind w:right="-15"/>
              <w:jc w:val="right"/>
              <w:rPr>
                <w:rFonts w:ascii="Arial"/>
                <w:sz w:val="15"/>
              </w:rPr>
            </w:pPr>
            <w:r>
              <w:rPr>
                <w:rFonts w:ascii="Arial"/>
                <w:color w:val="231F20"/>
                <w:w w:val="95"/>
                <w:sz w:val="15"/>
              </w:rPr>
              <w:t>15.865</w:t>
            </w:r>
          </w:p>
        </w:tc>
        <w:tc>
          <w:tcPr>
            <w:tcW w:w="849" w:type="dxa"/>
          </w:tcPr>
          <w:p w:rsidR="00D1511D" w:rsidRDefault="003F0CB3">
            <w:pPr>
              <w:pStyle w:val="TableParagraph"/>
              <w:spacing w:before="23"/>
              <w:ind w:right="-15"/>
              <w:jc w:val="right"/>
              <w:rPr>
                <w:rFonts w:ascii="Arial"/>
                <w:sz w:val="15"/>
              </w:rPr>
            </w:pPr>
            <w:r>
              <w:rPr>
                <w:rFonts w:ascii="Arial"/>
                <w:color w:val="231F20"/>
                <w:w w:val="95"/>
                <w:sz w:val="15"/>
              </w:rPr>
              <w:t>35.554</w:t>
            </w:r>
          </w:p>
        </w:tc>
        <w:tc>
          <w:tcPr>
            <w:tcW w:w="836" w:type="dxa"/>
          </w:tcPr>
          <w:p w:rsidR="00D1511D" w:rsidRDefault="003F0CB3">
            <w:pPr>
              <w:pStyle w:val="TableParagraph"/>
              <w:spacing w:before="23"/>
              <w:jc w:val="right"/>
              <w:rPr>
                <w:rFonts w:ascii="Arial"/>
                <w:sz w:val="15"/>
              </w:rPr>
            </w:pPr>
            <w:r>
              <w:rPr>
                <w:rFonts w:ascii="Arial"/>
                <w:color w:val="231F20"/>
                <w:w w:val="95"/>
                <w:sz w:val="15"/>
              </w:rPr>
              <w:t>486.422</w:t>
            </w:r>
          </w:p>
        </w:tc>
        <w:tc>
          <w:tcPr>
            <w:tcW w:w="885" w:type="dxa"/>
          </w:tcPr>
          <w:p w:rsidR="00D1511D" w:rsidRDefault="003F0CB3">
            <w:pPr>
              <w:pStyle w:val="TableParagraph"/>
              <w:spacing w:before="23"/>
              <w:ind w:right="1"/>
              <w:jc w:val="right"/>
              <w:rPr>
                <w:rFonts w:ascii="Arial"/>
                <w:sz w:val="15"/>
              </w:rPr>
            </w:pPr>
            <w:r>
              <w:rPr>
                <w:rFonts w:ascii="Arial"/>
                <w:color w:val="231F20"/>
                <w:w w:val="95"/>
                <w:sz w:val="15"/>
              </w:rPr>
              <w:t>34.161</w:t>
            </w:r>
          </w:p>
        </w:tc>
        <w:tc>
          <w:tcPr>
            <w:tcW w:w="921" w:type="dxa"/>
          </w:tcPr>
          <w:p w:rsidR="00D1511D" w:rsidRDefault="003F0CB3">
            <w:pPr>
              <w:pStyle w:val="TableParagraph"/>
              <w:spacing w:before="23"/>
              <w:jc w:val="right"/>
              <w:rPr>
                <w:rFonts w:ascii="Arial"/>
                <w:sz w:val="15"/>
              </w:rPr>
            </w:pPr>
            <w:r>
              <w:rPr>
                <w:rFonts w:ascii="Arial"/>
                <w:color w:val="231F20"/>
                <w:w w:val="95"/>
                <w:sz w:val="15"/>
              </w:rPr>
              <w:t>42.175</w:t>
            </w:r>
          </w:p>
        </w:tc>
        <w:tc>
          <w:tcPr>
            <w:tcW w:w="921" w:type="dxa"/>
          </w:tcPr>
          <w:p w:rsidR="00D1511D" w:rsidRDefault="003F0CB3">
            <w:pPr>
              <w:pStyle w:val="TableParagraph"/>
              <w:spacing w:before="23"/>
              <w:ind w:right="1"/>
              <w:jc w:val="right"/>
              <w:rPr>
                <w:rFonts w:ascii="Arial"/>
                <w:sz w:val="15"/>
              </w:rPr>
            </w:pPr>
            <w:r>
              <w:rPr>
                <w:rFonts w:ascii="Arial"/>
                <w:color w:val="231F20"/>
                <w:w w:val="95"/>
                <w:sz w:val="15"/>
              </w:rPr>
              <w:t>34.650</w:t>
            </w:r>
          </w:p>
        </w:tc>
        <w:tc>
          <w:tcPr>
            <w:tcW w:w="800" w:type="dxa"/>
          </w:tcPr>
          <w:p w:rsidR="00D1511D" w:rsidRDefault="003F0CB3">
            <w:pPr>
              <w:pStyle w:val="TableParagraph"/>
              <w:spacing w:before="23"/>
              <w:ind w:right="2"/>
              <w:jc w:val="right"/>
              <w:rPr>
                <w:rFonts w:ascii="Arial"/>
                <w:sz w:val="15"/>
              </w:rPr>
            </w:pPr>
            <w:r>
              <w:rPr>
                <w:rFonts w:ascii="Arial"/>
                <w:color w:val="231F20"/>
                <w:w w:val="95"/>
                <w:sz w:val="15"/>
              </w:rPr>
              <w:t>25.853</w:t>
            </w:r>
          </w:p>
        </w:tc>
        <w:tc>
          <w:tcPr>
            <w:tcW w:w="861" w:type="dxa"/>
          </w:tcPr>
          <w:p w:rsidR="00D1511D" w:rsidRDefault="003F0CB3">
            <w:pPr>
              <w:pStyle w:val="TableParagraph"/>
              <w:spacing w:before="23"/>
              <w:ind w:right="3"/>
              <w:jc w:val="right"/>
              <w:rPr>
                <w:rFonts w:ascii="Arial"/>
                <w:sz w:val="15"/>
              </w:rPr>
            </w:pPr>
            <w:r>
              <w:rPr>
                <w:rFonts w:ascii="Arial"/>
                <w:color w:val="231F20"/>
                <w:w w:val="95"/>
                <w:sz w:val="15"/>
              </w:rPr>
              <w:t>21.670</w:t>
            </w:r>
          </w:p>
        </w:tc>
        <w:tc>
          <w:tcPr>
            <w:tcW w:w="910" w:type="dxa"/>
            <w:shd w:val="clear" w:color="auto" w:fill="F1F1F2"/>
          </w:tcPr>
          <w:p w:rsidR="00D1511D" w:rsidRDefault="003F0CB3">
            <w:pPr>
              <w:pStyle w:val="TableParagraph"/>
              <w:ind w:left="291"/>
              <w:rPr>
                <w:rFonts w:ascii="Arial"/>
                <w:b/>
                <w:sz w:val="15"/>
              </w:rPr>
            </w:pPr>
            <w:r>
              <w:rPr>
                <w:rFonts w:ascii="Arial"/>
                <w:b/>
                <w:color w:val="231F20"/>
                <w:sz w:val="15"/>
              </w:rPr>
              <w:t>TBD</w:t>
            </w:r>
          </w:p>
        </w:tc>
        <w:tc>
          <w:tcPr>
            <w:tcW w:w="910" w:type="dxa"/>
          </w:tcPr>
          <w:p w:rsidR="00D1511D" w:rsidRDefault="003F0CB3">
            <w:pPr>
              <w:pStyle w:val="TableParagraph"/>
              <w:ind w:right="5"/>
              <w:jc w:val="right"/>
              <w:rPr>
                <w:rFonts w:ascii="Arial"/>
                <w:b/>
                <w:sz w:val="15"/>
              </w:rPr>
            </w:pPr>
            <w:r>
              <w:rPr>
                <w:rFonts w:ascii="Arial"/>
                <w:b/>
                <w:color w:val="231F20"/>
                <w:w w:val="95"/>
                <w:sz w:val="15"/>
              </w:rPr>
              <w:t>704.052</w:t>
            </w:r>
          </w:p>
        </w:tc>
      </w:tr>
      <w:tr w:rsidR="00D1511D">
        <w:trPr>
          <w:trHeight w:val="220"/>
        </w:trPr>
        <w:tc>
          <w:tcPr>
            <w:tcW w:w="5015" w:type="dxa"/>
          </w:tcPr>
          <w:p w:rsidR="00D1511D" w:rsidRDefault="003F0CB3">
            <w:pPr>
              <w:pStyle w:val="TableParagraph"/>
              <w:spacing w:before="23"/>
              <w:ind w:left="28"/>
              <w:rPr>
                <w:rFonts w:ascii="Arial"/>
                <w:sz w:val="15"/>
              </w:rPr>
            </w:pPr>
            <w:r>
              <w:rPr>
                <w:rFonts w:ascii="Arial"/>
                <w:color w:val="231F20"/>
                <w:sz w:val="15"/>
              </w:rPr>
              <w:t>Reef Program</w:t>
            </w:r>
          </w:p>
        </w:tc>
        <w:tc>
          <w:tcPr>
            <w:tcW w:w="836" w:type="dxa"/>
          </w:tcPr>
          <w:p w:rsidR="00D1511D" w:rsidRDefault="003F0CB3">
            <w:pPr>
              <w:pStyle w:val="TableParagraph"/>
              <w:spacing w:before="23"/>
              <w:ind w:right="-15"/>
              <w:jc w:val="right"/>
              <w:rPr>
                <w:rFonts w:ascii="Arial"/>
                <w:sz w:val="15"/>
              </w:rPr>
            </w:pPr>
            <w:r>
              <w:rPr>
                <w:rFonts w:ascii="Arial"/>
                <w:color w:val="231F20"/>
                <w:w w:val="95"/>
                <w:sz w:val="15"/>
              </w:rPr>
              <w:t>29.650</w:t>
            </w:r>
          </w:p>
        </w:tc>
        <w:tc>
          <w:tcPr>
            <w:tcW w:w="813" w:type="dxa"/>
          </w:tcPr>
          <w:p w:rsidR="00D1511D" w:rsidRDefault="003F0CB3">
            <w:pPr>
              <w:pStyle w:val="TableParagraph"/>
              <w:spacing w:before="23"/>
              <w:ind w:right="-15"/>
              <w:jc w:val="right"/>
              <w:rPr>
                <w:rFonts w:ascii="Arial"/>
                <w:sz w:val="15"/>
              </w:rPr>
            </w:pPr>
            <w:r>
              <w:rPr>
                <w:rFonts w:ascii="Arial"/>
                <w:color w:val="231F20"/>
                <w:w w:val="95"/>
                <w:sz w:val="15"/>
              </w:rPr>
              <w:t>32.850</w:t>
            </w:r>
          </w:p>
        </w:tc>
        <w:tc>
          <w:tcPr>
            <w:tcW w:w="849" w:type="dxa"/>
          </w:tcPr>
          <w:p w:rsidR="00D1511D" w:rsidRDefault="003F0CB3">
            <w:pPr>
              <w:pStyle w:val="TableParagraph"/>
              <w:spacing w:before="23"/>
              <w:ind w:right="-15"/>
              <w:jc w:val="right"/>
              <w:rPr>
                <w:rFonts w:ascii="Arial"/>
                <w:sz w:val="15"/>
              </w:rPr>
            </w:pPr>
            <w:r>
              <w:rPr>
                <w:rFonts w:ascii="Arial"/>
                <w:color w:val="231F20"/>
                <w:w w:val="95"/>
                <w:sz w:val="15"/>
              </w:rPr>
              <w:t>10.100</w:t>
            </w:r>
          </w:p>
        </w:tc>
        <w:tc>
          <w:tcPr>
            <w:tcW w:w="836" w:type="dxa"/>
          </w:tcPr>
          <w:p w:rsidR="00D1511D" w:rsidRDefault="003F0CB3">
            <w:pPr>
              <w:pStyle w:val="TableParagraph"/>
              <w:spacing w:before="23"/>
              <w:jc w:val="right"/>
              <w:rPr>
                <w:rFonts w:ascii="Arial"/>
                <w:sz w:val="15"/>
              </w:rPr>
            </w:pPr>
            <w:r>
              <w:rPr>
                <w:rFonts w:ascii="Arial"/>
                <w:color w:val="231F20"/>
                <w:w w:val="95"/>
                <w:sz w:val="15"/>
              </w:rPr>
              <w:t>10.150</w:t>
            </w:r>
          </w:p>
        </w:tc>
        <w:tc>
          <w:tcPr>
            <w:tcW w:w="885" w:type="dxa"/>
            <w:shd w:val="clear" w:color="auto" w:fill="949698"/>
          </w:tcPr>
          <w:p w:rsidR="00D1511D" w:rsidRDefault="00D1511D">
            <w:pPr>
              <w:pStyle w:val="TableParagraph"/>
              <w:spacing w:before="0"/>
              <w:rPr>
                <w:rFonts w:ascii="Times New Roman"/>
                <w:sz w:val="14"/>
              </w:rPr>
            </w:pPr>
          </w:p>
        </w:tc>
        <w:tc>
          <w:tcPr>
            <w:tcW w:w="921" w:type="dxa"/>
            <w:shd w:val="clear" w:color="auto" w:fill="949698"/>
          </w:tcPr>
          <w:p w:rsidR="00D1511D" w:rsidRDefault="00D1511D">
            <w:pPr>
              <w:pStyle w:val="TableParagraph"/>
              <w:spacing w:before="0"/>
              <w:rPr>
                <w:rFonts w:ascii="Times New Roman"/>
                <w:sz w:val="14"/>
              </w:rPr>
            </w:pPr>
          </w:p>
        </w:tc>
        <w:tc>
          <w:tcPr>
            <w:tcW w:w="921" w:type="dxa"/>
            <w:shd w:val="clear" w:color="auto" w:fill="949698"/>
          </w:tcPr>
          <w:p w:rsidR="00D1511D" w:rsidRDefault="00D1511D">
            <w:pPr>
              <w:pStyle w:val="TableParagraph"/>
              <w:spacing w:before="0"/>
              <w:rPr>
                <w:rFonts w:ascii="Times New Roman"/>
                <w:sz w:val="14"/>
              </w:rPr>
            </w:pPr>
          </w:p>
        </w:tc>
        <w:tc>
          <w:tcPr>
            <w:tcW w:w="800" w:type="dxa"/>
            <w:shd w:val="clear" w:color="auto" w:fill="949698"/>
          </w:tcPr>
          <w:p w:rsidR="00D1511D" w:rsidRDefault="00D1511D">
            <w:pPr>
              <w:pStyle w:val="TableParagraph"/>
              <w:spacing w:before="0"/>
              <w:rPr>
                <w:rFonts w:ascii="Times New Roman"/>
                <w:sz w:val="14"/>
              </w:rPr>
            </w:pPr>
          </w:p>
        </w:tc>
        <w:tc>
          <w:tcPr>
            <w:tcW w:w="861" w:type="dxa"/>
            <w:shd w:val="clear" w:color="auto" w:fill="949698"/>
          </w:tcPr>
          <w:p w:rsidR="00D1511D" w:rsidRDefault="00D1511D">
            <w:pPr>
              <w:pStyle w:val="TableParagraph"/>
              <w:spacing w:before="0"/>
              <w:rPr>
                <w:rFonts w:ascii="Times New Roman"/>
                <w:sz w:val="14"/>
              </w:rPr>
            </w:pPr>
          </w:p>
        </w:tc>
        <w:tc>
          <w:tcPr>
            <w:tcW w:w="910" w:type="dxa"/>
            <w:shd w:val="clear" w:color="auto" w:fill="949698"/>
          </w:tcPr>
          <w:p w:rsidR="00D1511D" w:rsidRDefault="00D1511D">
            <w:pPr>
              <w:pStyle w:val="TableParagraph"/>
              <w:spacing w:before="0"/>
              <w:rPr>
                <w:rFonts w:ascii="Times New Roman"/>
                <w:sz w:val="14"/>
              </w:rPr>
            </w:pPr>
          </w:p>
        </w:tc>
        <w:tc>
          <w:tcPr>
            <w:tcW w:w="910" w:type="dxa"/>
          </w:tcPr>
          <w:p w:rsidR="00D1511D" w:rsidRDefault="003F0CB3">
            <w:pPr>
              <w:pStyle w:val="TableParagraph"/>
              <w:ind w:right="5"/>
              <w:jc w:val="right"/>
              <w:rPr>
                <w:rFonts w:ascii="Arial"/>
                <w:b/>
                <w:sz w:val="15"/>
              </w:rPr>
            </w:pPr>
            <w:r>
              <w:rPr>
                <w:rFonts w:ascii="Arial"/>
                <w:b/>
                <w:color w:val="231F20"/>
                <w:w w:val="95"/>
                <w:sz w:val="15"/>
              </w:rPr>
              <w:t>82.750</w:t>
            </w:r>
          </w:p>
        </w:tc>
      </w:tr>
      <w:tr w:rsidR="00D1511D">
        <w:trPr>
          <w:trHeight w:val="220"/>
        </w:trPr>
        <w:tc>
          <w:tcPr>
            <w:tcW w:w="5015" w:type="dxa"/>
          </w:tcPr>
          <w:p w:rsidR="00D1511D" w:rsidRDefault="003F0CB3">
            <w:pPr>
              <w:pStyle w:val="TableParagraph"/>
              <w:spacing w:before="23"/>
              <w:ind w:left="28"/>
              <w:rPr>
                <w:rFonts w:ascii="Arial"/>
                <w:sz w:val="15"/>
              </w:rPr>
            </w:pPr>
            <w:proofErr w:type="gramStart"/>
            <w:r>
              <w:rPr>
                <w:rFonts w:ascii="Arial"/>
                <w:color w:val="231F20"/>
                <w:sz w:val="15"/>
              </w:rPr>
              <w:t>Other</w:t>
            </w:r>
            <w:proofErr w:type="gramEnd"/>
            <w:r>
              <w:rPr>
                <w:rFonts w:ascii="Arial"/>
                <w:color w:val="231F20"/>
                <w:sz w:val="15"/>
              </w:rPr>
              <w:t xml:space="preserve"> Reef Funding</w:t>
            </w:r>
          </w:p>
        </w:tc>
        <w:tc>
          <w:tcPr>
            <w:tcW w:w="836" w:type="dxa"/>
          </w:tcPr>
          <w:p w:rsidR="00D1511D" w:rsidRDefault="003F0CB3">
            <w:pPr>
              <w:pStyle w:val="TableParagraph"/>
              <w:spacing w:before="23"/>
              <w:ind w:right="-15"/>
              <w:jc w:val="right"/>
              <w:rPr>
                <w:rFonts w:ascii="Arial"/>
                <w:sz w:val="15"/>
              </w:rPr>
            </w:pPr>
            <w:r>
              <w:rPr>
                <w:rFonts w:ascii="Arial"/>
                <w:color w:val="231F20"/>
                <w:w w:val="95"/>
                <w:sz w:val="15"/>
              </w:rPr>
              <w:t>15.507</w:t>
            </w:r>
          </w:p>
        </w:tc>
        <w:tc>
          <w:tcPr>
            <w:tcW w:w="813" w:type="dxa"/>
          </w:tcPr>
          <w:p w:rsidR="00D1511D" w:rsidRDefault="003F0CB3">
            <w:pPr>
              <w:pStyle w:val="TableParagraph"/>
              <w:spacing w:before="23"/>
              <w:ind w:right="-15"/>
              <w:jc w:val="right"/>
              <w:rPr>
                <w:rFonts w:ascii="Arial"/>
                <w:sz w:val="15"/>
              </w:rPr>
            </w:pPr>
            <w:r>
              <w:rPr>
                <w:rFonts w:ascii="Arial"/>
                <w:color w:val="231F20"/>
                <w:w w:val="95"/>
                <w:sz w:val="15"/>
              </w:rPr>
              <w:t>10.426</w:t>
            </w:r>
          </w:p>
        </w:tc>
        <w:tc>
          <w:tcPr>
            <w:tcW w:w="849" w:type="dxa"/>
          </w:tcPr>
          <w:p w:rsidR="00D1511D" w:rsidRDefault="003F0CB3">
            <w:pPr>
              <w:pStyle w:val="TableParagraph"/>
              <w:spacing w:before="23"/>
              <w:ind w:right="-15"/>
              <w:jc w:val="right"/>
              <w:rPr>
                <w:rFonts w:ascii="Arial"/>
                <w:sz w:val="15"/>
              </w:rPr>
            </w:pPr>
            <w:r>
              <w:rPr>
                <w:rFonts w:ascii="Arial"/>
                <w:color w:val="231F20"/>
                <w:w w:val="95"/>
                <w:sz w:val="15"/>
              </w:rPr>
              <w:t>5.986</w:t>
            </w:r>
          </w:p>
        </w:tc>
        <w:tc>
          <w:tcPr>
            <w:tcW w:w="836" w:type="dxa"/>
          </w:tcPr>
          <w:p w:rsidR="00D1511D" w:rsidRDefault="003F0CB3">
            <w:pPr>
              <w:pStyle w:val="TableParagraph"/>
              <w:spacing w:before="23"/>
              <w:jc w:val="right"/>
              <w:rPr>
                <w:rFonts w:ascii="Arial"/>
                <w:sz w:val="15"/>
              </w:rPr>
            </w:pPr>
            <w:r>
              <w:rPr>
                <w:rFonts w:ascii="Arial"/>
                <w:color w:val="231F20"/>
                <w:w w:val="95"/>
                <w:sz w:val="15"/>
              </w:rPr>
              <w:t>1.996</w:t>
            </w:r>
          </w:p>
        </w:tc>
        <w:tc>
          <w:tcPr>
            <w:tcW w:w="885" w:type="dxa"/>
            <w:shd w:val="clear" w:color="auto" w:fill="949698"/>
          </w:tcPr>
          <w:p w:rsidR="00D1511D" w:rsidRDefault="00D1511D">
            <w:pPr>
              <w:pStyle w:val="TableParagraph"/>
              <w:spacing w:before="0"/>
              <w:rPr>
                <w:rFonts w:ascii="Times New Roman"/>
                <w:sz w:val="14"/>
              </w:rPr>
            </w:pPr>
          </w:p>
        </w:tc>
        <w:tc>
          <w:tcPr>
            <w:tcW w:w="921" w:type="dxa"/>
            <w:shd w:val="clear" w:color="auto" w:fill="949698"/>
          </w:tcPr>
          <w:p w:rsidR="00D1511D" w:rsidRDefault="00D1511D">
            <w:pPr>
              <w:pStyle w:val="TableParagraph"/>
              <w:spacing w:before="0"/>
              <w:rPr>
                <w:rFonts w:ascii="Times New Roman"/>
                <w:sz w:val="14"/>
              </w:rPr>
            </w:pPr>
          </w:p>
        </w:tc>
        <w:tc>
          <w:tcPr>
            <w:tcW w:w="921" w:type="dxa"/>
            <w:shd w:val="clear" w:color="auto" w:fill="949698"/>
          </w:tcPr>
          <w:p w:rsidR="00D1511D" w:rsidRDefault="00D1511D">
            <w:pPr>
              <w:pStyle w:val="TableParagraph"/>
              <w:spacing w:before="0"/>
              <w:rPr>
                <w:rFonts w:ascii="Times New Roman"/>
                <w:sz w:val="14"/>
              </w:rPr>
            </w:pPr>
          </w:p>
        </w:tc>
        <w:tc>
          <w:tcPr>
            <w:tcW w:w="800" w:type="dxa"/>
            <w:shd w:val="clear" w:color="auto" w:fill="949698"/>
          </w:tcPr>
          <w:p w:rsidR="00D1511D" w:rsidRDefault="00D1511D">
            <w:pPr>
              <w:pStyle w:val="TableParagraph"/>
              <w:spacing w:before="0"/>
              <w:rPr>
                <w:rFonts w:ascii="Times New Roman"/>
                <w:sz w:val="14"/>
              </w:rPr>
            </w:pPr>
          </w:p>
        </w:tc>
        <w:tc>
          <w:tcPr>
            <w:tcW w:w="861" w:type="dxa"/>
            <w:shd w:val="clear" w:color="auto" w:fill="949698"/>
          </w:tcPr>
          <w:p w:rsidR="00D1511D" w:rsidRDefault="00D1511D">
            <w:pPr>
              <w:pStyle w:val="TableParagraph"/>
              <w:spacing w:before="0"/>
              <w:rPr>
                <w:rFonts w:ascii="Times New Roman"/>
                <w:sz w:val="14"/>
              </w:rPr>
            </w:pPr>
          </w:p>
        </w:tc>
        <w:tc>
          <w:tcPr>
            <w:tcW w:w="910" w:type="dxa"/>
            <w:shd w:val="clear" w:color="auto" w:fill="949698"/>
          </w:tcPr>
          <w:p w:rsidR="00D1511D" w:rsidRDefault="00D1511D">
            <w:pPr>
              <w:pStyle w:val="TableParagraph"/>
              <w:spacing w:before="0"/>
              <w:rPr>
                <w:rFonts w:ascii="Times New Roman"/>
                <w:sz w:val="14"/>
              </w:rPr>
            </w:pPr>
          </w:p>
        </w:tc>
        <w:tc>
          <w:tcPr>
            <w:tcW w:w="910" w:type="dxa"/>
          </w:tcPr>
          <w:p w:rsidR="00D1511D" w:rsidRDefault="003F0CB3">
            <w:pPr>
              <w:pStyle w:val="TableParagraph"/>
              <w:ind w:right="5"/>
              <w:jc w:val="right"/>
              <w:rPr>
                <w:rFonts w:ascii="Arial"/>
                <w:b/>
                <w:sz w:val="15"/>
              </w:rPr>
            </w:pPr>
            <w:r>
              <w:rPr>
                <w:rFonts w:ascii="Arial"/>
                <w:b/>
                <w:color w:val="231F20"/>
                <w:w w:val="95"/>
                <w:sz w:val="15"/>
              </w:rPr>
              <w:t>33.915</w:t>
            </w:r>
          </w:p>
        </w:tc>
      </w:tr>
      <w:tr w:rsidR="00D1511D">
        <w:trPr>
          <w:trHeight w:val="220"/>
        </w:trPr>
        <w:tc>
          <w:tcPr>
            <w:tcW w:w="5015" w:type="dxa"/>
            <w:shd w:val="clear" w:color="auto" w:fill="DCDDDE"/>
          </w:tcPr>
          <w:p w:rsidR="00D1511D" w:rsidRDefault="003F0CB3">
            <w:pPr>
              <w:pStyle w:val="TableParagraph"/>
              <w:ind w:right="-15"/>
              <w:jc w:val="right"/>
              <w:rPr>
                <w:rFonts w:ascii="Arial"/>
                <w:b/>
                <w:sz w:val="15"/>
              </w:rPr>
            </w:pPr>
            <w:r>
              <w:rPr>
                <w:rFonts w:ascii="Arial"/>
                <w:b/>
                <w:color w:val="231F20"/>
                <w:sz w:val="15"/>
              </w:rPr>
              <w:t>Sub-total</w:t>
            </w:r>
          </w:p>
        </w:tc>
        <w:tc>
          <w:tcPr>
            <w:tcW w:w="836" w:type="dxa"/>
            <w:shd w:val="clear" w:color="auto" w:fill="DCDDDE"/>
          </w:tcPr>
          <w:p w:rsidR="00D1511D" w:rsidRDefault="003F0CB3">
            <w:pPr>
              <w:pStyle w:val="TableParagraph"/>
              <w:ind w:right="-15"/>
              <w:jc w:val="right"/>
              <w:rPr>
                <w:rFonts w:ascii="Arial"/>
                <w:b/>
                <w:sz w:val="15"/>
              </w:rPr>
            </w:pPr>
            <w:r>
              <w:rPr>
                <w:rFonts w:ascii="Arial"/>
                <w:b/>
                <w:color w:val="231F20"/>
                <w:w w:val="95"/>
                <w:sz w:val="15"/>
              </w:rPr>
              <w:t>52.859</w:t>
            </w:r>
          </w:p>
        </w:tc>
        <w:tc>
          <w:tcPr>
            <w:tcW w:w="813" w:type="dxa"/>
            <w:shd w:val="clear" w:color="auto" w:fill="DCDDDE"/>
          </w:tcPr>
          <w:p w:rsidR="00D1511D" w:rsidRDefault="003F0CB3">
            <w:pPr>
              <w:pStyle w:val="TableParagraph"/>
              <w:ind w:right="-15"/>
              <w:jc w:val="right"/>
              <w:rPr>
                <w:rFonts w:ascii="Arial"/>
                <w:b/>
                <w:sz w:val="15"/>
              </w:rPr>
            </w:pPr>
            <w:r>
              <w:rPr>
                <w:rFonts w:ascii="Arial"/>
                <w:b/>
                <w:color w:val="231F20"/>
                <w:w w:val="95"/>
                <w:sz w:val="15"/>
              </w:rPr>
              <w:t>59.141</w:t>
            </w:r>
          </w:p>
        </w:tc>
        <w:tc>
          <w:tcPr>
            <w:tcW w:w="849" w:type="dxa"/>
            <w:shd w:val="clear" w:color="auto" w:fill="DCDDDE"/>
          </w:tcPr>
          <w:p w:rsidR="00D1511D" w:rsidRDefault="003F0CB3">
            <w:pPr>
              <w:pStyle w:val="TableParagraph"/>
              <w:ind w:right="-15"/>
              <w:jc w:val="right"/>
              <w:rPr>
                <w:rFonts w:ascii="Arial"/>
                <w:b/>
                <w:sz w:val="15"/>
              </w:rPr>
            </w:pPr>
            <w:r>
              <w:rPr>
                <w:rFonts w:ascii="Arial"/>
                <w:b/>
                <w:color w:val="231F20"/>
                <w:w w:val="95"/>
                <w:sz w:val="15"/>
              </w:rPr>
              <w:t>53.730</w:t>
            </w:r>
          </w:p>
        </w:tc>
        <w:tc>
          <w:tcPr>
            <w:tcW w:w="836" w:type="dxa"/>
            <w:shd w:val="clear" w:color="auto" w:fill="DCDDDE"/>
          </w:tcPr>
          <w:p w:rsidR="00D1511D" w:rsidRDefault="003F0CB3">
            <w:pPr>
              <w:pStyle w:val="TableParagraph"/>
              <w:jc w:val="right"/>
              <w:rPr>
                <w:rFonts w:ascii="Arial"/>
                <w:b/>
                <w:sz w:val="15"/>
              </w:rPr>
            </w:pPr>
            <w:r>
              <w:rPr>
                <w:rFonts w:ascii="Arial"/>
                <w:b/>
                <w:color w:val="231F20"/>
                <w:w w:val="95"/>
                <w:sz w:val="15"/>
              </w:rPr>
              <w:t>508.006</w:t>
            </w:r>
          </w:p>
        </w:tc>
        <w:tc>
          <w:tcPr>
            <w:tcW w:w="885" w:type="dxa"/>
            <w:shd w:val="clear" w:color="auto" w:fill="DCDDDE"/>
          </w:tcPr>
          <w:p w:rsidR="00D1511D" w:rsidRDefault="003F0CB3">
            <w:pPr>
              <w:pStyle w:val="TableParagraph"/>
              <w:ind w:right="1"/>
              <w:jc w:val="right"/>
              <w:rPr>
                <w:rFonts w:ascii="Arial"/>
                <w:b/>
                <w:sz w:val="15"/>
              </w:rPr>
            </w:pPr>
            <w:r>
              <w:rPr>
                <w:rFonts w:ascii="Arial"/>
                <w:b/>
                <w:color w:val="231F20"/>
                <w:w w:val="95"/>
                <w:sz w:val="15"/>
              </w:rPr>
              <w:t>43.052</w:t>
            </w:r>
          </w:p>
        </w:tc>
        <w:tc>
          <w:tcPr>
            <w:tcW w:w="921" w:type="dxa"/>
            <w:shd w:val="clear" w:color="auto" w:fill="DCDDDE"/>
          </w:tcPr>
          <w:p w:rsidR="00D1511D" w:rsidRDefault="003F0CB3">
            <w:pPr>
              <w:pStyle w:val="TableParagraph"/>
              <w:jc w:val="right"/>
              <w:rPr>
                <w:rFonts w:ascii="Arial"/>
                <w:b/>
                <w:sz w:val="15"/>
              </w:rPr>
            </w:pPr>
            <w:r>
              <w:rPr>
                <w:rFonts w:ascii="Arial"/>
                <w:b/>
                <w:color w:val="231F20"/>
                <w:w w:val="95"/>
                <w:sz w:val="15"/>
              </w:rPr>
              <w:t>51.066</w:t>
            </w:r>
          </w:p>
        </w:tc>
        <w:tc>
          <w:tcPr>
            <w:tcW w:w="921" w:type="dxa"/>
            <w:shd w:val="clear" w:color="auto" w:fill="DCDDDE"/>
          </w:tcPr>
          <w:p w:rsidR="00D1511D" w:rsidRDefault="003F0CB3">
            <w:pPr>
              <w:pStyle w:val="TableParagraph"/>
              <w:ind w:right="1"/>
              <w:jc w:val="right"/>
              <w:rPr>
                <w:rFonts w:ascii="Arial"/>
                <w:b/>
                <w:sz w:val="15"/>
              </w:rPr>
            </w:pPr>
            <w:r>
              <w:rPr>
                <w:rFonts w:ascii="Arial"/>
                <w:b/>
                <w:color w:val="231F20"/>
                <w:w w:val="95"/>
                <w:sz w:val="15"/>
              </w:rPr>
              <w:t>42.386</w:t>
            </w:r>
          </w:p>
        </w:tc>
        <w:tc>
          <w:tcPr>
            <w:tcW w:w="800" w:type="dxa"/>
            <w:shd w:val="clear" w:color="auto" w:fill="DCDDDE"/>
          </w:tcPr>
          <w:p w:rsidR="00D1511D" w:rsidRDefault="003F0CB3">
            <w:pPr>
              <w:pStyle w:val="TableParagraph"/>
              <w:ind w:right="2"/>
              <w:jc w:val="right"/>
              <w:rPr>
                <w:rFonts w:ascii="Arial"/>
                <w:b/>
                <w:sz w:val="15"/>
              </w:rPr>
            </w:pPr>
            <w:r>
              <w:rPr>
                <w:rFonts w:ascii="Arial"/>
                <w:b/>
                <w:color w:val="231F20"/>
                <w:w w:val="95"/>
                <w:sz w:val="15"/>
              </w:rPr>
              <w:t>33.589</w:t>
            </w:r>
          </w:p>
        </w:tc>
        <w:tc>
          <w:tcPr>
            <w:tcW w:w="861" w:type="dxa"/>
            <w:shd w:val="clear" w:color="auto" w:fill="DCDDDE"/>
          </w:tcPr>
          <w:p w:rsidR="00D1511D" w:rsidRDefault="003F0CB3">
            <w:pPr>
              <w:pStyle w:val="TableParagraph"/>
              <w:ind w:right="3"/>
              <w:jc w:val="right"/>
              <w:rPr>
                <w:rFonts w:ascii="Arial"/>
                <w:b/>
                <w:sz w:val="15"/>
              </w:rPr>
            </w:pPr>
            <w:r>
              <w:rPr>
                <w:rFonts w:ascii="Arial"/>
                <w:b/>
                <w:color w:val="231F20"/>
                <w:w w:val="95"/>
                <w:sz w:val="15"/>
              </w:rPr>
              <w:t>31.370</w:t>
            </w:r>
          </w:p>
        </w:tc>
        <w:tc>
          <w:tcPr>
            <w:tcW w:w="910" w:type="dxa"/>
            <w:shd w:val="clear" w:color="auto" w:fill="DCDDDE"/>
          </w:tcPr>
          <w:p w:rsidR="00D1511D" w:rsidRDefault="003F0CB3">
            <w:pPr>
              <w:pStyle w:val="TableParagraph"/>
              <w:ind w:right="4"/>
              <w:jc w:val="right"/>
              <w:rPr>
                <w:rFonts w:ascii="Arial"/>
                <w:b/>
                <w:sz w:val="15"/>
              </w:rPr>
            </w:pPr>
            <w:r>
              <w:rPr>
                <w:rFonts w:ascii="Arial"/>
                <w:b/>
                <w:color w:val="231F20"/>
                <w:w w:val="95"/>
                <w:sz w:val="15"/>
              </w:rPr>
              <w:t>0.000</w:t>
            </w:r>
          </w:p>
        </w:tc>
        <w:tc>
          <w:tcPr>
            <w:tcW w:w="910" w:type="dxa"/>
            <w:shd w:val="clear" w:color="auto" w:fill="DCDDDE"/>
          </w:tcPr>
          <w:p w:rsidR="00D1511D" w:rsidRDefault="003F0CB3">
            <w:pPr>
              <w:pStyle w:val="TableParagraph"/>
              <w:ind w:right="5"/>
              <w:jc w:val="right"/>
              <w:rPr>
                <w:rFonts w:ascii="Arial"/>
                <w:b/>
                <w:sz w:val="15"/>
              </w:rPr>
            </w:pPr>
            <w:r>
              <w:rPr>
                <w:rFonts w:ascii="Arial"/>
                <w:b/>
                <w:color w:val="231F20"/>
                <w:w w:val="95"/>
                <w:sz w:val="15"/>
              </w:rPr>
              <w:t>875.199</w:t>
            </w:r>
          </w:p>
        </w:tc>
      </w:tr>
      <w:tr w:rsidR="00D1511D">
        <w:trPr>
          <w:trHeight w:val="199"/>
        </w:trPr>
        <w:tc>
          <w:tcPr>
            <w:tcW w:w="5015" w:type="dxa"/>
            <w:shd w:val="clear" w:color="auto" w:fill="81B1DF"/>
          </w:tcPr>
          <w:p w:rsidR="00D1511D" w:rsidRDefault="003F0CB3">
            <w:pPr>
              <w:pStyle w:val="TableParagraph"/>
              <w:spacing w:before="14" w:line="165" w:lineRule="exact"/>
              <w:ind w:left="28"/>
              <w:rPr>
                <w:rFonts w:ascii="Arial"/>
                <w:b/>
                <w:sz w:val="15"/>
              </w:rPr>
            </w:pPr>
            <w:r>
              <w:rPr>
                <w:rFonts w:ascii="Arial"/>
                <w:b/>
                <w:color w:val="231F20"/>
                <w:sz w:val="15"/>
              </w:rPr>
              <w:t>Australian Government Reef Science</w:t>
            </w:r>
          </w:p>
        </w:tc>
        <w:tc>
          <w:tcPr>
            <w:tcW w:w="9542" w:type="dxa"/>
            <w:gridSpan w:val="11"/>
            <w:shd w:val="clear" w:color="auto" w:fill="81B1DF"/>
          </w:tcPr>
          <w:p w:rsidR="00D1511D" w:rsidRDefault="00D1511D">
            <w:pPr>
              <w:pStyle w:val="TableParagraph"/>
              <w:spacing w:before="0"/>
              <w:rPr>
                <w:rFonts w:ascii="Times New Roman"/>
                <w:sz w:val="12"/>
              </w:rPr>
            </w:pPr>
          </w:p>
        </w:tc>
      </w:tr>
      <w:tr w:rsidR="00D1511D">
        <w:trPr>
          <w:trHeight w:val="350"/>
        </w:trPr>
        <w:tc>
          <w:tcPr>
            <w:tcW w:w="5015" w:type="dxa"/>
          </w:tcPr>
          <w:p w:rsidR="00D1511D" w:rsidRDefault="003F0CB3">
            <w:pPr>
              <w:pStyle w:val="TableParagraph"/>
              <w:spacing w:before="0" w:line="167" w:lineRule="exact"/>
              <w:ind w:left="28"/>
              <w:rPr>
                <w:rFonts w:ascii="Arial"/>
                <w:sz w:val="15"/>
              </w:rPr>
            </w:pPr>
            <w:r>
              <w:rPr>
                <w:rFonts w:ascii="Arial"/>
                <w:color w:val="231F20"/>
                <w:sz w:val="15"/>
              </w:rPr>
              <w:t>National Environment Science Program</w:t>
            </w:r>
          </w:p>
          <w:p w:rsidR="00D1511D" w:rsidRDefault="003F0CB3">
            <w:pPr>
              <w:pStyle w:val="TableParagraph"/>
              <w:spacing w:before="13" w:line="151" w:lineRule="exact"/>
              <w:ind w:left="28"/>
              <w:rPr>
                <w:rFonts w:ascii="Arial"/>
                <w:sz w:val="15"/>
              </w:rPr>
            </w:pPr>
            <w:r>
              <w:rPr>
                <w:rFonts w:ascii="Arial"/>
                <w:color w:val="231F20"/>
                <w:sz w:val="15"/>
              </w:rPr>
              <w:t>(Tropical Water Quality Hub)</w:t>
            </w:r>
          </w:p>
        </w:tc>
        <w:tc>
          <w:tcPr>
            <w:tcW w:w="836" w:type="dxa"/>
          </w:tcPr>
          <w:p w:rsidR="00D1511D" w:rsidRDefault="003F0CB3">
            <w:pPr>
              <w:pStyle w:val="TableParagraph"/>
              <w:spacing w:before="88"/>
              <w:ind w:right="-15"/>
              <w:jc w:val="right"/>
              <w:rPr>
                <w:rFonts w:ascii="Arial"/>
                <w:sz w:val="15"/>
              </w:rPr>
            </w:pPr>
            <w:r>
              <w:rPr>
                <w:rFonts w:ascii="Arial"/>
                <w:color w:val="231F20"/>
                <w:w w:val="95"/>
                <w:sz w:val="15"/>
              </w:rPr>
              <w:t>2.200</w:t>
            </w:r>
          </w:p>
        </w:tc>
        <w:tc>
          <w:tcPr>
            <w:tcW w:w="813" w:type="dxa"/>
          </w:tcPr>
          <w:p w:rsidR="00D1511D" w:rsidRDefault="003F0CB3">
            <w:pPr>
              <w:pStyle w:val="TableParagraph"/>
              <w:spacing w:before="88"/>
              <w:ind w:right="-15"/>
              <w:jc w:val="right"/>
              <w:rPr>
                <w:rFonts w:ascii="Arial"/>
                <w:sz w:val="15"/>
              </w:rPr>
            </w:pPr>
            <w:r>
              <w:rPr>
                <w:rFonts w:ascii="Arial"/>
                <w:color w:val="231F20"/>
                <w:w w:val="95"/>
                <w:sz w:val="15"/>
              </w:rPr>
              <w:t>5.630</w:t>
            </w:r>
          </w:p>
        </w:tc>
        <w:tc>
          <w:tcPr>
            <w:tcW w:w="849" w:type="dxa"/>
          </w:tcPr>
          <w:p w:rsidR="00D1511D" w:rsidRDefault="003F0CB3">
            <w:pPr>
              <w:pStyle w:val="TableParagraph"/>
              <w:spacing w:before="88"/>
              <w:ind w:right="-15"/>
              <w:jc w:val="right"/>
              <w:rPr>
                <w:rFonts w:ascii="Arial"/>
                <w:sz w:val="15"/>
              </w:rPr>
            </w:pPr>
            <w:r>
              <w:rPr>
                <w:rFonts w:ascii="Arial"/>
                <w:color w:val="231F20"/>
                <w:w w:val="95"/>
                <w:sz w:val="15"/>
              </w:rPr>
              <w:t>5.400</w:t>
            </w:r>
          </w:p>
        </w:tc>
        <w:tc>
          <w:tcPr>
            <w:tcW w:w="836" w:type="dxa"/>
          </w:tcPr>
          <w:p w:rsidR="00D1511D" w:rsidRDefault="003F0CB3">
            <w:pPr>
              <w:pStyle w:val="TableParagraph"/>
              <w:spacing w:before="88"/>
              <w:jc w:val="right"/>
              <w:rPr>
                <w:rFonts w:ascii="Arial"/>
                <w:sz w:val="15"/>
              </w:rPr>
            </w:pPr>
            <w:r>
              <w:rPr>
                <w:rFonts w:ascii="Arial"/>
                <w:color w:val="231F20"/>
                <w:w w:val="95"/>
                <w:sz w:val="15"/>
              </w:rPr>
              <w:t>5.400</w:t>
            </w:r>
          </w:p>
        </w:tc>
        <w:tc>
          <w:tcPr>
            <w:tcW w:w="885" w:type="dxa"/>
          </w:tcPr>
          <w:p w:rsidR="00D1511D" w:rsidRDefault="003F0CB3">
            <w:pPr>
              <w:pStyle w:val="TableParagraph"/>
              <w:spacing w:before="88"/>
              <w:ind w:right="1"/>
              <w:jc w:val="right"/>
              <w:rPr>
                <w:rFonts w:ascii="Arial"/>
                <w:sz w:val="15"/>
              </w:rPr>
            </w:pPr>
            <w:r>
              <w:rPr>
                <w:rFonts w:ascii="Arial"/>
                <w:color w:val="231F20"/>
                <w:w w:val="95"/>
                <w:sz w:val="15"/>
              </w:rPr>
              <w:t>5.400</w:t>
            </w:r>
          </w:p>
        </w:tc>
        <w:tc>
          <w:tcPr>
            <w:tcW w:w="921" w:type="dxa"/>
          </w:tcPr>
          <w:p w:rsidR="00D1511D" w:rsidRDefault="003F0CB3">
            <w:pPr>
              <w:pStyle w:val="TableParagraph"/>
              <w:spacing w:before="88"/>
              <w:jc w:val="right"/>
              <w:rPr>
                <w:rFonts w:ascii="Arial"/>
                <w:sz w:val="15"/>
              </w:rPr>
            </w:pPr>
            <w:r>
              <w:rPr>
                <w:rFonts w:ascii="Arial"/>
                <w:color w:val="231F20"/>
                <w:w w:val="95"/>
                <w:sz w:val="15"/>
              </w:rPr>
              <w:t>5.400</w:t>
            </w:r>
          </w:p>
        </w:tc>
        <w:tc>
          <w:tcPr>
            <w:tcW w:w="921" w:type="dxa"/>
          </w:tcPr>
          <w:p w:rsidR="00D1511D" w:rsidRDefault="003F0CB3">
            <w:pPr>
              <w:pStyle w:val="TableParagraph"/>
              <w:spacing w:before="88"/>
              <w:ind w:right="1"/>
              <w:jc w:val="right"/>
              <w:rPr>
                <w:rFonts w:ascii="Arial"/>
                <w:sz w:val="15"/>
              </w:rPr>
            </w:pPr>
            <w:r>
              <w:rPr>
                <w:rFonts w:ascii="Arial"/>
                <w:color w:val="231F20"/>
                <w:w w:val="95"/>
                <w:sz w:val="15"/>
              </w:rPr>
              <w:t>2.550</w:t>
            </w:r>
          </w:p>
        </w:tc>
        <w:tc>
          <w:tcPr>
            <w:tcW w:w="800" w:type="dxa"/>
            <w:shd w:val="clear" w:color="auto" w:fill="C6C8CA"/>
          </w:tcPr>
          <w:p w:rsidR="00D1511D" w:rsidRDefault="003F0CB3">
            <w:pPr>
              <w:pStyle w:val="TableParagraph"/>
              <w:spacing w:before="89"/>
              <w:ind w:left="269" w:right="252"/>
              <w:jc w:val="center"/>
              <w:rPr>
                <w:rFonts w:ascii="Arial"/>
                <w:b/>
                <w:sz w:val="15"/>
              </w:rPr>
            </w:pPr>
            <w:r>
              <w:rPr>
                <w:rFonts w:ascii="Arial"/>
                <w:b/>
                <w:color w:val="231F20"/>
                <w:sz w:val="15"/>
              </w:rPr>
              <w:t>NP</w:t>
            </w:r>
          </w:p>
        </w:tc>
        <w:tc>
          <w:tcPr>
            <w:tcW w:w="861" w:type="dxa"/>
            <w:shd w:val="clear" w:color="auto" w:fill="C6C8CA"/>
          </w:tcPr>
          <w:p w:rsidR="00D1511D" w:rsidRDefault="003F0CB3">
            <w:pPr>
              <w:pStyle w:val="TableParagraph"/>
              <w:spacing w:before="89"/>
              <w:ind w:left="298" w:right="283"/>
              <w:jc w:val="center"/>
              <w:rPr>
                <w:rFonts w:ascii="Arial"/>
                <w:b/>
                <w:sz w:val="15"/>
              </w:rPr>
            </w:pPr>
            <w:r>
              <w:rPr>
                <w:rFonts w:ascii="Arial"/>
                <w:b/>
                <w:color w:val="231F20"/>
                <w:sz w:val="15"/>
              </w:rPr>
              <w:t>NP</w:t>
            </w:r>
          </w:p>
        </w:tc>
        <w:tc>
          <w:tcPr>
            <w:tcW w:w="910" w:type="dxa"/>
            <w:shd w:val="clear" w:color="auto" w:fill="C6C8CA"/>
          </w:tcPr>
          <w:p w:rsidR="00D1511D" w:rsidRDefault="003F0CB3">
            <w:pPr>
              <w:pStyle w:val="TableParagraph"/>
              <w:spacing w:before="89"/>
              <w:ind w:left="321" w:right="309"/>
              <w:jc w:val="center"/>
              <w:rPr>
                <w:rFonts w:ascii="Arial"/>
                <w:b/>
                <w:sz w:val="15"/>
              </w:rPr>
            </w:pPr>
            <w:r>
              <w:rPr>
                <w:rFonts w:ascii="Arial"/>
                <w:b/>
                <w:color w:val="231F20"/>
                <w:sz w:val="15"/>
              </w:rPr>
              <w:t>NP</w:t>
            </w:r>
          </w:p>
        </w:tc>
        <w:tc>
          <w:tcPr>
            <w:tcW w:w="910" w:type="dxa"/>
          </w:tcPr>
          <w:p w:rsidR="00D1511D" w:rsidRDefault="003F0CB3">
            <w:pPr>
              <w:pStyle w:val="TableParagraph"/>
              <w:spacing w:before="89"/>
              <w:ind w:right="5"/>
              <w:jc w:val="right"/>
              <w:rPr>
                <w:rFonts w:ascii="Arial"/>
                <w:b/>
                <w:sz w:val="15"/>
              </w:rPr>
            </w:pPr>
            <w:r>
              <w:rPr>
                <w:rFonts w:ascii="Arial"/>
                <w:b/>
                <w:color w:val="231F20"/>
                <w:w w:val="95"/>
                <w:sz w:val="15"/>
              </w:rPr>
              <w:t>31.980</w:t>
            </w:r>
          </w:p>
        </w:tc>
      </w:tr>
      <w:tr w:rsidR="00D1511D">
        <w:trPr>
          <w:trHeight w:val="220"/>
        </w:trPr>
        <w:tc>
          <w:tcPr>
            <w:tcW w:w="5015" w:type="dxa"/>
          </w:tcPr>
          <w:p w:rsidR="00D1511D" w:rsidRDefault="003F0CB3">
            <w:pPr>
              <w:pStyle w:val="TableParagraph"/>
              <w:spacing w:before="23"/>
              <w:ind w:left="28"/>
              <w:rPr>
                <w:rFonts w:ascii="Arial"/>
                <w:sz w:val="15"/>
              </w:rPr>
            </w:pPr>
            <w:r>
              <w:rPr>
                <w:rFonts w:ascii="Arial"/>
                <w:color w:val="231F20"/>
                <w:sz w:val="15"/>
              </w:rPr>
              <w:t>Australian Institute of Marine Science</w:t>
            </w:r>
          </w:p>
        </w:tc>
        <w:tc>
          <w:tcPr>
            <w:tcW w:w="836" w:type="dxa"/>
          </w:tcPr>
          <w:p w:rsidR="00D1511D" w:rsidRDefault="003F0CB3">
            <w:pPr>
              <w:pStyle w:val="TableParagraph"/>
              <w:spacing w:before="23"/>
              <w:ind w:right="-15"/>
              <w:jc w:val="right"/>
              <w:rPr>
                <w:rFonts w:ascii="Arial"/>
                <w:sz w:val="15"/>
              </w:rPr>
            </w:pPr>
            <w:r>
              <w:rPr>
                <w:rFonts w:ascii="Arial"/>
                <w:color w:val="231F20"/>
                <w:w w:val="95"/>
                <w:sz w:val="15"/>
              </w:rPr>
              <w:t>15.100</w:t>
            </w:r>
          </w:p>
        </w:tc>
        <w:tc>
          <w:tcPr>
            <w:tcW w:w="813" w:type="dxa"/>
          </w:tcPr>
          <w:p w:rsidR="00D1511D" w:rsidRDefault="003F0CB3">
            <w:pPr>
              <w:pStyle w:val="TableParagraph"/>
              <w:spacing w:before="23"/>
              <w:ind w:right="-15"/>
              <w:jc w:val="right"/>
              <w:rPr>
                <w:rFonts w:ascii="Arial"/>
                <w:sz w:val="15"/>
              </w:rPr>
            </w:pPr>
            <w:r>
              <w:rPr>
                <w:rFonts w:ascii="Arial"/>
                <w:color w:val="231F20"/>
                <w:w w:val="95"/>
                <w:sz w:val="15"/>
              </w:rPr>
              <w:t>15.100</w:t>
            </w:r>
          </w:p>
        </w:tc>
        <w:tc>
          <w:tcPr>
            <w:tcW w:w="849" w:type="dxa"/>
          </w:tcPr>
          <w:p w:rsidR="00D1511D" w:rsidRDefault="003F0CB3">
            <w:pPr>
              <w:pStyle w:val="TableParagraph"/>
              <w:spacing w:before="23"/>
              <w:ind w:right="-15"/>
              <w:jc w:val="right"/>
              <w:rPr>
                <w:rFonts w:ascii="Arial"/>
                <w:sz w:val="15"/>
              </w:rPr>
            </w:pPr>
            <w:r>
              <w:rPr>
                <w:rFonts w:ascii="Arial"/>
                <w:color w:val="231F20"/>
                <w:w w:val="95"/>
                <w:sz w:val="15"/>
              </w:rPr>
              <w:t>15.100</w:t>
            </w:r>
          </w:p>
        </w:tc>
        <w:tc>
          <w:tcPr>
            <w:tcW w:w="836" w:type="dxa"/>
          </w:tcPr>
          <w:p w:rsidR="00D1511D" w:rsidRDefault="003F0CB3">
            <w:pPr>
              <w:pStyle w:val="TableParagraph"/>
              <w:spacing w:before="23"/>
              <w:jc w:val="right"/>
              <w:rPr>
                <w:rFonts w:ascii="Arial"/>
                <w:sz w:val="15"/>
              </w:rPr>
            </w:pPr>
            <w:r>
              <w:rPr>
                <w:rFonts w:ascii="Arial"/>
                <w:color w:val="231F20"/>
                <w:w w:val="95"/>
                <w:sz w:val="15"/>
              </w:rPr>
              <w:t>29.100</w:t>
            </w:r>
          </w:p>
        </w:tc>
        <w:tc>
          <w:tcPr>
            <w:tcW w:w="885" w:type="dxa"/>
          </w:tcPr>
          <w:p w:rsidR="00D1511D" w:rsidRDefault="003F0CB3">
            <w:pPr>
              <w:pStyle w:val="TableParagraph"/>
              <w:spacing w:before="23"/>
              <w:ind w:right="1"/>
              <w:jc w:val="right"/>
              <w:rPr>
                <w:rFonts w:ascii="Arial"/>
                <w:sz w:val="15"/>
              </w:rPr>
            </w:pPr>
            <w:r>
              <w:rPr>
                <w:rFonts w:ascii="Arial"/>
                <w:color w:val="231F20"/>
                <w:w w:val="95"/>
                <w:sz w:val="15"/>
              </w:rPr>
              <w:t>39.200</w:t>
            </w:r>
          </w:p>
        </w:tc>
        <w:tc>
          <w:tcPr>
            <w:tcW w:w="921" w:type="dxa"/>
          </w:tcPr>
          <w:p w:rsidR="00D1511D" w:rsidRDefault="003F0CB3">
            <w:pPr>
              <w:pStyle w:val="TableParagraph"/>
              <w:spacing w:before="23"/>
              <w:jc w:val="right"/>
              <w:rPr>
                <w:rFonts w:ascii="Arial"/>
                <w:sz w:val="15"/>
              </w:rPr>
            </w:pPr>
            <w:r>
              <w:rPr>
                <w:rFonts w:ascii="Arial"/>
                <w:color w:val="231F20"/>
                <w:w w:val="95"/>
                <w:sz w:val="15"/>
              </w:rPr>
              <w:t>34.800</w:t>
            </w:r>
          </w:p>
        </w:tc>
        <w:tc>
          <w:tcPr>
            <w:tcW w:w="921" w:type="dxa"/>
          </w:tcPr>
          <w:p w:rsidR="00D1511D" w:rsidRDefault="003F0CB3">
            <w:pPr>
              <w:pStyle w:val="TableParagraph"/>
              <w:spacing w:before="23"/>
              <w:ind w:right="1"/>
              <w:jc w:val="right"/>
              <w:rPr>
                <w:rFonts w:ascii="Arial"/>
                <w:sz w:val="15"/>
              </w:rPr>
            </w:pPr>
            <w:r>
              <w:rPr>
                <w:rFonts w:ascii="Arial"/>
                <w:color w:val="231F20"/>
                <w:w w:val="95"/>
                <w:sz w:val="15"/>
              </w:rPr>
              <w:t>37.400</w:t>
            </w:r>
          </w:p>
        </w:tc>
        <w:tc>
          <w:tcPr>
            <w:tcW w:w="800" w:type="dxa"/>
          </w:tcPr>
          <w:p w:rsidR="00D1511D" w:rsidRDefault="003F0CB3">
            <w:pPr>
              <w:pStyle w:val="TableParagraph"/>
              <w:spacing w:before="23"/>
              <w:ind w:right="2"/>
              <w:jc w:val="right"/>
              <w:rPr>
                <w:rFonts w:ascii="Arial"/>
                <w:sz w:val="15"/>
              </w:rPr>
            </w:pPr>
            <w:r>
              <w:rPr>
                <w:rFonts w:ascii="Arial"/>
                <w:color w:val="231F20"/>
                <w:w w:val="95"/>
                <w:sz w:val="15"/>
              </w:rPr>
              <w:t>40.100</w:t>
            </w:r>
          </w:p>
        </w:tc>
        <w:tc>
          <w:tcPr>
            <w:tcW w:w="861" w:type="dxa"/>
          </w:tcPr>
          <w:p w:rsidR="00D1511D" w:rsidRDefault="003F0CB3">
            <w:pPr>
              <w:pStyle w:val="TableParagraph"/>
              <w:spacing w:before="23"/>
              <w:ind w:right="2"/>
              <w:jc w:val="right"/>
              <w:rPr>
                <w:rFonts w:ascii="Arial"/>
                <w:sz w:val="15"/>
              </w:rPr>
            </w:pPr>
            <w:r>
              <w:rPr>
                <w:rFonts w:ascii="Arial"/>
                <w:color w:val="231F20"/>
                <w:w w:val="95"/>
                <w:sz w:val="15"/>
              </w:rPr>
              <w:t>42.800</w:t>
            </w:r>
          </w:p>
        </w:tc>
        <w:tc>
          <w:tcPr>
            <w:tcW w:w="910" w:type="dxa"/>
          </w:tcPr>
          <w:p w:rsidR="00D1511D" w:rsidRDefault="003F0CB3">
            <w:pPr>
              <w:pStyle w:val="TableParagraph"/>
              <w:spacing w:before="23"/>
              <w:ind w:right="3"/>
              <w:jc w:val="right"/>
              <w:rPr>
                <w:rFonts w:ascii="Arial"/>
                <w:sz w:val="15"/>
              </w:rPr>
            </w:pPr>
            <w:r>
              <w:rPr>
                <w:rFonts w:ascii="Arial"/>
                <w:color w:val="231F20"/>
                <w:w w:val="95"/>
                <w:sz w:val="15"/>
              </w:rPr>
              <w:t>45.200</w:t>
            </w:r>
          </w:p>
        </w:tc>
        <w:tc>
          <w:tcPr>
            <w:tcW w:w="910" w:type="dxa"/>
          </w:tcPr>
          <w:p w:rsidR="00D1511D" w:rsidRDefault="003F0CB3">
            <w:pPr>
              <w:pStyle w:val="TableParagraph"/>
              <w:ind w:right="5"/>
              <w:jc w:val="right"/>
              <w:rPr>
                <w:rFonts w:ascii="Arial"/>
                <w:b/>
                <w:sz w:val="15"/>
              </w:rPr>
            </w:pPr>
            <w:r>
              <w:rPr>
                <w:rFonts w:ascii="Arial"/>
                <w:b/>
                <w:color w:val="231F20"/>
                <w:w w:val="95"/>
                <w:sz w:val="15"/>
              </w:rPr>
              <w:t>313.900</w:t>
            </w:r>
          </w:p>
        </w:tc>
      </w:tr>
      <w:tr w:rsidR="00D1511D">
        <w:trPr>
          <w:trHeight w:val="350"/>
        </w:trPr>
        <w:tc>
          <w:tcPr>
            <w:tcW w:w="5015" w:type="dxa"/>
          </w:tcPr>
          <w:p w:rsidR="00D1511D" w:rsidRDefault="003F0CB3">
            <w:pPr>
              <w:pStyle w:val="TableParagraph"/>
              <w:spacing w:before="0" w:line="166" w:lineRule="exact"/>
              <w:ind w:left="28"/>
              <w:rPr>
                <w:rFonts w:ascii="Arial"/>
                <w:sz w:val="15"/>
              </w:rPr>
            </w:pPr>
            <w:r>
              <w:rPr>
                <w:rFonts w:ascii="Arial"/>
                <w:color w:val="231F20"/>
                <w:sz w:val="15"/>
              </w:rPr>
              <w:t>Australian Research Council</w:t>
            </w:r>
          </w:p>
          <w:p w:rsidR="00D1511D" w:rsidRDefault="003F0CB3">
            <w:pPr>
              <w:pStyle w:val="TableParagraph"/>
              <w:spacing w:before="13" w:line="151" w:lineRule="exact"/>
              <w:ind w:left="28"/>
              <w:rPr>
                <w:rFonts w:ascii="Arial"/>
                <w:sz w:val="15"/>
              </w:rPr>
            </w:pPr>
            <w:r>
              <w:rPr>
                <w:rFonts w:ascii="Arial"/>
                <w:color w:val="231F20"/>
                <w:sz w:val="15"/>
              </w:rPr>
              <w:t>(Centre of Excellence for Coral Reef Studies)</w:t>
            </w:r>
          </w:p>
        </w:tc>
        <w:tc>
          <w:tcPr>
            <w:tcW w:w="836" w:type="dxa"/>
          </w:tcPr>
          <w:p w:rsidR="00D1511D" w:rsidRDefault="003F0CB3">
            <w:pPr>
              <w:pStyle w:val="TableParagraph"/>
              <w:spacing w:before="88"/>
              <w:ind w:right="-15"/>
              <w:jc w:val="right"/>
              <w:rPr>
                <w:rFonts w:ascii="Arial"/>
                <w:sz w:val="15"/>
              </w:rPr>
            </w:pPr>
            <w:r>
              <w:rPr>
                <w:rFonts w:ascii="Arial"/>
                <w:color w:val="231F20"/>
                <w:w w:val="95"/>
                <w:sz w:val="15"/>
              </w:rPr>
              <w:t>6.437</w:t>
            </w:r>
          </w:p>
        </w:tc>
        <w:tc>
          <w:tcPr>
            <w:tcW w:w="813" w:type="dxa"/>
          </w:tcPr>
          <w:p w:rsidR="00D1511D" w:rsidRDefault="003F0CB3">
            <w:pPr>
              <w:pStyle w:val="TableParagraph"/>
              <w:spacing w:before="88"/>
              <w:ind w:right="-15"/>
              <w:jc w:val="right"/>
              <w:rPr>
                <w:rFonts w:ascii="Arial"/>
                <w:sz w:val="15"/>
              </w:rPr>
            </w:pPr>
            <w:r>
              <w:rPr>
                <w:rFonts w:ascii="Arial"/>
                <w:color w:val="231F20"/>
                <w:w w:val="95"/>
                <w:sz w:val="15"/>
              </w:rPr>
              <w:t>6.409</w:t>
            </w:r>
          </w:p>
        </w:tc>
        <w:tc>
          <w:tcPr>
            <w:tcW w:w="849" w:type="dxa"/>
          </w:tcPr>
          <w:p w:rsidR="00D1511D" w:rsidRDefault="003F0CB3">
            <w:pPr>
              <w:pStyle w:val="TableParagraph"/>
              <w:spacing w:before="88"/>
              <w:ind w:right="-15"/>
              <w:jc w:val="right"/>
              <w:rPr>
                <w:rFonts w:ascii="Arial"/>
                <w:sz w:val="15"/>
              </w:rPr>
            </w:pPr>
            <w:r>
              <w:rPr>
                <w:rFonts w:ascii="Arial"/>
                <w:color w:val="231F20"/>
                <w:w w:val="95"/>
                <w:sz w:val="15"/>
              </w:rPr>
              <w:t>6.304</w:t>
            </w:r>
          </w:p>
        </w:tc>
        <w:tc>
          <w:tcPr>
            <w:tcW w:w="836" w:type="dxa"/>
          </w:tcPr>
          <w:p w:rsidR="00D1511D" w:rsidRDefault="003F0CB3">
            <w:pPr>
              <w:pStyle w:val="TableParagraph"/>
              <w:spacing w:before="88"/>
              <w:jc w:val="right"/>
              <w:rPr>
                <w:rFonts w:ascii="Arial"/>
                <w:sz w:val="15"/>
              </w:rPr>
            </w:pPr>
            <w:r>
              <w:rPr>
                <w:rFonts w:ascii="Arial"/>
                <w:color w:val="231F20"/>
                <w:w w:val="95"/>
                <w:sz w:val="15"/>
              </w:rPr>
              <w:t>6.778</w:t>
            </w:r>
          </w:p>
        </w:tc>
        <w:tc>
          <w:tcPr>
            <w:tcW w:w="885" w:type="dxa"/>
          </w:tcPr>
          <w:p w:rsidR="00D1511D" w:rsidRDefault="003F0CB3">
            <w:pPr>
              <w:pStyle w:val="TableParagraph"/>
              <w:spacing w:before="88"/>
              <w:ind w:right="1"/>
              <w:jc w:val="right"/>
              <w:rPr>
                <w:rFonts w:ascii="Arial"/>
                <w:sz w:val="15"/>
              </w:rPr>
            </w:pPr>
            <w:r>
              <w:rPr>
                <w:rFonts w:ascii="Arial"/>
                <w:color w:val="231F20"/>
                <w:w w:val="95"/>
                <w:sz w:val="15"/>
              </w:rPr>
              <w:t>6.956</w:t>
            </w:r>
          </w:p>
        </w:tc>
        <w:tc>
          <w:tcPr>
            <w:tcW w:w="921" w:type="dxa"/>
          </w:tcPr>
          <w:p w:rsidR="00D1511D" w:rsidRDefault="003F0CB3">
            <w:pPr>
              <w:pStyle w:val="TableParagraph"/>
              <w:spacing w:before="88"/>
              <w:jc w:val="right"/>
              <w:rPr>
                <w:rFonts w:ascii="Arial"/>
                <w:sz w:val="15"/>
              </w:rPr>
            </w:pPr>
            <w:r>
              <w:rPr>
                <w:rFonts w:ascii="Arial"/>
                <w:color w:val="231F20"/>
                <w:w w:val="95"/>
                <w:sz w:val="15"/>
              </w:rPr>
              <w:t>5.994</w:t>
            </w:r>
          </w:p>
        </w:tc>
        <w:tc>
          <w:tcPr>
            <w:tcW w:w="921" w:type="dxa"/>
          </w:tcPr>
          <w:p w:rsidR="00D1511D" w:rsidRDefault="003F0CB3">
            <w:pPr>
              <w:pStyle w:val="TableParagraph"/>
              <w:spacing w:before="88"/>
              <w:ind w:right="1"/>
              <w:jc w:val="right"/>
              <w:rPr>
                <w:rFonts w:ascii="Arial"/>
                <w:sz w:val="15"/>
              </w:rPr>
            </w:pPr>
            <w:r>
              <w:rPr>
                <w:rFonts w:ascii="Arial"/>
                <w:color w:val="231F20"/>
                <w:w w:val="95"/>
                <w:sz w:val="15"/>
              </w:rPr>
              <w:t>3.403</w:t>
            </w:r>
          </w:p>
        </w:tc>
        <w:tc>
          <w:tcPr>
            <w:tcW w:w="800" w:type="dxa"/>
          </w:tcPr>
          <w:p w:rsidR="00D1511D" w:rsidRDefault="003F0CB3">
            <w:pPr>
              <w:pStyle w:val="TableParagraph"/>
              <w:spacing w:before="88"/>
              <w:ind w:right="2"/>
              <w:jc w:val="right"/>
              <w:rPr>
                <w:rFonts w:ascii="Arial"/>
                <w:sz w:val="15"/>
              </w:rPr>
            </w:pPr>
            <w:r>
              <w:rPr>
                <w:rFonts w:ascii="Arial"/>
                <w:color w:val="231F20"/>
                <w:w w:val="95"/>
                <w:sz w:val="15"/>
              </w:rPr>
              <w:t>0.385</w:t>
            </w:r>
          </w:p>
        </w:tc>
        <w:tc>
          <w:tcPr>
            <w:tcW w:w="861" w:type="dxa"/>
          </w:tcPr>
          <w:p w:rsidR="00D1511D" w:rsidRDefault="003F0CB3">
            <w:pPr>
              <w:pStyle w:val="TableParagraph"/>
              <w:spacing w:before="88"/>
              <w:ind w:right="3"/>
              <w:jc w:val="right"/>
              <w:rPr>
                <w:rFonts w:ascii="Arial"/>
                <w:sz w:val="15"/>
              </w:rPr>
            </w:pPr>
            <w:r>
              <w:rPr>
                <w:rFonts w:ascii="Arial"/>
                <w:color w:val="231F20"/>
                <w:w w:val="95"/>
                <w:sz w:val="15"/>
              </w:rPr>
              <w:t>0.06</w:t>
            </w:r>
          </w:p>
        </w:tc>
        <w:tc>
          <w:tcPr>
            <w:tcW w:w="910" w:type="dxa"/>
            <w:shd w:val="clear" w:color="auto" w:fill="C6C8CA"/>
          </w:tcPr>
          <w:p w:rsidR="00D1511D" w:rsidRDefault="003F0CB3">
            <w:pPr>
              <w:pStyle w:val="TableParagraph"/>
              <w:spacing w:before="89"/>
              <w:ind w:left="291"/>
              <w:rPr>
                <w:rFonts w:ascii="Arial"/>
                <w:b/>
                <w:sz w:val="15"/>
              </w:rPr>
            </w:pPr>
            <w:r>
              <w:rPr>
                <w:rFonts w:ascii="Arial"/>
                <w:b/>
                <w:color w:val="231F20"/>
                <w:sz w:val="15"/>
              </w:rPr>
              <w:t>TBD</w:t>
            </w:r>
          </w:p>
        </w:tc>
        <w:tc>
          <w:tcPr>
            <w:tcW w:w="910" w:type="dxa"/>
          </w:tcPr>
          <w:p w:rsidR="00D1511D" w:rsidRDefault="003F0CB3">
            <w:pPr>
              <w:pStyle w:val="TableParagraph"/>
              <w:spacing w:before="89"/>
              <w:ind w:right="5"/>
              <w:jc w:val="right"/>
              <w:rPr>
                <w:rFonts w:ascii="Arial"/>
                <w:b/>
                <w:sz w:val="15"/>
              </w:rPr>
            </w:pPr>
            <w:r>
              <w:rPr>
                <w:rFonts w:ascii="Arial"/>
                <w:b/>
                <w:color w:val="231F20"/>
                <w:w w:val="95"/>
                <w:sz w:val="15"/>
              </w:rPr>
              <w:t>42.726</w:t>
            </w:r>
          </w:p>
        </w:tc>
      </w:tr>
      <w:tr w:rsidR="00D1511D">
        <w:trPr>
          <w:trHeight w:val="220"/>
        </w:trPr>
        <w:tc>
          <w:tcPr>
            <w:tcW w:w="5015" w:type="dxa"/>
            <w:shd w:val="clear" w:color="auto" w:fill="DCDDDE"/>
          </w:tcPr>
          <w:p w:rsidR="00D1511D" w:rsidRDefault="003F0CB3">
            <w:pPr>
              <w:pStyle w:val="TableParagraph"/>
              <w:ind w:right="-15"/>
              <w:jc w:val="right"/>
              <w:rPr>
                <w:rFonts w:ascii="Arial"/>
                <w:b/>
                <w:sz w:val="15"/>
              </w:rPr>
            </w:pPr>
            <w:r>
              <w:rPr>
                <w:rFonts w:ascii="Arial"/>
                <w:b/>
                <w:color w:val="231F20"/>
                <w:sz w:val="15"/>
              </w:rPr>
              <w:t>Sub-total</w:t>
            </w:r>
          </w:p>
        </w:tc>
        <w:tc>
          <w:tcPr>
            <w:tcW w:w="836" w:type="dxa"/>
            <w:shd w:val="clear" w:color="auto" w:fill="DCDDDE"/>
          </w:tcPr>
          <w:p w:rsidR="00D1511D" w:rsidRDefault="003F0CB3">
            <w:pPr>
              <w:pStyle w:val="TableParagraph"/>
              <w:ind w:right="-15"/>
              <w:jc w:val="right"/>
              <w:rPr>
                <w:rFonts w:ascii="Arial"/>
                <w:b/>
                <w:sz w:val="15"/>
              </w:rPr>
            </w:pPr>
            <w:r>
              <w:rPr>
                <w:rFonts w:ascii="Arial"/>
                <w:b/>
                <w:color w:val="231F20"/>
                <w:w w:val="95"/>
                <w:sz w:val="15"/>
              </w:rPr>
              <w:t>23.737</w:t>
            </w:r>
          </w:p>
        </w:tc>
        <w:tc>
          <w:tcPr>
            <w:tcW w:w="813" w:type="dxa"/>
            <w:shd w:val="clear" w:color="auto" w:fill="DCDDDE"/>
          </w:tcPr>
          <w:p w:rsidR="00D1511D" w:rsidRDefault="003F0CB3">
            <w:pPr>
              <w:pStyle w:val="TableParagraph"/>
              <w:ind w:right="-15"/>
              <w:jc w:val="right"/>
              <w:rPr>
                <w:rFonts w:ascii="Arial"/>
                <w:b/>
                <w:sz w:val="15"/>
              </w:rPr>
            </w:pPr>
            <w:r>
              <w:rPr>
                <w:rFonts w:ascii="Arial"/>
                <w:b/>
                <w:color w:val="231F20"/>
                <w:w w:val="95"/>
                <w:sz w:val="15"/>
              </w:rPr>
              <w:t>27.139</w:t>
            </w:r>
          </w:p>
        </w:tc>
        <w:tc>
          <w:tcPr>
            <w:tcW w:w="849" w:type="dxa"/>
            <w:shd w:val="clear" w:color="auto" w:fill="DCDDDE"/>
          </w:tcPr>
          <w:p w:rsidR="00D1511D" w:rsidRDefault="003F0CB3">
            <w:pPr>
              <w:pStyle w:val="TableParagraph"/>
              <w:ind w:right="-15"/>
              <w:jc w:val="right"/>
              <w:rPr>
                <w:rFonts w:ascii="Arial"/>
                <w:b/>
                <w:sz w:val="15"/>
              </w:rPr>
            </w:pPr>
            <w:r>
              <w:rPr>
                <w:rFonts w:ascii="Arial"/>
                <w:b/>
                <w:color w:val="231F20"/>
                <w:w w:val="95"/>
                <w:sz w:val="15"/>
              </w:rPr>
              <w:t>26.804</w:t>
            </w:r>
          </w:p>
        </w:tc>
        <w:tc>
          <w:tcPr>
            <w:tcW w:w="836" w:type="dxa"/>
            <w:shd w:val="clear" w:color="auto" w:fill="DCDDDE"/>
          </w:tcPr>
          <w:p w:rsidR="00D1511D" w:rsidRDefault="003F0CB3">
            <w:pPr>
              <w:pStyle w:val="TableParagraph"/>
              <w:jc w:val="right"/>
              <w:rPr>
                <w:rFonts w:ascii="Arial"/>
                <w:b/>
                <w:sz w:val="15"/>
              </w:rPr>
            </w:pPr>
            <w:r>
              <w:rPr>
                <w:rFonts w:ascii="Arial"/>
                <w:b/>
                <w:color w:val="231F20"/>
                <w:w w:val="95"/>
                <w:sz w:val="15"/>
              </w:rPr>
              <w:t>41.278</w:t>
            </w:r>
          </w:p>
        </w:tc>
        <w:tc>
          <w:tcPr>
            <w:tcW w:w="885" w:type="dxa"/>
            <w:shd w:val="clear" w:color="auto" w:fill="DCDDDE"/>
          </w:tcPr>
          <w:p w:rsidR="00D1511D" w:rsidRDefault="003F0CB3">
            <w:pPr>
              <w:pStyle w:val="TableParagraph"/>
              <w:ind w:right="1"/>
              <w:jc w:val="right"/>
              <w:rPr>
                <w:rFonts w:ascii="Arial"/>
                <w:b/>
                <w:sz w:val="15"/>
              </w:rPr>
            </w:pPr>
            <w:r>
              <w:rPr>
                <w:rFonts w:ascii="Arial"/>
                <w:b/>
                <w:color w:val="231F20"/>
                <w:w w:val="95"/>
                <w:sz w:val="15"/>
              </w:rPr>
              <w:t>51.556</w:t>
            </w:r>
          </w:p>
        </w:tc>
        <w:tc>
          <w:tcPr>
            <w:tcW w:w="921" w:type="dxa"/>
            <w:shd w:val="clear" w:color="auto" w:fill="DCDDDE"/>
          </w:tcPr>
          <w:p w:rsidR="00D1511D" w:rsidRDefault="003F0CB3">
            <w:pPr>
              <w:pStyle w:val="TableParagraph"/>
              <w:jc w:val="right"/>
              <w:rPr>
                <w:rFonts w:ascii="Arial"/>
                <w:b/>
                <w:sz w:val="15"/>
              </w:rPr>
            </w:pPr>
            <w:r>
              <w:rPr>
                <w:rFonts w:ascii="Arial"/>
                <w:b/>
                <w:color w:val="231F20"/>
                <w:w w:val="95"/>
                <w:sz w:val="15"/>
              </w:rPr>
              <w:t>46.194</w:t>
            </w:r>
          </w:p>
        </w:tc>
        <w:tc>
          <w:tcPr>
            <w:tcW w:w="921" w:type="dxa"/>
            <w:shd w:val="clear" w:color="auto" w:fill="DCDDDE"/>
          </w:tcPr>
          <w:p w:rsidR="00D1511D" w:rsidRDefault="003F0CB3">
            <w:pPr>
              <w:pStyle w:val="TableParagraph"/>
              <w:ind w:right="1"/>
              <w:jc w:val="right"/>
              <w:rPr>
                <w:rFonts w:ascii="Arial"/>
                <w:b/>
                <w:sz w:val="15"/>
              </w:rPr>
            </w:pPr>
            <w:r>
              <w:rPr>
                <w:rFonts w:ascii="Arial"/>
                <w:b/>
                <w:color w:val="231F20"/>
                <w:w w:val="95"/>
                <w:sz w:val="15"/>
              </w:rPr>
              <w:t>43.353</w:t>
            </w:r>
          </w:p>
        </w:tc>
        <w:tc>
          <w:tcPr>
            <w:tcW w:w="800" w:type="dxa"/>
            <w:shd w:val="clear" w:color="auto" w:fill="DCDDDE"/>
          </w:tcPr>
          <w:p w:rsidR="00D1511D" w:rsidRDefault="003F0CB3">
            <w:pPr>
              <w:pStyle w:val="TableParagraph"/>
              <w:ind w:right="2"/>
              <w:jc w:val="right"/>
              <w:rPr>
                <w:rFonts w:ascii="Arial"/>
                <w:b/>
                <w:sz w:val="15"/>
              </w:rPr>
            </w:pPr>
            <w:r>
              <w:rPr>
                <w:rFonts w:ascii="Arial"/>
                <w:b/>
                <w:color w:val="231F20"/>
                <w:w w:val="95"/>
                <w:sz w:val="15"/>
              </w:rPr>
              <w:t>40.485</w:t>
            </w:r>
          </w:p>
        </w:tc>
        <w:tc>
          <w:tcPr>
            <w:tcW w:w="861" w:type="dxa"/>
            <w:shd w:val="clear" w:color="auto" w:fill="DCDDDE"/>
          </w:tcPr>
          <w:p w:rsidR="00D1511D" w:rsidRDefault="003F0CB3">
            <w:pPr>
              <w:pStyle w:val="TableParagraph"/>
              <w:ind w:right="3"/>
              <w:jc w:val="right"/>
              <w:rPr>
                <w:rFonts w:ascii="Arial"/>
                <w:b/>
                <w:sz w:val="15"/>
              </w:rPr>
            </w:pPr>
            <w:r>
              <w:rPr>
                <w:rFonts w:ascii="Arial"/>
                <w:b/>
                <w:color w:val="231F20"/>
                <w:w w:val="95"/>
                <w:sz w:val="15"/>
              </w:rPr>
              <w:t>42.860</w:t>
            </w:r>
          </w:p>
        </w:tc>
        <w:tc>
          <w:tcPr>
            <w:tcW w:w="910" w:type="dxa"/>
            <w:shd w:val="clear" w:color="auto" w:fill="DCDDDE"/>
          </w:tcPr>
          <w:p w:rsidR="00D1511D" w:rsidRDefault="003F0CB3">
            <w:pPr>
              <w:pStyle w:val="TableParagraph"/>
              <w:ind w:right="4"/>
              <w:jc w:val="right"/>
              <w:rPr>
                <w:rFonts w:ascii="Arial"/>
                <w:b/>
                <w:sz w:val="15"/>
              </w:rPr>
            </w:pPr>
            <w:r>
              <w:rPr>
                <w:rFonts w:ascii="Arial"/>
                <w:b/>
                <w:color w:val="231F20"/>
                <w:w w:val="95"/>
                <w:sz w:val="15"/>
              </w:rPr>
              <w:t>45.200</w:t>
            </w:r>
          </w:p>
        </w:tc>
        <w:tc>
          <w:tcPr>
            <w:tcW w:w="910" w:type="dxa"/>
            <w:shd w:val="clear" w:color="auto" w:fill="DCDDDE"/>
          </w:tcPr>
          <w:p w:rsidR="00D1511D" w:rsidRDefault="003F0CB3">
            <w:pPr>
              <w:pStyle w:val="TableParagraph"/>
              <w:ind w:right="5"/>
              <w:jc w:val="right"/>
              <w:rPr>
                <w:rFonts w:ascii="Arial"/>
                <w:b/>
                <w:sz w:val="15"/>
              </w:rPr>
            </w:pPr>
            <w:r>
              <w:rPr>
                <w:rFonts w:ascii="Arial"/>
                <w:b/>
                <w:color w:val="231F20"/>
                <w:w w:val="95"/>
                <w:sz w:val="15"/>
              </w:rPr>
              <w:t>388.606</w:t>
            </w:r>
          </w:p>
        </w:tc>
      </w:tr>
      <w:tr w:rsidR="00D1511D">
        <w:trPr>
          <w:trHeight w:val="220"/>
        </w:trPr>
        <w:tc>
          <w:tcPr>
            <w:tcW w:w="5015" w:type="dxa"/>
            <w:shd w:val="clear" w:color="auto" w:fill="81B1DF"/>
          </w:tcPr>
          <w:p w:rsidR="00D1511D" w:rsidRDefault="003F0CB3">
            <w:pPr>
              <w:pStyle w:val="TableParagraph"/>
              <w:ind w:left="28"/>
              <w:rPr>
                <w:rFonts w:ascii="Arial"/>
                <w:b/>
                <w:sz w:val="15"/>
              </w:rPr>
            </w:pPr>
            <w:r>
              <w:rPr>
                <w:rFonts w:ascii="Arial"/>
                <w:b/>
                <w:color w:val="231F20"/>
                <w:sz w:val="15"/>
              </w:rPr>
              <w:t>Great Barrier Reef Marine Park Authority**</w:t>
            </w:r>
          </w:p>
        </w:tc>
        <w:tc>
          <w:tcPr>
            <w:tcW w:w="9542" w:type="dxa"/>
            <w:gridSpan w:val="11"/>
            <w:shd w:val="clear" w:color="auto" w:fill="81B1DF"/>
          </w:tcPr>
          <w:p w:rsidR="00D1511D" w:rsidRDefault="00D1511D">
            <w:pPr>
              <w:pStyle w:val="TableParagraph"/>
              <w:spacing w:before="0"/>
              <w:rPr>
                <w:rFonts w:ascii="Times New Roman"/>
                <w:sz w:val="14"/>
              </w:rPr>
            </w:pPr>
          </w:p>
        </w:tc>
      </w:tr>
      <w:tr w:rsidR="00D1511D">
        <w:trPr>
          <w:trHeight w:val="350"/>
        </w:trPr>
        <w:tc>
          <w:tcPr>
            <w:tcW w:w="5015" w:type="dxa"/>
          </w:tcPr>
          <w:p w:rsidR="00D1511D" w:rsidRDefault="003F0CB3">
            <w:pPr>
              <w:pStyle w:val="TableParagraph"/>
              <w:spacing w:before="0" w:line="167" w:lineRule="exact"/>
              <w:ind w:left="28"/>
              <w:rPr>
                <w:rFonts w:ascii="Arial"/>
                <w:sz w:val="15"/>
              </w:rPr>
            </w:pPr>
            <w:r>
              <w:rPr>
                <w:rFonts w:ascii="Arial"/>
                <w:color w:val="231F20"/>
                <w:sz w:val="15"/>
              </w:rPr>
              <w:t>Joint Field Management Program</w:t>
            </w:r>
          </w:p>
          <w:p w:rsidR="00D1511D" w:rsidRDefault="003F0CB3">
            <w:pPr>
              <w:pStyle w:val="TableParagraph"/>
              <w:spacing w:before="13" w:line="151" w:lineRule="exact"/>
              <w:ind w:left="28"/>
              <w:rPr>
                <w:rFonts w:ascii="Arial"/>
                <w:sz w:val="15"/>
              </w:rPr>
            </w:pPr>
            <w:r>
              <w:rPr>
                <w:rFonts w:ascii="Arial"/>
                <w:color w:val="231F20"/>
                <w:sz w:val="15"/>
              </w:rPr>
              <w:t>(Australian Government funding)</w:t>
            </w:r>
          </w:p>
        </w:tc>
        <w:tc>
          <w:tcPr>
            <w:tcW w:w="836" w:type="dxa"/>
          </w:tcPr>
          <w:p w:rsidR="00D1511D" w:rsidRDefault="003F0CB3">
            <w:pPr>
              <w:pStyle w:val="TableParagraph"/>
              <w:spacing w:before="88"/>
              <w:ind w:right="-15"/>
              <w:jc w:val="right"/>
              <w:rPr>
                <w:rFonts w:ascii="Arial"/>
                <w:sz w:val="15"/>
              </w:rPr>
            </w:pPr>
            <w:r>
              <w:rPr>
                <w:rFonts w:ascii="Arial"/>
                <w:color w:val="231F20"/>
                <w:w w:val="95"/>
                <w:sz w:val="15"/>
              </w:rPr>
              <w:t>8.372</w:t>
            </w:r>
          </w:p>
        </w:tc>
        <w:tc>
          <w:tcPr>
            <w:tcW w:w="813" w:type="dxa"/>
          </w:tcPr>
          <w:p w:rsidR="00D1511D" w:rsidRDefault="003F0CB3">
            <w:pPr>
              <w:pStyle w:val="TableParagraph"/>
              <w:spacing w:before="88"/>
              <w:ind w:right="-15"/>
              <w:jc w:val="right"/>
              <w:rPr>
                <w:rFonts w:ascii="Arial"/>
                <w:sz w:val="15"/>
              </w:rPr>
            </w:pPr>
            <w:r>
              <w:rPr>
                <w:rFonts w:ascii="Arial"/>
                <w:color w:val="231F20"/>
                <w:w w:val="95"/>
                <w:sz w:val="15"/>
              </w:rPr>
              <w:t>8.372</w:t>
            </w:r>
          </w:p>
        </w:tc>
        <w:tc>
          <w:tcPr>
            <w:tcW w:w="849" w:type="dxa"/>
          </w:tcPr>
          <w:p w:rsidR="00D1511D" w:rsidRDefault="003F0CB3">
            <w:pPr>
              <w:pStyle w:val="TableParagraph"/>
              <w:spacing w:before="88"/>
              <w:ind w:right="-15"/>
              <w:jc w:val="right"/>
              <w:rPr>
                <w:rFonts w:ascii="Arial"/>
                <w:sz w:val="15"/>
              </w:rPr>
            </w:pPr>
            <w:r>
              <w:rPr>
                <w:rFonts w:ascii="Arial"/>
                <w:color w:val="231F20"/>
                <w:w w:val="95"/>
                <w:sz w:val="15"/>
              </w:rPr>
              <w:t>9.767</w:t>
            </w:r>
          </w:p>
        </w:tc>
        <w:tc>
          <w:tcPr>
            <w:tcW w:w="836" w:type="dxa"/>
          </w:tcPr>
          <w:p w:rsidR="00D1511D" w:rsidRDefault="003F0CB3">
            <w:pPr>
              <w:pStyle w:val="TableParagraph"/>
              <w:spacing w:before="88"/>
              <w:jc w:val="right"/>
              <w:rPr>
                <w:rFonts w:ascii="Arial"/>
                <w:sz w:val="15"/>
              </w:rPr>
            </w:pPr>
            <w:r>
              <w:rPr>
                <w:rFonts w:ascii="Arial"/>
                <w:color w:val="231F20"/>
                <w:w w:val="95"/>
                <w:sz w:val="15"/>
              </w:rPr>
              <w:t>14.859</w:t>
            </w:r>
          </w:p>
        </w:tc>
        <w:tc>
          <w:tcPr>
            <w:tcW w:w="885" w:type="dxa"/>
          </w:tcPr>
          <w:p w:rsidR="00D1511D" w:rsidRDefault="003F0CB3">
            <w:pPr>
              <w:pStyle w:val="TableParagraph"/>
              <w:spacing w:before="88"/>
              <w:ind w:right="1"/>
              <w:jc w:val="right"/>
              <w:rPr>
                <w:rFonts w:ascii="Arial"/>
                <w:sz w:val="15"/>
              </w:rPr>
            </w:pPr>
            <w:r>
              <w:rPr>
                <w:rFonts w:ascii="Arial"/>
                <w:color w:val="231F20"/>
                <w:w w:val="95"/>
                <w:sz w:val="15"/>
              </w:rPr>
              <w:t>11.965</w:t>
            </w:r>
          </w:p>
        </w:tc>
        <w:tc>
          <w:tcPr>
            <w:tcW w:w="921" w:type="dxa"/>
          </w:tcPr>
          <w:p w:rsidR="00D1511D" w:rsidRDefault="003F0CB3">
            <w:pPr>
              <w:pStyle w:val="TableParagraph"/>
              <w:spacing w:before="88"/>
              <w:jc w:val="right"/>
              <w:rPr>
                <w:rFonts w:ascii="Arial"/>
                <w:sz w:val="15"/>
              </w:rPr>
            </w:pPr>
            <w:r>
              <w:rPr>
                <w:rFonts w:ascii="Arial"/>
                <w:color w:val="231F20"/>
                <w:w w:val="95"/>
                <w:sz w:val="15"/>
              </w:rPr>
              <w:t>12.740</w:t>
            </w:r>
          </w:p>
        </w:tc>
        <w:tc>
          <w:tcPr>
            <w:tcW w:w="921" w:type="dxa"/>
          </w:tcPr>
          <w:p w:rsidR="00D1511D" w:rsidRDefault="003F0CB3">
            <w:pPr>
              <w:pStyle w:val="TableParagraph"/>
              <w:spacing w:before="88"/>
              <w:ind w:right="1"/>
              <w:jc w:val="right"/>
              <w:rPr>
                <w:rFonts w:ascii="Arial"/>
                <w:sz w:val="15"/>
              </w:rPr>
            </w:pPr>
            <w:r>
              <w:rPr>
                <w:rFonts w:ascii="Arial"/>
                <w:color w:val="231F20"/>
                <w:w w:val="95"/>
                <w:sz w:val="15"/>
              </w:rPr>
              <w:t>16.576</w:t>
            </w:r>
          </w:p>
        </w:tc>
        <w:tc>
          <w:tcPr>
            <w:tcW w:w="800" w:type="dxa"/>
          </w:tcPr>
          <w:p w:rsidR="00D1511D" w:rsidRDefault="003F0CB3">
            <w:pPr>
              <w:pStyle w:val="TableParagraph"/>
              <w:spacing w:before="88"/>
              <w:ind w:right="2"/>
              <w:jc w:val="right"/>
              <w:rPr>
                <w:rFonts w:ascii="Arial"/>
                <w:sz w:val="15"/>
              </w:rPr>
            </w:pPr>
            <w:r>
              <w:rPr>
                <w:rFonts w:ascii="Arial"/>
                <w:color w:val="231F20"/>
                <w:w w:val="95"/>
                <w:sz w:val="15"/>
              </w:rPr>
              <w:t>19.428</w:t>
            </w:r>
          </w:p>
        </w:tc>
        <w:tc>
          <w:tcPr>
            <w:tcW w:w="861" w:type="dxa"/>
          </w:tcPr>
          <w:p w:rsidR="00D1511D" w:rsidRDefault="003F0CB3">
            <w:pPr>
              <w:pStyle w:val="TableParagraph"/>
              <w:spacing w:before="88"/>
              <w:ind w:right="3"/>
              <w:jc w:val="right"/>
              <w:rPr>
                <w:rFonts w:ascii="Arial"/>
                <w:sz w:val="15"/>
              </w:rPr>
            </w:pPr>
            <w:r>
              <w:rPr>
                <w:rFonts w:ascii="Arial"/>
                <w:color w:val="231F20"/>
                <w:w w:val="95"/>
                <w:sz w:val="15"/>
              </w:rPr>
              <w:t>18.99</w:t>
            </w:r>
          </w:p>
        </w:tc>
        <w:tc>
          <w:tcPr>
            <w:tcW w:w="910" w:type="dxa"/>
          </w:tcPr>
          <w:p w:rsidR="00D1511D" w:rsidRDefault="003F0CB3">
            <w:pPr>
              <w:pStyle w:val="TableParagraph"/>
              <w:spacing w:before="88"/>
              <w:ind w:right="4"/>
              <w:jc w:val="right"/>
              <w:rPr>
                <w:rFonts w:ascii="Arial"/>
                <w:sz w:val="15"/>
              </w:rPr>
            </w:pPr>
            <w:r>
              <w:rPr>
                <w:rFonts w:ascii="Arial"/>
                <w:color w:val="231F20"/>
                <w:w w:val="95"/>
                <w:sz w:val="15"/>
              </w:rPr>
              <w:t>18.99</w:t>
            </w:r>
          </w:p>
        </w:tc>
        <w:tc>
          <w:tcPr>
            <w:tcW w:w="910" w:type="dxa"/>
          </w:tcPr>
          <w:p w:rsidR="00D1511D" w:rsidRDefault="003F0CB3">
            <w:pPr>
              <w:pStyle w:val="TableParagraph"/>
              <w:spacing w:before="89"/>
              <w:ind w:right="5"/>
              <w:jc w:val="right"/>
              <w:rPr>
                <w:rFonts w:ascii="Arial"/>
                <w:b/>
                <w:sz w:val="15"/>
              </w:rPr>
            </w:pPr>
            <w:r>
              <w:rPr>
                <w:rFonts w:ascii="Arial"/>
                <w:b/>
                <w:color w:val="231F20"/>
                <w:w w:val="95"/>
                <w:sz w:val="15"/>
              </w:rPr>
              <w:t>140.059</w:t>
            </w:r>
          </w:p>
        </w:tc>
      </w:tr>
      <w:tr w:rsidR="00D1511D">
        <w:trPr>
          <w:trHeight w:val="220"/>
        </w:trPr>
        <w:tc>
          <w:tcPr>
            <w:tcW w:w="5015" w:type="dxa"/>
          </w:tcPr>
          <w:p w:rsidR="00D1511D" w:rsidRDefault="003F0CB3">
            <w:pPr>
              <w:pStyle w:val="TableParagraph"/>
              <w:spacing w:before="23"/>
              <w:ind w:left="28"/>
              <w:rPr>
                <w:rFonts w:ascii="Arial"/>
                <w:sz w:val="15"/>
              </w:rPr>
            </w:pPr>
            <w:r>
              <w:rPr>
                <w:rFonts w:ascii="Arial"/>
                <w:color w:val="231F20"/>
                <w:sz w:val="15"/>
              </w:rPr>
              <w:t>Great Barrier Reef Marine Park Authority</w:t>
            </w:r>
          </w:p>
        </w:tc>
        <w:tc>
          <w:tcPr>
            <w:tcW w:w="836" w:type="dxa"/>
          </w:tcPr>
          <w:p w:rsidR="00D1511D" w:rsidRDefault="003F0CB3">
            <w:pPr>
              <w:pStyle w:val="TableParagraph"/>
              <w:spacing w:before="23"/>
              <w:ind w:right="-15"/>
              <w:jc w:val="right"/>
              <w:rPr>
                <w:rFonts w:ascii="Arial"/>
                <w:sz w:val="15"/>
              </w:rPr>
            </w:pPr>
            <w:r>
              <w:rPr>
                <w:rFonts w:ascii="Arial"/>
                <w:color w:val="231F20"/>
                <w:w w:val="95"/>
                <w:sz w:val="15"/>
              </w:rPr>
              <w:t>18.773</w:t>
            </w:r>
          </w:p>
        </w:tc>
        <w:tc>
          <w:tcPr>
            <w:tcW w:w="813" w:type="dxa"/>
          </w:tcPr>
          <w:p w:rsidR="00D1511D" w:rsidRDefault="003F0CB3">
            <w:pPr>
              <w:pStyle w:val="TableParagraph"/>
              <w:spacing w:before="23"/>
              <w:ind w:right="-15"/>
              <w:jc w:val="right"/>
              <w:rPr>
                <w:rFonts w:ascii="Arial"/>
                <w:sz w:val="15"/>
              </w:rPr>
            </w:pPr>
            <w:r>
              <w:rPr>
                <w:rFonts w:ascii="Arial"/>
                <w:color w:val="231F20"/>
                <w:w w:val="95"/>
                <w:sz w:val="15"/>
              </w:rPr>
              <w:t>19.845</w:t>
            </w:r>
          </w:p>
        </w:tc>
        <w:tc>
          <w:tcPr>
            <w:tcW w:w="849" w:type="dxa"/>
          </w:tcPr>
          <w:p w:rsidR="00D1511D" w:rsidRDefault="003F0CB3">
            <w:pPr>
              <w:pStyle w:val="TableParagraph"/>
              <w:spacing w:before="23"/>
              <w:ind w:right="-15"/>
              <w:jc w:val="right"/>
              <w:rPr>
                <w:rFonts w:ascii="Arial"/>
                <w:sz w:val="15"/>
              </w:rPr>
            </w:pPr>
            <w:r>
              <w:rPr>
                <w:rFonts w:ascii="Arial"/>
                <w:color w:val="231F20"/>
                <w:w w:val="95"/>
                <w:sz w:val="15"/>
              </w:rPr>
              <w:t>22.411</w:t>
            </w:r>
          </w:p>
        </w:tc>
        <w:tc>
          <w:tcPr>
            <w:tcW w:w="836" w:type="dxa"/>
          </w:tcPr>
          <w:p w:rsidR="00D1511D" w:rsidRDefault="003F0CB3">
            <w:pPr>
              <w:pStyle w:val="TableParagraph"/>
              <w:spacing w:before="23"/>
              <w:jc w:val="right"/>
              <w:rPr>
                <w:rFonts w:ascii="Arial"/>
                <w:sz w:val="15"/>
              </w:rPr>
            </w:pPr>
            <w:r>
              <w:rPr>
                <w:rFonts w:ascii="Arial"/>
                <w:color w:val="231F20"/>
                <w:w w:val="95"/>
                <w:sz w:val="15"/>
              </w:rPr>
              <w:t>24.830</w:t>
            </w:r>
          </w:p>
        </w:tc>
        <w:tc>
          <w:tcPr>
            <w:tcW w:w="885" w:type="dxa"/>
          </w:tcPr>
          <w:p w:rsidR="00D1511D" w:rsidRDefault="003F0CB3">
            <w:pPr>
              <w:pStyle w:val="TableParagraph"/>
              <w:spacing w:before="23"/>
              <w:ind w:right="1"/>
              <w:jc w:val="right"/>
              <w:rPr>
                <w:rFonts w:ascii="Arial"/>
                <w:sz w:val="15"/>
              </w:rPr>
            </w:pPr>
            <w:r>
              <w:rPr>
                <w:rFonts w:ascii="Arial"/>
                <w:color w:val="231F20"/>
                <w:w w:val="95"/>
                <w:sz w:val="15"/>
              </w:rPr>
              <w:t>41.256</w:t>
            </w:r>
          </w:p>
        </w:tc>
        <w:tc>
          <w:tcPr>
            <w:tcW w:w="921" w:type="dxa"/>
          </w:tcPr>
          <w:p w:rsidR="00D1511D" w:rsidRDefault="003F0CB3">
            <w:pPr>
              <w:pStyle w:val="TableParagraph"/>
              <w:spacing w:before="23"/>
              <w:jc w:val="right"/>
              <w:rPr>
                <w:rFonts w:ascii="Arial"/>
                <w:sz w:val="15"/>
              </w:rPr>
            </w:pPr>
            <w:r>
              <w:rPr>
                <w:rFonts w:ascii="Arial"/>
                <w:color w:val="231F20"/>
                <w:w w:val="95"/>
                <w:sz w:val="15"/>
              </w:rPr>
              <w:t>33.086</w:t>
            </w:r>
          </w:p>
        </w:tc>
        <w:tc>
          <w:tcPr>
            <w:tcW w:w="921" w:type="dxa"/>
          </w:tcPr>
          <w:p w:rsidR="00D1511D" w:rsidRDefault="003F0CB3">
            <w:pPr>
              <w:pStyle w:val="TableParagraph"/>
              <w:spacing w:before="23"/>
              <w:ind w:right="1"/>
              <w:jc w:val="right"/>
              <w:rPr>
                <w:rFonts w:ascii="Arial"/>
                <w:sz w:val="15"/>
              </w:rPr>
            </w:pPr>
            <w:r>
              <w:rPr>
                <w:rFonts w:ascii="Arial"/>
                <w:color w:val="231F20"/>
                <w:w w:val="95"/>
                <w:sz w:val="15"/>
              </w:rPr>
              <w:t>33.369</w:t>
            </w:r>
          </w:p>
        </w:tc>
        <w:tc>
          <w:tcPr>
            <w:tcW w:w="800" w:type="dxa"/>
          </w:tcPr>
          <w:p w:rsidR="00D1511D" w:rsidRDefault="003F0CB3">
            <w:pPr>
              <w:pStyle w:val="TableParagraph"/>
              <w:spacing w:before="23"/>
              <w:ind w:right="2"/>
              <w:jc w:val="right"/>
              <w:rPr>
                <w:rFonts w:ascii="Arial"/>
                <w:sz w:val="15"/>
              </w:rPr>
            </w:pPr>
            <w:r>
              <w:rPr>
                <w:rFonts w:ascii="Arial"/>
                <w:color w:val="231F20"/>
                <w:w w:val="95"/>
                <w:sz w:val="15"/>
              </w:rPr>
              <w:t>33.550</w:t>
            </w:r>
          </w:p>
        </w:tc>
        <w:tc>
          <w:tcPr>
            <w:tcW w:w="861" w:type="dxa"/>
          </w:tcPr>
          <w:p w:rsidR="00D1511D" w:rsidRDefault="003F0CB3">
            <w:pPr>
              <w:pStyle w:val="TableParagraph"/>
              <w:spacing w:before="23"/>
              <w:ind w:right="3"/>
              <w:jc w:val="right"/>
              <w:rPr>
                <w:rFonts w:ascii="Arial"/>
                <w:sz w:val="15"/>
              </w:rPr>
            </w:pPr>
            <w:r>
              <w:rPr>
                <w:rFonts w:ascii="Arial"/>
                <w:color w:val="231F20"/>
                <w:w w:val="95"/>
                <w:sz w:val="15"/>
              </w:rPr>
              <w:t>33.762</w:t>
            </w:r>
          </w:p>
        </w:tc>
        <w:tc>
          <w:tcPr>
            <w:tcW w:w="910" w:type="dxa"/>
            <w:shd w:val="clear" w:color="auto" w:fill="C6C8CA"/>
          </w:tcPr>
          <w:p w:rsidR="00D1511D" w:rsidRDefault="003F0CB3">
            <w:pPr>
              <w:pStyle w:val="TableParagraph"/>
              <w:ind w:left="291"/>
              <w:rPr>
                <w:rFonts w:ascii="Arial"/>
                <w:b/>
                <w:sz w:val="15"/>
              </w:rPr>
            </w:pPr>
            <w:r>
              <w:rPr>
                <w:rFonts w:ascii="Arial"/>
                <w:b/>
                <w:color w:val="231F20"/>
                <w:sz w:val="15"/>
              </w:rPr>
              <w:t>TBD</w:t>
            </w:r>
          </w:p>
        </w:tc>
        <w:tc>
          <w:tcPr>
            <w:tcW w:w="910" w:type="dxa"/>
          </w:tcPr>
          <w:p w:rsidR="00D1511D" w:rsidRDefault="003F0CB3">
            <w:pPr>
              <w:pStyle w:val="TableParagraph"/>
              <w:ind w:right="5"/>
              <w:jc w:val="right"/>
              <w:rPr>
                <w:rFonts w:ascii="Arial"/>
                <w:b/>
                <w:sz w:val="15"/>
              </w:rPr>
            </w:pPr>
            <w:r>
              <w:rPr>
                <w:rFonts w:ascii="Arial"/>
                <w:b/>
                <w:color w:val="231F20"/>
                <w:w w:val="95"/>
                <w:sz w:val="15"/>
              </w:rPr>
              <w:t>260.882</w:t>
            </w:r>
          </w:p>
        </w:tc>
      </w:tr>
      <w:tr w:rsidR="00D1511D">
        <w:trPr>
          <w:trHeight w:val="220"/>
        </w:trPr>
        <w:tc>
          <w:tcPr>
            <w:tcW w:w="5015" w:type="dxa"/>
            <w:shd w:val="clear" w:color="auto" w:fill="DCDDDE"/>
          </w:tcPr>
          <w:p w:rsidR="00D1511D" w:rsidRDefault="003F0CB3">
            <w:pPr>
              <w:pStyle w:val="TableParagraph"/>
              <w:ind w:right="-15"/>
              <w:jc w:val="right"/>
              <w:rPr>
                <w:rFonts w:ascii="Arial"/>
                <w:b/>
                <w:sz w:val="15"/>
              </w:rPr>
            </w:pPr>
            <w:r>
              <w:rPr>
                <w:rFonts w:ascii="Arial"/>
                <w:b/>
                <w:color w:val="231F20"/>
                <w:sz w:val="15"/>
              </w:rPr>
              <w:t>Sub-total</w:t>
            </w:r>
          </w:p>
        </w:tc>
        <w:tc>
          <w:tcPr>
            <w:tcW w:w="836" w:type="dxa"/>
            <w:shd w:val="clear" w:color="auto" w:fill="DCDDDE"/>
          </w:tcPr>
          <w:p w:rsidR="00D1511D" w:rsidRDefault="003F0CB3">
            <w:pPr>
              <w:pStyle w:val="TableParagraph"/>
              <w:ind w:right="-15"/>
              <w:jc w:val="right"/>
              <w:rPr>
                <w:rFonts w:ascii="Arial"/>
                <w:b/>
                <w:sz w:val="15"/>
              </w:rPr>
            </w:pPr>
            <w:r>
              <w:rPr>
                <w:rFonts w:ascii="Arial"/>
                <w:b/>
                <w:color w:val="231F20"/>
                <w:w w:val="95"/>
                <w:sz w:val="15"/>
              </w:rPr>
              <w:t>27.145</w:t>
            </w:r>
          </w:p>
        </w:tc>
        <w:tc>
          <w:tcPr>
            <w:tcW w:w="813" w:type="dxa"/>
            <w:shd w:val="clear" w:color="auto" w:fill="DCDDDE"/>
          </w:tcPr>
          <w:p w:rsidR="00D1511D" w:rsidRDefault="003F0CB3">
            <w:pPr>
              <w:pStyle w:val="TableParagraph"/>
              <w:ind w:right="-15"/>
              <w:jc w:val="right"/>
              <w:rPr>
                <w:rFonts w:ascii="Arial"/>
                <w:b/>
                <w:sz w:val="15"/>
              </w:rPr>
            </w:pPr>
            <w:r>
              <w:rPr>
                <w:rFonts w:ascii="Arial"/>
                <w:b/>
                <w:color w:val="231F20"/>
                <w:w w:val="95"/>
                <w:sz w:val="15"/>
              </w:rPr>
              <w:t>28.217</w:t>
            </w:r>
          </w:p>
        </w:tc>
        <w:tc>
          <w:tcPr>
            <w:tcW w:w="849" w:type="dxa"/>
            <w:shd w:val="clear" w:color="auto" w:fill="DCDDDE"/>
          </w:tcPr>
          <w:p w:rsidR="00D1511D" w:rsidRDefault="003F0CB3">
            <w:pPr>
              <w:pStyle w:val="TableParagraph"/>
              <w:ind w:right="-15"/>
              <w:jc w:val="right"/>
              <w:rPr>
                <w:rFonts w:ascii="Arial"/>
                <w:b/>
                <w:sz w:val="15"/>
              </w:rPr>
            </w:pPr>
            <w:r>
              <w:rPr>
                <w:rFonts w:ascii="Arial"/>
                <w:b/>
                <w:color w:val="231F20"/>
                <w:w w:val="95"/>
                <w:sz w:val="15"/>
              </w:rPr>
              <w:t>32.178</w:t>
            </w:r>
          </w:p>
        </w:tc>
        <w:tc>
          <w:tcPr>
            <w:tcW w:w="836" w:type="dxa"/>
            <w:shd w:val="clear" w:color="auto" w:fill="DCDDDE"/>
          </w:tcPr>
          <w:p w:rsidR="00D1511D" w:rsidRDefault="003F0CB3">
            <w:pPr>
              <w:pStyle w:val="TableParagraph"/>
              <w:jc w:val="right"/>
              <w:rPr>
                <w:rFonts w:ascii="Arial"/>
                <w:b/>
                <w:sz w:val="15"/>
              </w:rPr>
            </w:pPr>
            <w:r>
              <w:rPr>
                <w:rFonts w:ascii="Arial"/>
                <w:b/>
                <w:color w:val="231F20"/>
                <w:w w:val="95"/>
                <w:sz w:val="15"/>
              </w:rPr>
              <w:t>39.689</w:t>
            </w:r>
          </w:p>
        </w:tc>
        <w:tc>
          <w:tcPr>
            <w:tcW w:w="885" w:type="dxa"/>
            <w:shd w:val="clear" w:color="auto" w:fill="DCDDDE"/>
          </w:tcPr>
          <w:p w:rsidR="00D1511D" w:rsidRDefault="003F0CB3">
            <w:pPr>
              <w:pStyle w:val="TableParagraph"/>
              <w:ind w:right="1"/>
              <w:jc w:val="right"/>
              <w:rPr>
                <w:rFonts w:ascii="Arial"/>
                <w:b/>
                <w:sz w:val="15"/>
              </w:rPr>
            </w:pPr>
            <w:r>
              <w:rPr>
                <w:rFonts w:ascii="Arial"/>
                <w:b/>
                <w:color w:val="231F20"/>
                <w:w w:val="95"/>
                <w:sz w:val="15"/>
              </w:rPr>
              <w:t>53.221</w:t>
            </w:r>
          </w:p>
        </w:tc>
        <w:tc>
          <w:tcPr>
            <w:tcW w:w="921" w:type="dxa"/>
            <w:shd w:val="clear" w:color="auto" w:fill="DCDDDE"/>
          </w:tcPr>
          <w:p w:rsidR="00D1511D" w:rsidRDefault="003F0CB3">
            <w:pPr>
              <w:pStyle w:val="TableParagraph"/>
              <w:jc w:val="right"/>
              <w:rPr>
                <w:rFonts w:ascii="Arial"/>
                <w:b/>
                <w:sz w:val="15"/>
              </w:rPr>
            </w:pPr>
            <w:r>
              <w:rPr>
                <w:rFonts w:ascii="Arial"/>
                <w:b/>
                <w:color w:val="231F20"/>
                <w:w w:val="95"/>
                <w:sz w:val="15"/>
              </w:rPr>
              <w:t>45.826</w:t>
            </w:r>
          </w:p>
        </w:tc>
        <w:tc>
          <w:tcPr>
            <w:tcW w:w="921" w:type="dxa"/>
            <w:shd w:val="clear" w:color="auto" w:fill="DCDDDE"/>
          </w:tcPr>
          <w:p w:rsidR="00D1511D" w:rsidRDefault="003F0CB3">
            <w:pPr>
              <w:pStyle w:val="TableParagraph"/>
              <w:ind w:right="1"/>
              <w:jc w:val="right"/>
              <w:rPr>
                <w:rFonts w:ascii="Arial"/>
                <w:b/>
                <w:sz w:val="15"/>
              </w:rPr>
            </w:pPr>
            <w:r>
              <w:rPr>
                <w:rFonts w:ascii="Arial"/>
                <w:b/>
                <w:color w:val="231F20"/>
                <w:w w:val="95"/>
                <w:sz w:val="15"/>
              </w:rPr>
              <w:t>49.945</w:t>
            </w:r>
          </w:p>
        </w:tc>
        <w:tc>
          <w:tcPr>
            <w:tcW w:w="800" w:type="dxa"/>
            <w:shd w:val="clear" w:color="auto" w:fill="DCDDDE"/>
          </w:tcPr>
          <w:p w:rsidR="00D1511D" w:rsidRDefault="003F0CB3">
            <w:pPr>
              <w:pStyle w:val="TableParagraph"/>
              <w:ind w:right="2"/>
              <w:jc w:val="right"/>
              <w:rPr>
                <w:rFonts w:ascii="Arial"/>
                <w:b/>
                <w:sz w:val="15"/>
              </w:rPr>
            </w:pPr>
            <w:r>
              <w:rPr>
                <w:rFonts w:ascii="Arial"/>
                <w:b/>
                <w:color w:val="231F20"/>
                <w:w w:val="95"/>
                <w:sz w:val="15"/>
              </w:rPr>
              <w:t>52.978</w:t>
            </w:r>
          </w:p>
        </w:tc>
        <w:tc>
          <w:tcPr>
            <w:tcW w:w="861" w:type="dxa"/>
            <w:shd w:val="clear" w:color="auto" w:fill="DCDDDE"/>
          </w:tcPr>
          <w:p w:rsidR="00D1511D" w:rsidRDefault="003F0CB3">
            <w:pPr>
              <w:pStyle w:val="TableParagraph"/>
              <w:ind w:right="2"/>
              <w:jc w:val="right"/>
              <w:rPr>
                <w:rFonts w:ascii="Arial"/>
                <w:b/>
                <w:sz w:val="15"/>
              </w:rPr>
            </w:pPr>
            <w:r>
              <w:rPr>
                <w:rFonts w:ascii="Arial"/>
                <w:b/>
                <w:color w:val="231F20"/>
                <w:w w:val="95"/>
                <w:sz w:val="15"/>
              </w:rPr>
              <w:t>52.752</w:t>
            </w:r>
          </w:p>
        </w:tc>
        <w:tc>
          <w:tcPr>
            <w:tcW w:w="910" w:type="dxa"/>
            <w:shd w:val="clear" w:color="auto" w:fill="DCDDDE"/>
          </w:tcPr>
          <w:p w:rsidR="00D1511D" w:rsidRDefault="003F0CB3">
            <w:pPr>
              <w:pStyle w:val="TableParagraph"/>
              <w:ind w:right="3"/>
              <w:jc w:val="right"/>
              <w:rPr>
                <w:rFonts w:ascii="Arial"/>
                <w:b/>
                <w:sz w:val="15"/>
              </w:rPr>
            </w:pPr>
            <w:r>
              <w:rPr>
                <w:rFonts w:ascii="Arial"/>
                <w:b/>
                <w:color w:val="231F20"/>
                <w:w w:val="95"/>
                <w:sz w:val="15"/>
              </w:rPr>
              <w:t>18.990</w:t>
            </w:r>
          </w:p>
        </w:tc>
        <w:tc>
          <w:tcPr>
            <w:tcW w:w="910" w:type="dxa"/>
            <w:shd w:val="clear" w:color="auto" w:fill="DCDDDE"/>
          </w:tcPr>
          <w:p w:rsidR="00D1511D" w:rsidRDefault="003F0CB3">
            <w:pPr>
              <w:pStyle w:val="TableParagraph"/>
              <w:ind w:right="4"/>
              <w:jc w:val="right"/>
              <w:rPr>
                <w:rFonts w:ascii="Arial"/>
                <w:b/>
                <w:sz w:val="15"/>
              </w:rPr>
            </w:pPr>
            <w:r>
              <w:rPr>
                <w:rFonts w:ascii="Arial"/>
                <w:b/>
                <w:color w:val="231F20"/>
                <w:w w:val="95"/>
                <w:sz w:val="15"/>
              </w:rPr>
              <w:t>400.941</w:t>
            </w:r>
          </w:p>
        </w:tc>
      </w:tr>
      <w:tr w:rsidR="00D1511D">
        <w:trPr>
          <w:trHeight w:val="220"/>
        </w:trPr>
        <w:tc>
          <w:tcPr>
            <w:tcW w:w="5015" w:type="dxa"/>
            <w:shd w:val="clear" w:color="auto" w:fill="81B1DF"/>
          </w:tcPr>
          <w:p w:rsidR="00D1511D" w:rsidRDefault="003F0CB3">
            <w:pPr>
              <w:pStyle w:val="TableParagraph"/>
              <w:ind w:left="28"/>
              <w:rPr>
                <w:rFonts w:ascii="Arial"/>
                <w:b/>
                <w:sz w:val="15"/>
              </w:rPr>
            </w:pPr>
            <w:r>
              <w:rPr>
                <w:rFonts w:ascii="Arial"/>
                <w:b/>
                <w:color w:val="231F20"/>
                <w:sz w:val="15"/>
              </w:rPr>
              <w:t>Australian Maritime Safety Authority</w:t>
            </w:r>
          </w:p>
        </w:tc>
        <w:tc>
          <w:tcPr>
            <w:tcW w:w="9542" w:type="dxa"/>
            <w:gridSpan w:val="11"/>
            <w:shd w:val="clear" w:color="auto" w:fill="81B1DF"/>
          </w:tcPr>
          <w:p w:rsidR="00D1511D" w:rsidRDefault="00D1511D">
            <w:pPr>
              <w:pStyle w:val="TableParagraph"/>
              <w:spacing w:before="0"/>
              <w:rPr>
                <w:rFonts w:ascii="Times New Roman"/>
                <w:sz w:val="14"/>
              </w:rPr>
            </w:pPr>
          </w:p>
        </w:tc>
      </w:tr>
      <w:tr w:rsidR="00D1511D">
        <w:trPr>
          <w:trHeight w:val="220"/>
        </w:trPr>
        <w:tc>
          <w:tcPr>
            <w:tcW w:w="5015" w:type="dxa"/>
            <w:shd w:val="clear" w:color="auto" w:fill="DCDDDE"/>
          </w:tcPr>
          <w:p w:rsidR="00D1511D" w:rsidRDefault="003F0CB3">
            <w:pPr>
              <w:pStyle w:val="TableParagraph"/>
              <w:ind w:right="-15"/>
              <w:jc w:val="right"/>
              <w:rPr>
                <w:rFonts w:ascii="Arial"/>
                <w:b/>
                <w:sz w:val="15"/>
              </w:rPr>
            </w:pPr>
            <w:r>
              <w:rPr>
                <w:rFonts w:ascii="Arial"/>
                <w:b/>
                <w:color w:val="231F20"/>
                <w:sz w:val="15"/>
              </w:rPr>
              <w:t>Sub-total</w:t>
            </w:r>
          </w:p>
        </w:tc>
        <w:tc>
          <w:tcPr>
            <w:tcW w:w="836" w:type="dxa"/>
            <w:shd w:val="clear" w:color="auto" w:fill="DCDDDE"/>
          </w:tcPr>
          <w:p w:rsidR="00D1511D" w:rsidRDefault="003F0CB3">
            <w:pPr>
              <w:pStyle w:val="TableParagraph"/>
              <w:ind w:right="-15"/>
              <w:jc w:val="right"/>
              <w:rPr>
                <w:rFonts w:ascii="Arial"/>
                <w:b/>
                <w:sz w:val="15"/>
              </w:rPr>
            </w:pPr>
            <w:r>
              <w:rPr>
                <w:rFonts w:ascii="Arial"/>
                <w:b/>
                <w:color w:val="231F20"/>
                <w:w w:val="95"/>
                <w:sz w:val="15"/>
              </w:rPr>
              <w:t>23.459</w:t>
            </w:r>
          </w:p>
        </w:tc>
        <w:tc>
          <w:tcPr>
            <w:tcW w:w="813" w:type="dxa"/>
            <w:shd w:val="clear" w:color="auto" w:fill="DCDDDE"/>
          </w:tcPr>
          <w:p w:rsidR="00D1511D" w:rsidRDefault="003F0CB3">
            <w:pPr>
              <w:pStyle w:val="TableParagraph"/>
              <w:ind w:right="-15"/>
              <w:jc w:val="right"/>
              <w:rPr>
                <w:rFonts w:ascii="Arial"/>
                <w:b/>
                <w:sz w:val="15"/>
              </w:rPr>
            </w:pPr>
            <w:r>
              <w:rPr>
                <w:rFonts w:ascii="Arial"/>
                <w:b/>
                <w:color w:val="231F20"/>
                <w:w w:val="95"/>
                <w:sz w:val="15"/>
              </w:rPr>
              <w:t>24.185</w:t>
            </w:r>
          </w:p>
        </w:tc>
        <w:tc>
          <w:tcPr>
            <w:tcW w:w="849" w:type="dxa"/>
            <w:shd w:val="clear" w:color="auto" w:fill="DCDDDE"/>
          </w:tcPr>
          <w:p w:rsidR="00D1511D" w:rsidRDefault="003F0CB3">
            <w:pPr>
              <w:pStyle w:val="TableParagraph"/>
              <w:ind w:right="-15"/>
              <w:jc w:val="right"/>
              <w:rPr>
                <w:rFonts w:ascii="Arial"/>
                <w:b/>
                <w:sz w:val="15"/>
              </w:rPr>
            </w:pPr>
            <w:r>
              <w:rPr>
                <w:rFonts w:ascii="Arial"/>
                <w:b/>
                <w:color w:val="231F20"/>
                <w:w w:val="95"/>
                <w:sz w:val="15"/>
              </w:rPr>
              <w:t>21.088</w:t>
            </w:r>
          </w:p>
        </w:tc>
        <w:tc>
          <w:tcPr>
            <w:tcW w:w="836" w:type="dxa"/>
            <w:shd w:val="clear" w:color="auto" w:fill="DCDDDE"/>
          </w:tcPr>
          <w:p w:rsidR="00D1511D" w:rsidRDefault="003F0CB3">
            <w:pPr>
              <w:pStyle w:val="TableParagraph"/>
              <w:jc w:val="right"/>
              <w:rPr>
                <w:rFonts w:ascii="Arial"/>
                <w:b/>
                <w:sz w:val="15"/>
              </w:rPr>
            </w:pPr>
            <w:r>
              <w:rPr>
                <w:rFonts w:ascii="Arial"/>
                <w:b/>
                <w:color w:val="231F20"/>
                <w:w w:val="95"/>
                <w:sz w:val="15"/>
              </w:rPr>
              <w:t>24.888</w:t>
            </w:r>
          </w:p>
        </w:tc>
        <w:tc>
          <w:tcPr>
            <w:tcW w:w="885" w:type="dxa"/>
            <w:shd w:val="clear" w:color="auto" w:fill="DCDDDE"/>
          </w:tcPr>
          <w:p w:rsidR="00D1511D" w:rsidRDefault="003F0CB3">
            <w:pPr>
              <w:pStyle w:val="TableParagraph"/>
              <w:ind w:right="1"/>
              <w:jc w:val="right"/>
              <w:rPr>
                <w:rFonts w:ascii="Arial"/>
                <w:b/>
                <w:sz w:val="15"/>
              </w:rPr>
            </w:pPr>
            <w:r>
              <w:rPr>
                <w:rFonts w:ascii="Arial"/>
                <w:b/>
                <w:color w:val="231F20"/>
                <w:w w:val="95"/>
                <w:sz w:val="15"/>
              </w:rPr>
              <w:t>27.533</w:t>
            </w:r>
          </w:p>
        </w:tc>
        <w:tc>
          <w:tcPr>
            <w:tcW w:w="921" w:type="dxa"/>
            <w:shd w:val="clear" w:color="auto" w:fill="DCDDDE"/>
          </w:tcPr>
          <w:p w:rsidR="00D1511D" w:rsidRDefault="003F0CB3">
            <w:pPr>
              <w:pStyle w:val="TableParagraph"/>
              <w:jc w:val="right"/>
              <w:rPr>
                <w:rFonts w:ascii="Arial"/>
                <w:b/>
                <w:sz w:val="15"/>
              </w:rPr>
            </w:pPr>
            <w:r>
              <w:rPr>
                <w:rFonts w:ascii="Arial"/>
                <w:b/>
                <w:color w:val="231F20"/>
                <w:w w:val="95"/>
                <w:sz w:val="15"/>
              </w:rPr>
              <w:t>28.927</w:t>
            </w:r>
          </w:p>
        </w:tc>
        <w:tc>
          <w:tcPr>
            <w:tcW w:w="921" w:type="dxa"/>
            <w:shd w:val="clear" w:color="auto" w:fill="DCDDDE"/>
          </w:tcPr>
          <w:p w:rsidR="00D1511D" w:rsidRDefault="003F0CB3">
            <w:pPr>
              <w:pStyle w:val="TableParagraph"/>
              <w:ind w:right="1"/>
              <w:jc w:val="right"/>
              <w:rPr>
                <w:rFonts w:ascii="Arial"/>
                <w:b/>
                <w:sz w:val="15"/>
              </w:rPr>
            </w:pPr>
            <w:r>
              <w:rPr>
                <w:rFonts w:ascii="Arial"/>
                <w:b/>
                <w:color w:val="231F20"/>
                <w:w w:val="95"/>
                <w:sz w:val="15"/>
              </w:rPr>
              <w:t>29.703</w:t>
            </w:r>
          </w:p>
        </w:tc>
        <w:tc>
          <w:tcPr>
            <w:tcW w:w="800" w:type="dxa"/>
            <w:shd w:val="clear" w:color="auto" w:fill="DCDDDE"/>
          </w:tcPr>
          <w:p w:rsidR="00D1511D" w:rsidRDefault="003F0CB3">
            <w:pPr>
              <w:pStyle w:val="TableParagraph"/>
              <w:ind w:right="2"/>
              <w:jc w:val="right"/>
              <w:rPr>
                <w:rFonts w:ascii="Arial"/>
                <w:b/>
                <w:sz w:val="15"/>
              </w:rPr>
            </w:pPr>
            <w:r>
              <w:rPr>
                <w:rFonts w:ascii="Arial"/>
                <w:b/>
                <w:color w:val="231F20"/>
                <w:w w:val="95"/>
                <w:sz w:val="15"/>
              </w:rPr>
              <w:t>29.838</w:t>
            </w:r>
          </w:p>
        </w:tc>
        <w:tc>
          <w:tcPr>
            <w:tcW w:w="861" w:type="dxa"/>
            <w:shd w:val="clear" w:color="auto" w:fill="DCDDDE"/>
          </w:tcPr>
          <w:p w:rsidR="00D1511D" w:rsidRDefault="003F0CB3">
            <w:pPr>
              <w:pStyle w:val="TableParagraph"/>
              <w:ind w:right="3"/>
              <w:jc w:val="right"/>
              <w:rPr>
                <w:rFonts w:ascii="Arial"/>
                <w:b/>
                <w:sz w:val="15"/>
              </w:rPr>
            </w:pPr>
            <w:r>
              <w:rPr>
                <w:rFonts w:ascii="Arial"/>
                <w:b/>
                <w:color w:val="231F20"/>
                <w:w w:val="95"/>
                <w:sz w:val="15"/>
              </w:rPr>
              <w:t>30.340</w:t>
            </w:r>
          </w:p>
        </w:tc>
        <w:tc>
          <w:tcPr>
            <w:tcW w:w="910" w:type="dxa"/>
            <w:shd w:val="clear" w:color="auto" w:fill="DCDDDE"/>
          </w:tcPr>
          <w:p w:rsidR="00D1511D" w:rsidRDefault="003F0CB3">
            <w:pPr>
              <w:pStyle w:val="TableParagraph"/>
              <w:ind w:right="4"/>
              <w:jc w:val="right"/>
              <w:rPr>
                <w:rFonts w:ascii="Arial"/>
                <w:b/>
                <w:sz w:val="15"/>
              </w:rPr>
            </w:pPr>
            <w:r>
              <w:rPr>
                <w:rFonts w:ascii="Arial"/>
                <w:b/>
                <w:color w:val="231F20"/>
                <w:w w:val="95"/>
                <w:sz w:val="15"/>
              </w:rPr>
              <w:t>30.940</w:t>
            </w:r>
          </w:p>
        </w:tc>
        <w:tc>
          <w:tcPr>
            <w:tcW w:w="910" w:type="dxa"/>
            <w:shd w:val="clear" w:color="auto" w:fill="DCDDDE"/>
          </w:tcPr>
          <w:p w:rsidR="00D1511D" w:rsidRDefault="003F0CB3">
            <w:pPr>
              <w:pStyle w:val="TableParagraph"/>
              <w:ind w:right="5"/>
              <w:jc w:val="right"/>
              <w:rPr>
                <w:rFonts w:ascii="Arial"/>
                <w:b/>
                <w:sz w:val="15"/>
              </w:rPr>
            </w:pPr>
            <w:r>
              <w:rPr>
                <w:rFonts w:ascii="Arial"/>
                <w:b/>
                <w:color w:val="231F20"/>
                <w:w w:val="95"/>
                <w:sz w:val="15"/>
              </w:rPr>
              <w:t>270.901</w:t>
            </w:r>
          </w:p>
        </w:tc>
      </w:tr>
      <w:tr w:rsidR="00D1511D">
        <w:trPr>
          <w:trHeight w:val="220"/>
        </w:trPr>
        <w:tc>
          <w:tcPr>
            <w:tcW w:w="5015" w:type="dxa"/>
            <w:shd w:val="clear" w:color="auto" w:fill="88C765"/>
          </w:tcPr>
          <w:p w:rsidR="00D1511D" w:rsidRDefault="003F0CB3">
            <w:pPr>
              <w:pStyle w:val="TableParagraph"/>
              <w:ind w:right="-15"/>
              <w:jc w:val="right"/>
              <w:rPr>
                <w:rFonts w:ascii="Arial"/>
                <w:b/>
                <w:sz w:val="15"/>
              </w:rPr>
            </w:pPr>
            <w:r>
              <w:rPr>
                <w:rFonts w:ascii="Arial"/>
                <w:b/>
                <w:color w:val="231F20"/>
                <w:sz w:val="15"/>
              </w:rPr>
              <w:t>Australian Government Total</w:t>
            </w:r>
          </w:p>
        </w:tc>
        <w:tc>
          <w:tcPr>
            <w:tcW w:w="836" w:type="dxa"/>
            <w:shd w:val="clear" w:color="auto" w:fill="88C765"/>
          </w:tcPr>
          <w:p w:rsidR="00D1511D" w:rsidRDefault="003F0CB3">
            <w:pPr>
              <w:pStyle w:val="TableParagraph"/>
              <w:ind w:right="-15"/>
              <w:jc w:val="right"/>
              <w:rPr>
                <w:rFonts w:ascii="Arial"/>
                <w:b/>
                <w:sz w:val="15"/>
              </w:rPr>
            </w:pPr>
            <w:r>
              <w:rPr>
                <w:rFonts w:ascii="Arial"/>
                <w:b/>
                <w:color w:val="231F20"/>
                <w:w w:val="95"/>
                <w:sz w:val="15"/>
              </w:rPr>
              <w:t>127.200</w:t>
            </w:r>
          </w:p>
        </w:tc>
        <w:tc>
          <w:tcPr>
            <w:tcW w:w="813" w:type="dxa"/>
            <w:shd w:val="clear" w:color="auto" w:fill="88C765"/>
          </w:tcPr>
          <w:p w:rsidR="00D1511D" w:rsidRDefault="003F0CB3">
            <w:pPr>
              <w:pStyle w:val="TableParagraph"/>
              <w:ind w:right="-15"/>
              <w:jc w:val="right"/>
              <w:rPr>
                <w:rFonts w:ascii="Arial"/>
                <w:b/>
                <w:sz w:val="15"/>
              </w:rPr>
            </w:pPr>
            <w:r>
              <w:rPr>
                <w:rFonts w:ascii="Arial"/>
                <w:b/>
                <w:color w:val="231F20"/>
                <w:w w:val="95"/>
                <w:sz w:val="15"/>
              </w:rPr>
              <w:t>138.682</w:t>
            </w:r>
          </w:p>
        </w:tc>
        <w:tc>
          <w:tcPr>
            <w:tcW w:w="849" w:type="dxa"/>
            <w:shd w:val="clear" w:color="auto" w:fill="88C765"/>
          </w:tcPr>
          <w:p w:rsidR="00D1511D" w:rsidRDefault="003F0CB3">
            <w:pPr>
              <w:pStyle w:val="TableParagraph"/>
              <w:ind w:right="-15"/>
              <w:jc w:val="right"/>
              <w:rPr>
                <w:rFonts w:ascii="Arial"/>
                <w:b/>
                <w:sz w:val="15"/>
              </w:rPr>
            </w:pPr>
            <w:r>
              <w:rPr>
                <w:rFonts w:ascii="Arial"/>
                <w:b/>
                <w:color w:val="231F20"/>
                <w:w w:val="95"/>
                <w:sz w:val="15"/>
              </w:rPr>
              <w:t>133.800</w:t>
            </w:r>
          </w:p>
        </w:tc>
        <w:tc>
          <w:tcPr>
            <w:tcW w:w="836" w:type="dxa"/>
            <w:shd w:val="clear" w:color="auto" w:fill="88C765"/>
          </w:tcPr>
          <w:p w:rsidR="00D1511D" w:rsidRDefault="003F0CB3">
            <w:pPr>
              <w:pStyle w:val="TableParagraph"/>
              <w:jc w:val="right"/>
              <w:rPr>
                <w:rFonts w:ascii="Arial"/>
                <w:b/>
                <w:sz w:val="15"/>
              </w:rPr>
            </w:pPr>
            <w:r>
              <w:rPr>
                <w:rFonts w:ascii="Arial"/>
                <w:b/>
                <w:color w:val="231F20"/>
                <w:w w:val="95"/>
                <w:sz w:val="15"/>
              </w:rPr>
              <w:t>613.861</w:t>
            </w:r>
          </w:p>
        </w:tc>
        <w:tc>
          <w:tcPr>
            <w:tcW w:w="885" w:type="dxa"/>
            <w:shd w:val="clear" w:color="auto" w:fill="88C765"/>
          </w:tcPr>
          <w:p w:rsidR="00D1511D" w:rsidRDefault="003F0CB3">
            <w:pPr>
              <w:pStyle w:val="TableParagraph"/>
              <w:ind w:right="1"/>
              <w:jc w:val="right"/>
              <w:rPr>
                <w:rFonts w:ascii="Arial"/>
                <w:b/>
                <w:sz w:val="15"/>
              </w:rPr>
            </w:pPr>
            <w:r>
              <w:rPr>
                <w:rFonts w:ascii="Arial"/>
                <w:b/>
                <w:color w:val="231F20"/>
                <w:w w:val="95"/>
                <w:sz w:val="15"/>
              </w:rPr>
              <w:t>175.362</w:t>
            </w:r>
          </w:p>
        </w:tc>
        <w:tc>
          <w:tcPr>
            <w:tcW w:w="921" w:type="dxa"/>
            <w:shd w:val="clear" w:color="auto" w:fill="88C765"/>
          </w:tcPr>
          <w:p w:rsidR="00D1511D" w:rsidRDefault="003F0CB3">
            <w:pPr>
              <w:pStyle w:val="TableParagraph"/>
              <w:jc w:val="right"/>
              <w:rPr>
                <w:rFonts w:ascii="Arial"/>
                <w:b/>
                <w:sz w:val="15"/>
              </w:rPr>
            </w:pPr>
            <w:r>
              <w:rPr>
                <w:rFonts w:ascii="Arial"/>
                <w:b/>
                <w:color w:val="231F20"/>
                <w:w w:val="95"/>
                <w:sz w:val="15"/>
              </w:rPr>
              <w:t>172.013</w:t>
            </w:r>
          </w:p>
        </w:tc>
        <w:tc>
          <w:tcPr>
            <w:tcW w:w="921" w:type="dxa"/>
            <w:shd w:val="clear" w:color="auto" w:fill="88C765"/>
          </w:tcPr>
          <w:p w:rsidR="00D1511D" w:rsidRDefault="003F0CB3">
            <w:pPr>
              <w:pStyle w:val="TableParagraph"/>
              <w:ind w:right="1"/>
              <w:jc w:val="right"/>
              <w:rPr>
                <w:rFonts w:ascii="Arial"/>
                <w:b/>
                <w:sz w:val="15"/>
              </w:rPr>
            </w:pPr>
            <w:r>
              <w:rPr>
                <w:rFonts w:ascii="Arial"/>
                <w:b/>
                <w:color w:val="231F20"/>
                <w:w w:val="95"/>
                <w:sz w:val="15"/>
              </w:rPr>
              <w:t>165.387</w:t>
            </w:r>
          </w:p>
        </w:tc>
        <w:tc>
          <w:tcPr>
            <w:tcW w:w="800" w:type="dxa"/>
            <w:shd w:val="clear" w:color="auto" w:fill="88C765"/>
          </w:tcPr>
          <w:p w:rsidR="00D1511D" w:rsidRDefault="003F0CB3">
            <w:pPr>
              <w:pStyle w:val="TableParagraph"/>
              <w:ind w:right="2"/>
              <w:jc w:val="right"/>
              <w:rPr>
                <w:rFonts w:ascii="Arial"/>
                <w:b/>
                <w:sz w:val="15"/>
              </w:rPr>
            </w:pPr>
            <w:r>
              <w:rPr>
                <w:rFonts w:ascii="Arial"/>
                <w:b/>
                <w:color w:val="231F20"/>
                <w:w w:val="95"/>
                <w:sz w:val="15"/>
              </w:rPr>
              <w:t>156.890</w:t>
            </w:r>
          </w:p>
        </w:tc>
        <w:tc>
          <w:tcPr>
            <w:tcW w:w="861" w:type="dxa"/>
            <w:shd w:val="clear" w:color="auto" w:fill="88C765"/>
          </w:tcPr>
          <w:p w:rsidR="00D1511D" w:rsidRDefault="003F0CB3">
            <w:pPr>
              <w:pStyle w:val="TableParagraph"/>
              <w:ind w:right="3"/>
              <w:jc w:val="right"/>
              <w:rPr>
                <w:rFonts w:ascii="Arial"/>
                <w:b/>
                <w:sz w:val="15"/>
              </w:rPr>
            </w:pPr>
            <w:r>
              <w:rPr>
                <w:rFonts w:ascii="Arial"/>
                <w:b/>
                <w:color w:val="231F20"/>
                <w:w w:val="95"/>
                <w:sz w:val="15"/>
              </w:rPr>
              <w:t>157.322</w:t>
            </w:r>
          </w:p>
        </w:tc>
        <w:tc>
          <w:tcPr>
            <w:tcW w:w="910" w:type="dxa"/>
            <w:shd w:val="clear" w:color="auto" w:fill="88C765"/>
          </w:tcPr>
          <w:p w:rsidR="00D1511D" w:rsidRDefault="003F0CB3">
            <w:pPr>
              <w:pStyle w:val="TableParagraph"/>
              <w:ind w:right="3"/>
              <w:jc w:val="right"/>
              <w:rPr>
                <w:rFonts w:ascii="Arial"/>
                <w:b/>
                <w:sz w:val="15"/>
              </w:rPr>
            </w:pPr>
            <w:r>
              <w:rPr>
                <w:rFonts w:ascii="Arial"/>
                <w:b/>
                <w:color w:val="231F20"/>
                <w:w w:val="95"/>
                <w:sz w:val="15"/>
              </w:rPr>
              <w:t>95.130</w:t>
            </w:r>
          </w:p>
        </w:tc>
        <w:tc>
          <w:tcPr>
            <w:tcW w:w="910" w:type="dxa"/>
            <w:shd w:val="clear" w:color="auto" w:fill="88C765"/>
          </w:tcPr>
          <w:p w:rsidR="00D1511D" w:rsidRDefault="003F0CB3">
            <w:pPr>
              <w:pStyle w:val="TableParagraph"/>
              <w:ind w:right="4"/>
              <w:jc w:val="right"/>
              <w:rPr>
                <w:rFonts w:ascii="Arial"/>
                <w:b/>
                <w:sz w:val="15"/>
              </w:rPr>
            </w:pPr>
            <w:r>
              <w:rPr>
                <w:rFonts w:ascii="Arial"/>
                <w:b/>
                <w:color w:val="231F20"/>
                <w:w w:val="95"/>
                <w:sz w:val="15"/>
              </w:rPr>
              <w:t>1935.647</w:t>
            </w:r>
          </w:p>
        </w:tc>
      </w:tr>
      <w:tr w:rsidR="00D1511D">
        <w:trPr>
          <w:trHeight w:val="220"/>
        </w:trPr>
        <w:tc>
          <w:tcPr>
            <w:tcW w:w="5015" w:type="dxa"/>
            <w:shd w:val="clear" w:color="auto" w:fill="81B1DF"/>
          </w:tcPr>
          <w:p w:rsidR="00D1511D" w:rsidRDefault="003F0CB3">
            <w:pPr>
              <w:pStyle w:val="TableParagraph"/>
              <w:ind w:left="28"/>
              <w:rPr>
                <w:rFonts w:ascii="Arial"/>
                <w:b/>
                <w:sz w:val="15"/>
              </w:rPr>
            </w:pPr>
            <w:r>
              <w:rPr>
                <w:rFonts w:ascii="Arial"/>
                <w:b/>
                <w:color w:val="231F20"/>
                <w:sz w:val="15"/>
              </w:rPr>
              <w:t>Queensland Government Reef Programs</w:t>
            </w:r>
          </w:p>
        </w:tc>
        <w:tc>
          <w:tcPr>
            <w:tcW w:w="9542" w:type="dxa"/>
            <w:gridSpan w:val="11"/>
            <w:shd w:val="clear" w:color="auto" w:fill="81B1DF"/>
          </w:tcPr>
          <w:p w:rsidR="00D1511D" w:rsidRDefault="00D1511D">
            <w:pPr>
              <w:pStyle w:val="TableParagraph"/>
              <w:spacing w:before="0"/>
              <w:rPr>
                <w:rFonts w:ascii="Times New Roman"/>
                <w:sz w:val="14"/>
              </w:rPr>
            </w:pPr>
          </w:p>
        </w:tc>
      </w:tr>
      <w:tr w:rsidR="00D1511D">
        <w:trPr>
          <w:trHeight w:val="231"/>
        </w:trPr>
        <w:tc>
          <w:tcPr>
            <w:tcW w:w="5015" w:type="dxa"/>
          </w:tcPr>
          <w:p w:rsidR="00D1511D" w:rsidRDefault="003F0CB3">
            <w:pPr>
              <w:pStyle w:val="TableParagraph"/>
              <w:spacing w:before="28"/>
              <w:ind w:left="28"/>
              <w:rPr>
                <w:rFonts w:ascii="Arial"/>
                <w:sz w:val="15"/>
              </w:rPr>
            </w:pPr>
            <w:r>
              <w:rPr>
                <w:rFonts w:ascii="Arial"/>
                <w:color w:val="231F20"/>
                <w:sz w:val="15"/>
              </w:rPr>
              <w:t>Queensland Government Reef Water Quality Program*</w:t>
            </w:r>
          </w:p>
        </w:tc>
        <w:tc>
          <w:tcPr>
            <w:tcW w:w="836" w:type="dxa"/>
          </w:tcPr>
          <w:p w:rsidR="00D1511D" w:rsidRDefault="003F0CB3">
            <w:pPr>
              <w:pStyle w:val="TableParagraph"/>
              <w:spacing w:before="28"/>
              <w:ind w:right="-15"/>
              <w:jc w:val="right"/>
              <w:rPr>
                <w:rFonts w:ascii="Arial"/>
                <w:sz w:val="15"/>
              </w:rPr>
            </w:pPr>
            <w:r>
              <w:rPr>
                <w:rFonts w:ascii="Arial"/>
                <w:color w:val="231F20"/>
                <w:w w:val="95"/>
                <w:sz w:val="15"/>
              </w:rPr>
              <w:t>35.000</w:t>
            </w:r>
          </w:p>
        </w:tc>
        <w:tc>
          <w:tcPr>
            <w:tcW w:w="813" w:type="dxa"/>
          </w:tcPr>
          <w:p w:rsidR="00D1511D" w:rsidRDefault="003F0CB3">
            <w:pPr>
              <w:pStyle w:val="TableParagraph"/>
              <w:spacing w:before="28"/>
              <w:ind w:right="-15"/>
              <w:jc w:val="right"/>
              <w:rPr>
                <w:rFonts w:ascii="Arial"/>
                <w:sz w:val="15"/>
              </w:rPr>
            </w:pPr>
            <w:r>
              <w:rPr>
                <w:rFonts w:ascii="Arial"/>
                <w:color w:val="231F20"/>
                <w:w w:val="95"/>
                <w:sz w:val="15"/>
              </w:rPr>
              <w:t>33.425</w:t>
            </w:r>
          </w:p>
        </w:tc>
        <w:tc>
          <w:tcPr>
            <w:tcW w:w="849" w:type="dxa"/>
          </w:tcPr>
          <w:p w:rsidR="00D1511D" w:rsidRDefault="003F0CB3">
            <w:pPr>
              <w:pStyle w:val="TableParagraph"/>
              <w:spacing w:before="28"/>
              <w:ind w:right="-15"/>
              <w:jc w:val="right"/>
              <w:rPr>
                <w:rFonts w:ascii="Arial"/>
                <w:sz w:val="15"/>
              </w:rPr>
            </w:pPr>
            <w:r>
              <w:rPr>
                <w:rFonts w:ascii="Arial"/>
                <w:color w:val="231F20"/>
                <w:w w:val="95"/>
                <w:sz w:val="15"/>
              </w:rPr>
              <w:t>47.145</w:t>
            </w:r>
          </w:p>
        </w:tc>
        <w:tc>
          <w:tcPr>
            <w:tcW w:w="836" w:type="dxa"/>
          </w:tcPr>
          <w:p w:rsidR="00D1511D" w:rsidRDefault="003F0CB3">
            <w:pPr>
              <w:pStyle w:val="TableParagraph"/>
              <w:spacing w:before="28"/>
              <w:jc w:val="right"/>
              <w:rPr>
                <w:rFonts w:ascii="Arial"/>
                <w:sz w:val="15"/>
              </w:rPr>
            </w:pPr>
            <w:r>
              <w:rPr>
                <w:rFonts w:ascii="Arial"/>
                <w:color w:val="231F20"/>
                <w:w w:val="95"/>
                <w:sz w:val="15"/>
              </w:rPr>
              <w:t>43.308</w:t>
            </w:r>
          </w:p>
        </w:tc>
        <w:tc>
          <w:tcPr>
            <w:tcW w:w="885" w:type="dxa"/>
          </w:tcPr>
          <w:p w:rsidR="00D1511D" w:rsidRDefault="003F0CB3">
            <w:pPr>
              <w:pStyle w:val="TableParagraph"/>
              <w:spacing w:before="28"/>
              <w:ind w:right="1"/>
              <w:jc w:val="right"/>
              <w:rPr>
                <w:rFonts w:ascii="Arial"/>
                <w:sz w:val="15"/>
              </w:rPr>
            </w:pPr>
            <w:r>
              <w:rPr>
                <w:rFonts w:ascii="Arial"/>
                <w:color w:val="231F20"/>
                <w:w w:val="95"/>
                <w:sz w:val="15"/>
              </w:rPr>
              <w:t>61.493</w:t>
            </w:r>
          </w:p>
        </w:tc>
        <w:tc>
          <w:tcPr>
            <w:tcW w:w="921" w:type="dxa"/>
          </w:tcPr>
          <w:p w:rsidR="00D1511D" w:rsidRDefault="003F0CB3">
            <w:pPr>
              <w:pStyle w:val="TableParagraph"/>
              <w:spacing w:before="28"/>
              <w:jc w:val="right"/>
              <w:rPr>
                <w:rFonts w:ascii="Arial"/>
                <w:sz w:val="15"/>
              </w:rPr>
            </w:pPr>
            <w:r>
              <w:rPr>
                <w:rFonts w:ascii="Arial"/>
                <w:color w:val="231F20"/>
                <w:w w:val="95"/>
                <w:sz w:val="15"/>
              </w:rPr>
              <w:t>69.962</w:t>
            </w:r>
          </w:p>
        </w:tc>
        <w:tc>
          <w:tcPr>
            <w:tcW w:w="921" w:type="dxa"/>
          </w:tcPr>
          <w:p w:rsidR="00D1511D" w:rsidRDefault="003F0CB3">
            <w:pPr>
              <w:pStyle w:val="TableParagraph"/>
              <w:spacing w:before="28"/>
              <w:ind w:right="1"/>
              <w:jc w:val="right"/>
              <w:rPr>
                <w:rFonts w:ascii="Arial"/>
                <w:sz w:val="15"/>
              </w:rPr>
            </w:pPr>
            <w:r>
              <w:rPr>
                <w:rFonts w:ascii="Arial"/>
                <w:color w:val="231F20"/>
                <w:w w:val="95"/>
                <w:sz w:val="15"/>
              </w:rPr>
              <w:t>39.000</w:t>
            </w:r>
          </w:p>
        </w:tc>
        <w:tc>
          <w:tcPr>
            <w:tcW w:w="800" w:type="dxa"/>
          </w:tcPr>
          <w:p w:rsidR="00D1511D" w:rsidRDefault="003F0CB3">
            <w:pPr>
              <w:pStyle w:val="TableParagraph"/>
              <w:spacing w:before="28"/>
              <w:ind w:right="2"/>
              <w:jc w:val="right"/>
              <w:rPr>
                <w:rFonts w:ascii="Arial"/>
                <w:sz w:val="15"/>
              </w:rPr>
            </w:pPr>
            <w:r>
              <w:rPr>
                <w:rFonts w:ascii="Arial"/>
                <w:color w:val="231F20"/>
                <w:w w:val="95"/>
                <w:sz w:val="15"/>
              </w:rPr>
              <w:t>35.000</w:t>
            </w:r>
          </w:p>
        </w:tc>
        <w:tc>
          <w:tcPr>
            <w:tcW w:w="861" w:type="dxa"/>
            <w:shd w:val="clear" w:color="auto" w:fill="C6C8CA"/>
          </w:tcPr>
          <w:p w:rsidR="00D1511D" w:rsidRDefault="003F0CB3">
            <w:pPr>
              <w:pStyle w:val="TableParagraph"/>
              <w:spacing w:before="30"/>
              <w:ind w:left="266"/>
              <w:rPr>
                <w:rFonts w:ascii="Arial"/>
                <w:b/>
                <w:sz w:val="15"/>
              </w:rPr>
            </w:pPr>
            <w:r>
              <w:rPr>
                <w:rFonts w:ascii="Arial"/>
                <w:b/>
                <w:color w:val="231F20"/>
                <w:sz w:val="15"/>
              </w:rPr>
              <w:t>TBD</w:t>
            </w:r>
          </w:p>
        </w:tc>
        <w:tc>
          <w:tcPr>
            <w:tcW w:w="910" w:type="dxa"/>
            <w:shd w:val="clear" w:color="auto" w:fill="C6C8CA"/>
          </w:tcPr>
          <w:p w:rsidR="00D1511D" w:rsidRDefault="003F0CB3">
            <w:pPr>
              <w:pStyle w:val="TableParagraph"/>
              <w:spacing w:before="30"/>
              <w:ind w:left="291"/>
              <w:rPr>
                <w:rFonts w:ascii="Arial"/>
                <w:b/>
                <w:sz w:val="15"/>
              </w:rPr>
            </w:pPr>
            <w:r>
              <w:rPr>
                <w:rFonts w:ascii="Arial"/>
                <w:b/>
                <w:color w:val="231F20"/>
                <w:sz w:val="15"/>
              </w:rPr>
              <w:t>TBD</w:t>
            </w:r>
          </w:p>
        </w:tc>
        <w:tc>
          <w:tcPr>
            <w:tcW w:w="910" w:type="dxa"/>
          </w:tcPr>
          <w:p w:rsidR="00D1511D" w:rsidRDefault="003F0CB3">
            <w:pPr>
              <w:pStyle w:val="TableParagraph"/>
              <w:spacing w:before="30"/>
              <w:ind w:right="5"/>
              <w:jc w:val="right"/>
              <w:rPr>
                <w:rFonts w:ascii="Arial"/>
                <w:b/>
                <w:sz w:val="15"/>
              </w:rPr>
            </w:pPr>
            <w:r>
              <w:rPr>
                <w:rFonts w:ascii="Arial"/>
                <w:b/>
                <w:color w:val="231F20"/>
                <w:w w:val="95"/>
                <w:sz w:val="15"/>
              </w:rPr>
              <w:t>364.333</w:t>
            </w:r>
          </w:p>
        </w:tc>
      </w:tr>
      <w:tr w:rsidR="00D1511D">
        <w:trPr>
          <w:trHeight w:val="350"/>
        </w:trPr>
        <w:tc>
          <w:tcPr>
            <w:tcW w:w="5015" w:type="dxa"/>
          </w:tcPr>
          <w:p w:rsidR="00D1511D" w:rsidRDefault="003F0CB3">
            <w:pPr>
              <w:pStyle w:val="TableParagraph"/>
              <w:spacing w:before="0" w:line="167" w:lineRule="exact"/>
              <w:ind w:left="28"/>
              <w:rPr>
                <w:rFonts w:ascii="Arial"/>
                <w:sz w:val="15"/>
              </w:rPr>
            </w:pPr>
            <w:r>
              <w:rPr>
                <w:rFonts w:ascii="Arial"/>
                <w:color w:val="231F20"/>
                <w:sz w:val="15"/>
              </w:rPr>
              <w:t>Joint Field Management Program</w:t>
            </w:r>
          </w:p>
          <w:p w:rsidR="00D1511D" w:rsidRDefault="003F0CB3">
            <w:pPr>
              <w:pStyle w:val="TableParagraph"/>
              <w:spacing w:before="13" w:line="151" w:lineRule="exact"/>
              <w:ind w:left="28"/>
              <w:rPr>
                <w:rFonts w:ascii="Arial"/>
                <w:sz w:val="15"/>
              </w:rPr>
            </w:pPr>
            <w:r>
              <w:rPr>
                <w:rFonts w:ascii="Arial"/>
                <w:color w:val="231F20"/>
                <w:sz w:val="15"/>
              </w:rPr>
              <w:t>(Queensland Government funding)</w:t>
            </w:r>
          </w:p>
        </w:tc>
        <w:tc>
          <w:tcPr>
            <w:tcW w:w="836" w:type="dxa"/>
          </w:tcPr>
          <w:p w:rsidR="00D1511D" w:rsidRDefault="003F0CB3">
            <w:pPr>
              <w:pStyle w:val="TableParagraph"/>
              <w:spacing w:before="88"/>
              <w:ind w:right="-15"/>
              <w:jc w:val="right"/>
              <w:rPr>
                <w:rFonts w:ascii="Arial"/>
                <w:sz w:val="15"/>
              </w:rPr>
            </w:pPr>
            <w:r>
              <w:rPr>
                <w:rFonts w:ascii="Arial"/>
                <w:color w:val="231F20"/>
                <w:w w:val="95"/>
                <w:sz w:val="15"/>
              </w:rPr>
              <w:t>8.372</w:t>
            </w:r>
          </w:p>
        </w:tc>
        <w:tc>
          <w:tcPr>
            <w:tcW w:w="813" w:type="dxa"/>
          </w:tcPr>
          <w:p w:rsidR="00D1511D" w:rsidRDefault="003F0CB3">
            <w:pPr>
              <w:pStyle w:val="TableParagraph"/>
              <w:spacing w:before="88"/>
              <w:ind w:right="-15"/>
              <w:jc w:val="right"/>
              <w:rPr>
                <w:rFonts w:ascii="Arial"/>
                <w:sz w:val="15"/>
              </w:rPr>
            </w:pPr>
            <w:r>
              <w:rPr>
                <w:rFonts w:ascii="Arial"/>
                <w:color w:val="231F20"/>
                <w:w w:val="95"/>
                <w:sz w:val="15"/>
              </w:rPr>
              <w:t>8.372</w:t>
            </w:r>
          </w:p>
        </w:tc>
        <w:tc>
          <w:tcPr>
            <w:tcW w:w="849" w:type="dxa"/>
          </w:tcPr>
          <w:p w:rsidR="00D1511D" w:rsidRDefault="003F0CB3">
            <w:pPr>
              <w:pStyle w:val="TableParagraph"/>
              <w:spacing w:before="88"/>
              <w:ind w:right="-15"/>
              <w:jc w:val="right"/>
              <w:rPr>
                <w:rFonts w:ascii="Arial"/>
                <w:sz w:val="15"/>
              </w:rPr>
            </w:pPr>
            <w:r>
              <w:rPr>
                <w:rFonts w:ascii="Arial"/>
                <w:color w:val="231F20"/>
                <w:w w:val="95"/>
                <w:sz w:val="15"/>
              </w:rPr>
              <w:t>8.766</w:t>
            </w:r>
          </w:p>
        </w:tc>
        <w:tc>
          <w:tcPr>
            <w:tcW w:w="836" w:type="dxa"/>
          </w:tcPr>
          <w:p w:rsidR="00D1511D" w:rsidRDefault="003F0CB3">
            <w:pPr>
              <w:pStyle w:val="TableParagraph"/>
              <w:spacing w:before="88"/>
              <w:jc w:val="right"/>
              <w:rPr>
                <w:rFonts w:ascii="Arial"/>
                <w:sz w:val="15"/>
              </w:rPr>
            </w:pPr>
            <w:r>
              <w:rPr>
                <w:rFonts w:ascii="Arial"/>
                <w:color w:val="231F20"/>
                <w:w w:val="95"/>
                <w:sz w:val="15"/>
              </w:rPr>
              <w:t>8.779</w:t>
            </w:r>
          </w:p>
        </w:tc>
        <w:tc>
          <w:tcPr>
            <w:tcW w:w="885" w:type="dxa"/>
          </w:tcPr>
          <w:p w:rsidR="00D1511D" w:rsidRDefault="003F0CB3">
            <w:pPr>
              <w:pStyle w:val="TableParagraph"/>
              <w:spacing w:before="88"/>
              <w:ind w:right="1"/>
              <w:jc w:val="right"/>
              <w:rPr>
                <w:rFonts w:ascii="Arial"/>
                <w:sz w:val="15"/>
              </w:rPr>
            </w:pPr>
            <w:r>
              <w:rPr>
                <w:rFonts w:ascii="Arial"/>
                <w:color w:val="231F20"/>
                <w:w w:val="95"/>
                <w:sz w:val="15"/>
              </w:rPr>
              <w:t>13.279</w:t>
            </w:r>
          </w:p>
        </w:tc>
        <w:tc>
          <w:tcPr>
            <w:tcW w:w="921" w:type="dxa"/>
          </w:tcPr>
          <w:p w:rsidR="00D1511D" w:rsidRDefault="003F0CB3">
            <w:pPr>
              <w:pStyle w:val="TableParagraph"/>
              <w:spacing w:before="88"/>
              <w:jc w:val="right"/>
              <w:rPr>
                <w:rFonts w:ascii="Arial"/>
                <w:sz w:val="15"/>
              </w:rPr>
            </w:pPr>
            <w:r>
              <w:rPr>
                <w:rFonts w:ascii="Arial"/>
                <w:color w:val="231F20"/>
                <w:w w:val="95"/>
                <w:sz w:val="15"/>
              </w:rPr>
              <w:t>12.709</w:t>
            </w:r>
          </w:p>
        </w:tc>
        <w:tc>
          <w:tcPr>
            <w:tcW w:w="921" w:type="dxa"/>
          </w:tcPr>
          <w:p w:rsidR="00D1511D" w:rsidRDefault="003F0CB3">
            <w:pPr>
              <w:pStyle w:val="TableParagraph"/>
              <w:spacing w:before="88"/>
              <w:ind w:right="1"/>
              <w:jc w:val="right"/>
              <w:rPr>
                <w:rFonts w:ascii="Arial"/>
                <w:sz w:val="15"/>
              </w:rPr>
            </w:pPr>
            <w:r>
              <w:rPr>
                <w:rFonts w:ascii="Arial"/>
                <w:color w:val="231F20"/>
                <w:w w:val="95"/>
                <w:sz w:val="15"/>
              </w:rPr>
              <w:t>16.468</w:t>
            </w:r>
          </w:p>
        </w:tc>
        <w:tc>
          <w:tcPr>
            <w:tcW w:w="800" w:type="dxa"/>
          </w:tcPr>
          <w:p w:rsidR="00D1511D" w:rsidRDefault="003F0CB3">
            <w:pPr>
              <w:pStyle w:val="TableParagraph"/>
              <w:spacing w:before="88"/>
              <w:ind w:right="2"/>
              <w:jc w:val="right"/>
              <w:rPr>
                <w:rFonts w:ascii="Arial"/>
                <w:sz w:val="15"/>
              </w:rPr>
            </w:pPr>
            <w:r>
              <w:rPr>
                <w:rFonts w:ascii="Arial"/>
                <w:color w:val="231F20"/>
                <w:w w:val="95"/>
                <w:sz w:val="15"/>
              </w:rPr>
              <w:t>19.227</w:t>
            </w:r>
          </w:p>
        </w:tc>
        <w:tc>
          <w:tcPr>
            <w:tcW w:w="861" w:type="dxa"/>
          </w:tcPr>
          <w:p w:rsidR="00D1511D" w:rsidRDefault="003F0CB3">
            <w:pPr>
              <w:pStyle w:val="TableParagraph"/>
              <w:spacing w:before="88"/>
              <w:ind w:right="3"/>
              <w:jc w:val="right"/>
              <w:rPr>
                <w:rFonts w:ascii="Arial"/>
                <w:sz w:val="15"/>
              </w:rPr>
            </w:pPr>
            <w:r>
              <w:rPr>
                <w:rFonts w:ascii="Arial"/>
                <w:color w:val="231F20"/>
                <w:w w:val="95"/>
                <w:sz w:val="15"/>
              </w:rPr>
              <w:t>19.227</w:t>
            </w:r>
          </w:p>
        </w:tc>
        <w:tc>
          <w:tcPr>
            <w:tcW w:w="910" w:type="dxa"/>
          </w:tcPr>
          <w:p w:rsidR="00D1511D" w:rsidRDefault="003F0CB3">
            <w:pPr>
              <w:pStyle w:val="TableParagraph"/>
              <w:spacing w:before="88"/>
              <w:ind w:right="4"/>
              <w:jc w:val="right"/>
              <w:rPr>
                <w:rFonts w:ascii="Arial"/>
                <w:sz w:val="15"/>
              </w:rPr>
            </w:pPr>
            <w:r>
              <w:rPr>
                <w:rFonts w:ascii="Arial"/>
                <w:color w:val="231F20"/>
                <w:w w:val="95"/>
                <w:sz w:val="15"/>
              </w:rPr>
              <w:t>19.227</w:t>
            </w:r>
          </w:p>
        </w:tc>
        <w:tc>
          <w:tcPr>
            <w:tcW w:w="910" w:type="dxa"/>
          </w:tcPr>
          <w:p w:rsidR="00D1511D" w:rsidRDefault="003F0CB3">
            <w:pPr>
              <w:pStyle w:val="TableParagraph"/>
              <w:spacing w:before="89"/>
              <w:ind w:right="5"/>
              <w:jc w:val="right"/>
              <w:rPr>
                <w:rFonts w:ascii="Arial"/>
                <w:b/>
                <w:sz w:val="15"/>
              </w:rPr>
            </w:pPr>
            <w:r>
              <w:rPr>
                <w:rFonts w:ascii="Arial"/>
                <w:b/>
                <w:color w:val="231F20"/>
                <w:w w:val="95"/>
                <w:sz w:val="15"/>
              </w:rPr>
              <w:t>134.426</w:t>
            </w:r>
          </w:p>
        </w:tc>
      </w:tr>
      <w:tr w:rsidR="00D1511D">
        <w:trPr>
          <w:trHeight w:val="220"/>
        </w:trPr>
        <w:tc>
          <w:tcPr>
            <w:tcW w:w="5015" w:type="dxa"/>
            <w:shd w:val="clear" w:color="auto" w:fill="DCDDDE"/>
          </w:tcPr>
          <w:p w:rsidR="00D1511D" w:rsidRDefault="003F0CB3">
            <w:pPr>
              <w:pStyle w:val="TableParagraph"/>
              <w:ind w:right="-15"/>
              <w:jc w:val="right"/>
              <w:rPr>
                <w:rFonts w:ascii="Arial"/>
                <w:b/>
                <w:sz w:val="15"/>
              </w:rPr>
            </w:pPr>
            <w:r>
              <w:rPr>
                <w:rFonts w:ascii="Arial"/>
                <w:b/>
                <w:color w:val="231F20"/>
                <w:sz w:val="15"/>
              </w:rPr>
              <w:t>Sub-total</w:t>
            </w:r>
          </w:p>
        </w:tc>
        <w:tc>
          <w:tcPr>
            <w:tcW w:w="836" w:type="dxa"/>
            <w:shd w:val="clear" w:color="auto" w:fill="DCDDDE"/>
          </w:tcPr>
          <w:p w:rsidR="00D1511D" w:rsidRDefault="003F0CB3">
            <w:pPr>
              <w:pStyle w:val="TableParagraph"/>
              <w:ind w:right="-15"/>
              <w:jc w:val="right"/>
              <w:rPr>
                <w:rFonts w:ascii="Arial"/>
                <w:b/>
                <w:sz w:val="15"/>
              </w:rPr>
            </w:pPr>
            <w:r>
              <w:rPr>
                <w:rFonts w:ascii="Arial"/>
                <w:b/>
                <w:color w:val="231F20"/>
                <w:w w:val="95"/>
                <w:sz w:val="15"/>
              </w:rPr>
              <w:t>43.372</w:t>
            </w:r>
          </w:p>
        </w:tc>
        <w:tc>
          <w:tcPr>
            <w:tcW w:w="813" w:type="dxa"/>
            <w:shd w:val="clear" w:color="auto" w:fill="DCDDDE"/>
          </w:tcPr>
          <w:p w:rsidR="00D1511D" w:rsidRDefault="003F0CB3">
            <w:pPr>
              <w:pStyle w:val="TableParagraph"/>
              <w:ind w:right="-15"/>
              <w:jc w:val="right"/>
              <w:rPr>
                <w:rFonts w:ascii="Arial"/>
                <w:b/>
                <w:sz w:val="15"/>
              </w:rPr>
            </w:pPr>
            <w:r>
              <w:rPr>
                <w:rFonts w:ascii="Arial"/>
                <w:b/>
                <w:color w:val="231F20"/>
                <w:w w:val="95"/>
                <w:sz w:val="15"/>
              </w:rPr>
              <w:t>41.797</w:t>
            </w:r>
          </w:p>
        </w:tc>
        <w:tc>
          <w:tcPr>
            <w:tcW w:w="849" w:type="dxa"/>
            <w:shd w:val="clear" w:color="auto" w:fill="DCDDDE"/>
          </w:tcPr>
          <w:p w:rsidR="00D1511D" w:rsidRDefault="003F0CB3">
            <w:pPr>
              <w:pStyle w:val="TableParagraph"/>
              <w:ind w:right="-15"/>
              <w:jc w:val="right"/>
              <w:rPr>
                <w:rFonts w:ascii="Arial"/>
                <w:b/>
                <w:sz w:val="15"/>
              </w:rPr>
            </w:pPr>
            <w:r>
              <w:rPr>
                <w:rFonts w:ascii="Arial"/>
                <w:b/>
                <w:color w:val="231F20"/>
                <w:w w:val="95"/>
                <w:sz w:val="15"/>
              </w:rPr>
              <w:t>55.911</w:t>
            </w:r>
          </w:p>
        </w:tc>
        <w:tc>
          <w:tcPr>
            <w:tcW w:w="836" w:type="dxa"/>
            <w:shd w:val="clear" w:color="auto" w:fill="DCDDDE"/>
          </w:tcPr>
          <w:p w:rsidR="00D1511D" w:rsidRDefault="003F0CB3">
            <w:pPr>
              <w:pStyle w:val="TableParagraph"/>
              <w:jc w:val="right"/>
              <w:rPr>
                <w:rFonts w:ascii="Arial"/>
                <w:b/>
                <w:sz w:val="15"/>
              </w:rPr>
            </w:pPr>
            <w:r>
              <w:rPr>
                <w:rFonts w:ascii="Arial"/>
                <w:b/>
                <w:color w:val="231F20"/>
                <w:w w:val="95"/>
                <w:sz w:val="15"/>
              </w:rPr>
              <w:t>52.087</w:t>
            </w:r>
          </w:p>
        </w:tc>
        <w:tc>
          <w:tcPr>
            <w:tcW w:w="885" w:type="dxa"/>
            <w:shd w:val="clear" w:color="auto" w:fill="DCDDDE"/>
          </w:tcPr>
          <w:p w:rsidR="00D1511D" w:rsidRDefault="003F0CB3">
            <w:pPr>
              <w:pStyle w:val="TableParagraph"/>
              <w:ind w:right="1"/>
              <w:jc w:val="right"/>
              <w:rPr>
                <w:rFonts w:ascii="Arial"/>
                <w:b/>
                <w:sz w:val="15"/>
              </w:rPr>
            </w:pPr>
            <w:r>
              <w:rPr>
                <w:rFonts w:ascii="Arial"/>
                <w:b/>
                <w:color w:val="231F20"/>
                <w:w w:val="95"/>
                <w:sz w:val="15"/>
              </w:rPr>
              <w:t>74.772</w:t>
            </w:r>
          </w:p>
        </w:tc>
        <w:tc>
          <w:tcPr>
            <w:tcW w:w="921" w:type="dxa"/>
            <w:shd w:val="clear" w:color="auto" w:fill="DCDDDE"/>
          </w:tcPr>
          <w:p w:rsidR="00D1511D" w:rsidRDefault="003F0CB3">
            <w:pPr>
              <w:pStyle w:val="TableParagraph"/>
              <w:jc w:val="right"/>
              <w:rPr>
                <w:rFonts w:ascii="Arial"/>
                <w:b/>
                <w:sz w:val="15"/>
              </w:rPr>
            </w:pPr>
            <w:r>
              <w:rPr>
                <w:rFonts w:ascii="Arial"/>
                <w:b/>
                <w:color w:val="231F20"/>
                <w:w w:val="95"/>
                <w:sz w:val="15"/>
              </w:rPr>
              <w:t>82.671</w:t>
            </w:r>
          </w:p>
        </w:tc>
        <w:tc>
          <w:tcPr>
            <w:tcW w:w="921" w:type="dxa"/>
            <w:shd w:val="clear" w:color="auto" w:fill="DCDDDE"/>
          </w:tcPr>
          <w:p w:rsidR="00D1511D" w:rsidRDefault="003F0CB3">
            <w:pPr>
              <w:pStyle w:val="TableParagraph"/>
              <w:ind w:right="1"/>
              <w:jc w:val="right"/>
              <w:rPr>
                <w:rFonts w:ascii="Arial"/>
                <w:b/>
                <w:sz w:val="15"/>
              </w:rPr>
            </w:pPr>
            <w:r>
              <w:rPr>
                <w:rFonts w:ascii="Arial"/>
                <w:b/>
                <w:color w:val="231F20"/>
                <w:w w:val="95"/>
                <w:sz w:val="15"/>
              </w:rPr>
              <w:t>55.468</w:t>
            </w:r>
          </w:p>
        </w:tc>
        <w:tc>
          <w:tcPr>
            <w:tcW w:w="800" w:type="dxa"/>
            <w:shd w:val="clear" w:color="auto" w:fill="DCDDDE"/>
          </w:tcPr>
          <w:p w:rsidR="00D1511D" w:rsidRDefault="003F0CB3">
            <w:pPr>
              <w:pStyle w:val="TableParagraph"/>
              <w:ind w:right="2"/>
              <w:jc w:val="right"/>
              <w:rPr>
                <w:rFonts w:ascii="Arial"/>
                <w:b/>
                <w:sz w:val="15"/>
              </w:rPr>
            </w:pPr>
            <w:r>
              <w:rPr>
                <w:rFonts w:ascii="Arial"/>
                <w:b/>
                <w:color w:val="231F20"/>
                <w:w w:val="95"/>
                <w:sz w:val="15"/>
              </w:rPr>
              <w:t>54.227</w:t>
            </w:r>
          </w:p>
        </w:tc>
        <w:tc>
          <w:tcPr>
            <w:tcW w:w="861" w:type="dxa"/>
            <w:shd w:val="clear" w:color="auto" w:fill="DCDDDE"/>
          </w:tcPr>
          <w:p w:rsidR="00D1511D" w:rsidRDefault="003F0CB3">
            <w:pPr>
              <w:pStyle w:val="TableParagraph"/>
              <w:ind w:right="3"/>
              <w:jc w:val="right"/>
              <w:rPr>
                <w:rFonts w:ascii="Arial"/>
                <w:b/>
                <w:sz w:val="15"/>
              </w:rPr>
            </w:pPr>
            <w:r>
              <w:rPr>
                <w:rFonts w:ascii="Arial"/>
                <w:b/>
                <w:color w:val="231F20"/>
                <w:w w:val="95"/>
                <w:sz w:val="15"/>
              </w:rPr>
              <w:t>19.227</w:t>
            </w:r>
          </w:p>
        </w:tc>
        <w:tc>
          <w:tcPr>
            <w:tcW w:w="910" w:type="dxa"/>
            <w:shd w:val="clear" w:color="auto" w:fill="DCDDDE"/>
          </w:tcPr>
          <w:p w:rsidR="00D1511D" w:rsidRDefault="003F0CB3">
            <w:pPr>
              <w:pStyle w:val="TableParagraph"/>
              <w:ind w:right="4"/>
              <w:jc w:val="right"/>
              <w:rPr>
                <w:rFonts w:ascii="Arial"/>
                <w:b/>
                <w:sz w:val="15"/>
              </w:rPr>
            </w:pPr>
            <w:r>
              <w:rPr>
                <w:rFonts w:ascii="Arial"/>
                <w:b/>
                <w:color w:val="231F20"/>
                <w:w w:val="95"/>
                <w:sz w:val="15"/>
              </w:rPr>
              <w:t>19.227</w:t>
            </w:r>
          </w:p>
        </w:tc>
        <w:tc>
          <w:tcPr>
            <w:tcW w:w="910" w:type="dxa"/>
            <w:shd w:val="clear" w:color="auto" w:fill="DCDDDE"/>
          </w:tcPr>
          <w:p w:rsidR="00D1511D" w:rsidRDefault="003F0CB3">
            <w:pPr>
              <w:pStyle w:val="TableParagraph"/>
              <w:ind w:right="5"/>
              <w:jc w:val="right"/>
              <w:rPr>
                <w:rFonts w:ascii="Arial"/>
                <w:b/>
                <w:sz w:val="15"/>
              </w:rPr>
            </w:pPr>
            <w:r>
              <w:rPr>
                <w:rFonts w:ascii="Arial"/>
                <w:b/>
                <w:color w:val="231F20"/>
                <w:w w:val="95"/>
                <w:sz w:val="15"/>
              </w:rPr>
              <w:t>498.759</w:t>
            </w:r>
          </w:p>
        </w:tc>
      </w:tr>
      <w:tr w:rsidR="00D1511D">
        <w:trPr>
          <w:trHeight w:val="220"/>
        </w:trPr>
        <w:tc>
          <w:tcPr>
            <w:tcW w:w="5015" w:type="dxa"/>
            <w:shd w:val="clear" w:color="auto" w:fill="81B1DF"/>
          </w:tcPr>
          <w:p w:rsidR="00D1511D" w:rsidRDefault="003F0CB3">
            <w:pPr>
              <w:pStyle w:val="TableParagraph"/>
              <w:ind w:left="28"/>
              <w:rPr>
                <w:rFonts w:ascii="Arial"/>
                <w:b/>
                <w:sz w:val="15"/>
              </w:rPr>
            </w:pPr>
            <w:r>
              <w:rPr>
                <w:rFonts w:ascii="Arial"/>
                <w:b/>
                <w:color w:val="231F20"/>
                <w:sz w:val="15"/>
              </w:rPr>
              <w:t>Queensland Sustainable Fisheries Programs</w:t>
            </w:r>
          </w:p>
        </w:tc>
        <w:tc>
          <w:tcPr>
            <w:tcW w:w="9542" w:type="dxa"/>
            <w:gridSpan w:val="11"/>
            <w:shd w:val="clear" w:color="auto" w:fill="81B1DF"/>
          </w:tcPr>
          <w:p w:rsidR="00D1511D" w:rsidRDefault="00D1511D">
            <w:pPr>
              <w:pStyle w:val="TableParagraph"/>
              <w:spacing w:before="0"/>
              <w:rPr>
                <w:rFonts w:ascii="Times New Roman"/>
                <w:sz w:val="14"/>
              </w:rPr>
            </w:pPr>
          </w:p>
        </w:tc>
      </w:tr>
      <w:tr w:rsidR="00D1511D">
        <w:trPr>
          <w:trHeight w:val="220"/>
        </w:trPr>
        <w:tc>
          <w:tcPr>
            <w:tcW w:w="5015" w:type="dxa"/>
            <w:shd w:val="clear" w:color="auto" w:fill="DCDDDE"/>
          </w:tcPr>
          <w:p w:rsidR="00D1511D" w:rsidRDefault="00D1511D">
            <w:pPr>
              <w:pStyle w:val="TableParagraph"/>
              <w:spacing w:before="0"/>
              <w:rPr>
                <w:rFonts w:ascii="Times New Roman"/>
                <w:sz w:val="14"/>
              </w:rPr>
            </w:pPr>
          </w:p>
        </w:tc>
        <w:tc>
          <w:tcPr>
            <w:tcW w:w="836" w:type="dxa"/>
            <w:shd w:val="clear" w:color="auto" w:fill="949698"/>
          </w:tcPr>
          <w:p w:rsidR="00D1511D" w:rsidRDefault="00D1511D">
            <w:pPr>
              <w:pStyle w:val="TableParagraph"/>
              <w:spacing w:before="0"/>
              <w:rPr>
                <w:rFonts w:ascii="Times New Roman"/>
                <w:sz w:val="14"/>
              </w:rPr>
            </w:pPr>
          </w:p>
        </w:tc>
        <w:tc>
          <w:tcPr>
            <w:tcW w:w="813" w:type="dxa"/>
            <w:shd w:val="clear" w:color="auto" w:fill="DCDDDE"/>
          </w:tcPr>
          <w:p w:rsidR="00D1511D" w:rsidRDefault="003F0CB3">
            <w:pPr>
              <w:pStyle w:val="TableParagraph"/>
              <w:ind w:right="-15"/>
              <w:jc w:val="right"/>
              <w:rPr>
                <w:rFonts w:ascii="Arial"/>
                <w:b/>
                <w:sz w:val="15"/>
              </w:rPr>
            </w:pPr>
            <w:r>
              <w:rPr>
                <w:rFonts w:ascii="Arial"/>
                <w:b/>
                <w:color w:val="231F20"/>
                <w:w w:val="95"/>
                <w:sz w:val="15"/>
              </w:rPr>
              <w:t>7.001</w:t>
            </w:r>
          </w:p>
        </w:tc>
        <w:tc>
          <w:tcPr>
            <w:tcW w:w="849" w:type="dxa"/>
            <w:shd w:val="clear" w:color="auto" w:fill="DCDDDE"/>
          </w:tcPr>
          <w:p w:rsidR="00D1511D" w:rsidRDefault="003F0CB3">
            <w:pPr>
              <w:pStyle w:val="TableParagraph"/>
              <w:ind w:right="-15"/>
              <w:jc w:val="right"/>
              <w:rPr>
                <w:rFonts w:ascii="Arial"/>
                <w:b/>
                <w:sz w:val="15"/>
              </w:rPr>
            </w:pPr>
            <w:r>
              <w:rPr>
                <w:rFonts w:ascii="Arial"/>
                <w:b/>
                <w:color w:val="231F20"/>
                <w:w w:val="95"/>
                <w:sz w:val="15"/>
              </w:rPr>
              <w:t>2.674</w:t>
            </w:r>
          </w:p>
        </w:tc>
        <w:tc>
          <w:tcPr>
            <w:tcW w:w="836" w:type="dxa"/>
            <w:shd w:val="clear" w:color="auto" w:fill="DCDDDE"/>
          </w:tcPr>
          <w:p w:rsidR="00D1511D" w:rsidRDefault="003F0CB3">
            <w:pPr>
              <w:pStyle w:val="TableParagraph"/>
              <w:jc w:val="right"/>
              <w:rPr>
                <w:rFonts w:ascii="Arial"/>
                <w:b/>
                <w:sz w:val="15"/>
              </w:rPr>
            </w:pPr>
            <w:r>
              <w:rPr>
                <w:rFonts w:ascii="Arial"/>
                <w:b/>
                <w:color w:val="231F20"/>
                <w:w w:val="95"/>
                <w:sz w:val="15"/>
              </w:rPr>
              <w:t>6.439</w:t>
            </w:r>
          </w:p>
        </w:tc>
        <w:tc>
          <w:tcPr>
            <w:tcW w:w="885" w:type="dxa"/>
            <w:shd w:val="clear" w:color="auto" w:fill="DCDDDE"/>
          </w:tcPr>
          <w:p w:rsidR="00D1511D" w:rsidRDefault="003F0CB3">
            <w:pPr>
              <w:pStyle w:val="TableParagraph"/>
              <w:ind w:right="1"/>
              <w:jc w:val="right"/>
              <w:rPr>
                <w:rFonts w:ascii="Arial"/>
                <w:b/>
                <w:sz w:val="15"/>
              </w:rPr>
            </w:pPr>
            <w:r>
              <w:rPr>
                <w:rFonts w:ascii="Arial"/>
                <w:b/>
                <w:color w:val="231F20"/>
                <w:w w:val="95"/>
                <w:sz w:val="15"/>
              </w:rPr>
              <w:t>7.697</w:t>
            </w:r>
          </w:p>
        </w:tc>
        <w:tc>
          <w:tcPr>
            <w:tcW w:w="921" w:type="dxa"/>
            <w:shd w:val="clear" w:color="auto" w:fill="DCDDDE"/>
          </w:tcPr>
          <w:p w:rsidR="00D1511D" w:rsidRDefault="003F0CB3">
            <w:pPr>
              <w:pStyle w:val="TableParagraph"/>
              <w:jc w:val="right"/>
              <w:rPr>
                <w:rFonts w:ascii="Arial"/>
                <w:b/>
                <w:sz w:val="15"/>
              </w:rPr>
            </w:pPr>
            <w:r>
              <w:rPr>
                <w:rFonts w:ascii="Arial"/>
                <w:b/>
                <w:color w:val="231F20"/>
                <w:w w:val="95"/>
                <w:sz w:val="15"/>
              </w:rPr>
              <w:t>9.541</w:t>
            </w:r>
          </w:p>
        </w:tc>
        <w:tc>
          <w:tcPr>
            <w:tcW w:w="921" w:type="dxa"/>
            <w:shd w:val="clear" w:color="auto" w:fill="DCDDDE"/>
          </w:tcPr>
          <w:p w:rsidR="00D1511D" w:rsidRDefault="003F0CB3">
            <w:pPr>
              <w:pStyle w:val="TableParagraph"/>
              <w:ind w:right="1"/>
              <w:jc w:val="right"/>
              <w:rPr>
                <w:rFonts w:ascii="Arial"/>
                <w:b/>
                <w:sz w:val="15"/>
              </w:rPr>
            </w:pPr>
            <w:r>
              <w:rPr>
                <w:rFonts w:ascii="Arial"/>
                <w:b/>
                <w:color w:val="231F20"/>
                <w:w w:val="95"/>
                <w:sz w:val="15"/>
              </w:rPr>
              <w:t>8.500</w:t>
            </w:r>
          </w:p>
        </w:tc>
        <w:tc>
          <w:tcPr>
            <w:tcW w:w="800" w:type="dxa"/>
            <w:shd w:val="clear" w:color="auto" w:fill="C6C8CA"/>
          </w:tcPr>
          <w:p w:rsidR="00D1511D" w:rsidRDefault="003F0CB3">
            <w:pPr>
              <w:pStyle w:val="TableParagraph"/>
              <w:ind w:left="236"/>
              <w:rPr>
                <w:rFonts w:ascii="Arial"/>
                <w:b/>
                <w:sz w:val="15"/>
              </w:rPr>
            </w:pPr>
            <w:r>
              <w:rPr>
                <w:rFonts w:ascii="Arial"/>
                <w:b/>
                <w:color w:val="231F20"/>
                <w:sz w:val="15"/>
              </w:rPr>
              <w:t>TBD</w:t>
            </w:r>
          </w:p>
        </w:tc>
        <w:tc>
          <w:tcPr>
            <w:tcW w:w="861" w:type="dxa"/>
            <w:shd w:val="clear" w:color="auto" w:fill="C6C8CA"/>
          </w:tcPr>
          <w:p w:rsidR="00D1511D" w:rsidRDefault="003F0CB3">
            <w:pPr>
              <w:pStyle w:val="TableParagraph"/>
              <w:ind w:left="266"/>
              <w:rPr>
                <w:rFonts w:ascii="Arial"/>
                <w:b/>
                <w:sz w:val="15"/>
              </w:rPr>
            </w:pPr>
            <w:r>
              <w:rPr>
                <w:rFonts w:ascii="Arial"/>
                <w:b/>
                <w:color w:val="231F20"/>
                <w:sz w:val="15"/>
              </w:rPr>
              <w:t>TBD</w:t>
            </w:r>
          </w:p>
        </w:tc>
        <w:tc>
          <w:tcPr>
            <w:tcW w:w="910" w:type="dxa"/>
            <w:shd w:val="clear" w:color="auto" w:fill="C6C8CA"/>
          </w:tcPr>
          <w:p w:rsidR="00D1511D" w:rsidRDefault="003F0CB3">
            <w:pPr>
              <w:pStyle w:val="TableParagraph"/>
              <w:ind w:left="291"/>
              <w:rPr>
                <w:rFonts w:ascii="Arial"/>
                <w:b/>
                <w:sz w:val="15"/>
              </w:rPr>
            </w:pPr>
            <w:r>
              <w:rPr>
                <w:rFonts w:ascii="Arial"/>
                <w:b/>
                <w:color w:val="231F20"/>
                <w:sz w:val="15"/>
              </w:rPr>
              <w:t>TBD</w:t>
            </w:r>
          </w:p>
        </w:tc>
        <w:tc>
          <w:tcPr>
            <w:tcW w:w="910" w:type="dxa"/>
            <w:shd w:val="clear" w:color="auto" w:fill="DCDDDE"/>
          </w:tcPr>
          <w:p w:rsidR="00D1511D" w:rsidRDefault="003F0CB3">
            <w:pPr>
              <w:pStyle w:val="TableParagraph"/>
              <w:ind w:right="5"/>
              <w:jc w:val="right"/>
              <w:rPr>
                <w:rFonts w:ascii="Arial"/>
                <w:b/>
                <w:sz w:val="15"/>
              </w:rPr>
            </w:pPr>
            <w:r>
              <w:rPr>
                <w:rFonts w:ascii="Arial"/>
                <w:b/>
                <w:color w:val="231F20"/>
                <w:w w:val="95"/>
                <w:sz w:val="15"/>
              </w:rPr>
              <w:t>41.852</w:t>
            </w:r>
          </w:p>
        </w:tc>
      </w:tr>
      <w:tr w:rsidR="00D1511D">
        <w:trPr>
          <w:trHeight w:val="220"/>
        </w:trPr>
        <w:tc>
          <w:tcPr>
            <w:tcW w:w="5015" w:type="dxa"/>
            <w:shd w:val="clear" w:color="auto" w:fill="81B1DF"/>
          </w:tcPr>
          <w:p w:rsidR="00D1511D" w:rsidRDefault="003F0CB3">
            <w:pPr>
              <w:pStyle w:val="TableParagraph"/>
              <w:ind w:left="28"/>
              <w:rPr>
                <w:rFonts w:ascii="Arial"/>
                <w:b/>
                <w:sz w:val="15"/>
              </w:rPr>
            </w:pPr>
            <w:r>
              <w:rPr>
                <w:rFonts w:ascii="Arial"/>
                <w:b/>
                <w:color w:val="231F20"/>
                <w:sz w:val="15"/>
              </w:rPr>
              <w:t>Maritime Safety Queensland</w:t>
            </w:r>
          </w:p>
        </w:tc>
        <w:tc>
          <w:tcPr>
            <w:tcW w:w="9542" w:type="dxa"/>
            <w:gridSpan w:val="11"/>
            <w:shd w:val="clear" w:color="auto" w:fill="81B1DF"/>
          </w:tcPr>
          <w:p w:rsidR="00D1511D" w:rsidRDefault="00D1511D">
            <w:pPr>
              <w:pStyle w:val="TableParagraph"/>
              <w:spacing w:before="0"/>
              <w:rPr>
                <w:rFonts w:ascii="Times New Roman"/>
                <w:sz w:val="14"/>
              </w:rPr>
            </w:pPr>
          </w:p>
        </w:tc>
      </w:tr>
      <w:tr w:rsidR="00D1511D">
        <w:trPr>
          <w:trHeight w:val="220"/>
        </w:trPr>
        <w:tc>
          <w:tcPr>
            <w:tcW w:w="5015" w:type="dxa"/>
            <w:tcBorders>
              <w:left w:val="nil"/>
            </w:tcBorders>
            <w:shd w:val="clear" w:color="auto" w:fill="DCDDDE"/>
          </w:tcPr>
          <w:p w:rsidR="00D1511D" w:rsidRDefault="00D1511D">
            <w:pPr>
              <w:pStyle w:val="TableParagraph"/>
              <w:spacing w:before="0"/>
              <w:rPr>
                <w:rFonts w:ascii="Times New Roman"/>
                <w:sz w:val="14"/>
              </w:rPr>
            </w:pPr>
          </w:p>
        </w:tc>
        <w:tc>
          <w:tcPr>
            <w:tcW w:w="836" w:type="dxa"/>
            <w:shd w:val="clear" w:color="auto" w:fill="DCDDDE"/>
          </w:tcPr>
          <w:p w:rsidR="00D1511D" w:rsidRDefault="003F0CB3">
            <w:pPr>
              <w:pStyle w:val="TableParagraph"/>
              <w:ind w:right="-15"/>
              <w:jc w:val="right"/>
              <w:rPr>
                <w:rFonts w:ascii="Arial"/>
                <w:b/>
                <w:sz w:val="15"/>
              </w:rPr>
            </w:pPr>
            <w:r>
              <w:rPr>
                <w:rFonts w:ascii="Arial"/>
                <w:b/>
                <w:color w:val="231F20"/>
                <w:w w:val="95"/>
                <w:sz w:val="15"/>
              </w:rPr>
              <w:t>28.000</w:t>
            </w:r>
          </w:p>
        </w:tc>
        <w:tc>
          <w:tcPr>
            <w:tcW w:w="813" w:type="dxa"/>
            <w:shd w:val="clear" w:color="auto" w:fill="DCDDDE"/>
          </w:tcPr>
          <w:p w:rsidR="00D1511D" w:rsidRDefault="003F0CB3">
            <w:pPr>
              <w:pStyle w:val="TableParagraph"/>
              <w:ind w:right="-15"/>
              <w:jc w:val="right"/>
              <w:rPr>
                <w:rFonts w:ascii="Arial"/>
                <w:b/>
                <w:sz w:val="15"/>
              </w:rPr>
            </w:pPr>
            <w:r>
              <w:rPr>
                <w:rFonts w:ascii="Arial"/>
                <w:b/>
                <w:color w:val="231F20"/>
                <w:w w:val="95"/>
                <w:sz w:val="15"/>
              </w:rPr>
              <w:t>28.000</w:t>
            </w:r>
          </w:p>
        </w:tc>
        <w:tc>
          <w:tcPr>
            <w:tcW w:w="849" w:type="dxa"/>
            <w:shd w:val="clear" w:color="auto" w:fill="DCDDDE"/>
          </w:tcPr>
          <w:p w:rsidR="00D1511D" w:rsidRDefault="003F0CB3">
            <w:pPr>
              <w:pStyle w:val="TableParagraph"/>
              <w:ind w:right="-15"/>
              <w:jc w:val="right"/>
              <w:rPr>
                <w:rFonts w:ascii="Arial"/>
                <w:b/>
                <w:sz w:val="15"/>
              </w:rPr>
            </w:pPr>
            <w:r>
              <w:rPr>
                <w:rFonts w:ascii="Arial"/>
                <w:b/>
                <w:color w:val="231F20"/>
                <w:w w:val="95"/>
                <w:sz w:val="15"/>
              </w:rPr>
              <w:t>28.000</w:t>
            </w:r>
          </w:p>
        </w:tc>
        <w:tc>
          <w:tcPr>
            <w:tcW w:w="836" w:type="dxa"/>
            <w:shd w:val="clear" w:color="auto" w:fill="DCDDDE"/>
          </w:tcPr>
          <w:p w:rsidR="00D1511D" w:rsidRDefault="003F0CB3">
            <w:pPr>
              <w:pStyle w:val="TableParagraph"/>
              <w:jc w:val="right"/>
              <w:rPr>
                <w:rFonts w:ascii="Arial"/>
                <w:b/>
                <w:sz w:val="15"/>
              </w:rPr>
            </w:pPr>
            <w:r>
              <w:rPr>
                <w:rFonts w:ascii="Arial"/>
                <w:b/>
                <w:color w:val="231F20"/>
                <w:w w:val="95"/>
                <w:sz w:val="15"/>
              </w:rPr>
              <w:t>28.000</w:t>
            </w:r>
          </w:p>
        </w:tc>
        <w:tc>
          <w:tcPr>
            <w:tcW w:w="885" w:type="dxa"/>
            <w:shd w:val="clear" w:color="auto" w:fill="DCDDDE"/>
          </w:tcPr>
          <w:p w:rsidR="00D1511D" w:rsidRDefault="003F0CB3">
            <w:pPr>
              <w:pStyle w:val="TableParagraph"/>
              <w:ind w:right="1"/>
              <w:jc w:val="right"/>
              <w:rPr>
                <w:rFonts w:ascii="Arial"/>
                <w:b/>
                <w:sz w:val="15"/>
              </w:rPr>
            </w:pPr>
            <w:r>
              <w:rPr>
                <w:rFonts w:ascii="Arial"/>
                <w:b/>
                <w:color w:val="231F20"/>
                <w:w w:val="95"/>
                <w:sz w:val="15"/>
              </w:rPr>
              <w:t>28.000</w:t>
            </w:r>
          </w:p>
        </w:tc>
        <w:tc>
          <w:tcPr>
            <w:tcW w:w="921" w:type="dxa"/>
            <w:shd w:val="clear" w:color="auto" w:fill="DCDDDE"/>
          </w:tcPr>
          <w:p w:rsidR="00D1511D" w:rsidRDefault="003F0CB3">
            <w:pPr>
              <w:pStyle w:val="TableParagraph"/>
              <w:jc w:val="right"/>
              <w:rPr>
                <w:rFonts w:ascii="Arial"/>
                <w:b/>
                <w:sz w:val="15"/>
              </w:rPr>
            </w:pPr>
            <w:r>
              <w:rPr>
                <w:rFonts w:ascii="Arial"/>
                <w:b/>
                <w:color w:val="231F20"/>
                <w:w w:val="95"/>
                <w:sz w:val="15"/>
              </w:rPr>
              <w:t>28.000</w:t>
            </w:r>
          </w:p>
        </w:tc>
        <w:tc>
          <w:tcPr>
            <w:tcW w:w="921" w:type="dxa"/>
            <w:shd w:val="clear" w:color="auto" w:fill="DCDDDE"/>
          </w:tcPr>
          <w:p w:rsidR="00D1511D" w:rsidRDefault="003F0CB3">
            <w:pPr>
              <w:pStyle w:val="TableParagraph"/>
              <w:ind w:right="1"/>
              <w:jc w:val="right"/>
              <w:rPr>
                <w:rFonts w:ascii="Arial"/>
                <w:b/>
                <w:sz w:val="15"/>
              </w:rPr>
            </w:pPr>
            <w:r>
              <w:rPr>
                <w:rFonts w:ascii="Arial"/>
                <w:b/>
                <w:color w:val="231F20"/>
                <w:w w:val="95"/>
                <w:sz w:val="15"/>
              </w:rPr>
              <w:t>28.000</w:t>
            </w:r>
          </w:p>
        </w:tc>
        <w:tc>
          <w:tcPr>
            <w:tcW w:w="800" w:type="dxa"/>
            <w:shd w:val="clear" w:color="auto" w:fill="DCDDDE"/>
          </w:tcPr>
          <w:p w:rsidR="00D1511D" w:rsidRDefault="003F0CB3">
            <w:pPr>
              <w:pStyle w:val="TableParagraph"/>
              <w:ind w:right="2"/>
              <w:jc w:val="right"/>
              <w:rPr>
                <w:rFonts w:ascii="Arial"/>
                <w:b/>
                <w:sz w:val="15"/>
              </w:rPr>
            </w:pPr>
            <w:r>
              <w:rPr>
                <w:rFonts w:ascii="Arial"/>
                <w:b/>
                <w:color w:val="231F20"/>
                <w:w w:val="95"/>
                <w:sz w:val="15"/>
              </w:rPr>
              <w:t>28.000</w:t>
            </w:r>
          </w:p>
        </w:tc>
        <w:tc>
          <w:tcPr>
            <w:tcW w:w="861" w:type="dxa"/>
            <w:shd w:val="clear" w:color="auto" w:fill="DCDDDE"/>
          </w:tcPr>
          <w:p w:rsidR="00D1511D" w:rsidRDefault="003F0CB3">
            <w:pPr>
              <w:pStyle w:val="TableParagraph"/>
              <w:ind w:right="3"/>
              <w:jc w:val="right"/>
              <w:rPr>
                <w:rFonts w:ascii="Arial"/>
                <w:b/>
                <w:sz w:val="15"/>
              </w:rPr>
            </w:pPr>
            <w:r>
              <w:rPr>
                <w:rFonts w:ascii="Arial"/>
                <w:b/>
                <w:color w:val="231F20"/>
                <w:w w:val="95"/>
                <w:sz w:val="15"/>
              </w:rPr>
              <w:t>28.000</w:t>
            </w:r>
          </w:p>
        </w:tc>
        <w:tc>
          <w:tcPr>
            <w:tcW w:w="910" w:type="dxa"/>
            <w:shd w:val="clear" w:color="auto" w:fill="DCDDDE"/>
          </w:tcPr>
          <w:p w:rsidR="00D1511D" w:rsidRDefault="003F0CB3">
            <w:pPr>
              <w:pStyle w:val="TableParagraph"/>
              <w:ind w:right="4"/>
              <w:jc w:val="right"/>
              <w:rPr>
                <w:rFonts w:ascii="Arial"/>
                <w:b/>
                <w:sz w:val="15"/>
              </w:rPr>
            </w:pPr>
            <w:r>
              <w:rPr>
                <w:rFonts w:ascii="Arial"/>
                <w:b/>
                <w:color w:val="231F20"/>
                <w:w w:val="95"/>
                <w:sz w:val="15"/>
              </w:rPr>
              <w:t>28.000</w:t>
            </w:r>
          </w:p>
        </w:tc>
        <w:tc>
          <w:tcPr>
            <w:tcW w:w="910" w:type="dxa"/>
            <w:shd w:val="clear" w:color="auto" w:fill="DCDDDE"/>
          </w:tcPr>
          <w:p w:rsidR="00D1511D" w:rsidRDefault="003F0CB3">
            <w:pPr>
              <w:pStyle w:val="TableParagraph"/>
              <w:ind w:right="5"/>
              <w:jc w:val="right"/>
              <w:rPr>
                <w:rFonts w:ascii="Arial"/>
                <w:b/>
                <w:sz w:val="15"/>
              </w:rPr>
            </w:pPr>
            <w:r>
              <w:rPr>
                <w:rFonts w:ascii="Arial"/>
                <w:b/>
                <w:color w:val="231F20"/>
                <w:w w:val="95"/>
                <w:sz w:val="15"/>
              </w:rPr>
              <w:t>280.000</w:t>
            </w:r>
          </w:p>
        </w:tc>
      </w:tr>
      <w:tr w:rsidR="00D1511D">
        <w:trPr>
          <w:trHeight w:val="220"/>
        </w:trPr>
        <w:tc>
          <w:tcPr>
            <w:tcW w:w="5015" w:type="dxa"/>
            <w:shd w:val="clear" w:color="auto" w:fill="88C765"/>
          </w:tcPr>
          <w:p w:rsidR="00D1511D" w:rsidRDefault="003F0CB3">
            <w:pPr>
              <w:pStyle w:val="TableParagraph"/>
              <w:ind w:right="-15"/>
              <w:jc w:val="right"/>
              <w:rPr>
                <w:rFonts w:ascii="Arial"/>
                <w:b/>
                <w:sz w:val="15"/>
              </w:rPr>
            </w:pPr>
            <w:r>
              <w:rPr>
                <w:rFonts w:ascii="Arial"/>
                <w:b/>
                <w:color w:val="231F20"/>
                <w:sz w:val="15"/>
              </w:rPr>
              <w:t>Queensland Total</w:t>
            </w:r>
          </w:p>
        </w:tc>
        <w:tc>
          <w:tcPr>
            <w:tcW w:w="836" w:type="dxa"/>
            <w:shd w:val="clear" w:color="auto" w:fill="88C765"/>
          </w:tcPr>
          <w:p w:rsidR="00D1511D" w:rsidRDefault="003F0CB3">
            <w:pPr>
              <w:pStyle w:val="TableParagraph"/>
              <w:ind w:right="-15"/>
              <w:jc w:val="right"/>
              <w:rPr>
                <w:rFonts w:ascii="Arial"/>
                <w:b/>
                <w:sz w:val="15"/>
              </w:rPr>
            </w:pPr>
            <w:r>
              <w:rPr>
                <w:rFonts w:ascii="Arial"/>
                <w:b/>
                <w:color w:val="231F20"/>
                <w:w w:val="95"/>
                <w:sz w:val="15"/>
              </w:rPr>
              <w:t>71.372</w:t>
            </w:r>
          </w:p>
        </w:tc>
        <w:tc>
          <w:tcPr>
            <w:tcW w:w="813" w:type="dxa"/>
            <w:shd w:val="clear" w:color="auto" w:fill="88C765"/>
          </w:tcPr>
          <w:p w:rsidR="00D1511D" w:rsidRDefault="003F0CB3">
            <w:pPr>
              <w:pStyle w:val="TableParagraph"/>
              <w:ind w:right="-15"/>
              <w:jc w:val="right"/>
              <w:rPr>
                <w:rFonts w:ascii="Arial"/>
                <w:b/>
                <w:sz w:val="15"/>
              </w:rPr>
            </w:pPr>
            <w:r>
              <w:rPr>
                <w:rFonts w:ascii="Arial"/>
                <w:b/>
                <w:color w:val="231F20"/>
                <w:w w:val="95"/>
                <w:sz w:val="15"/>
              </w:rPr>
              <w:t>76.798</w:t>
            </w:r>
          </w:p>
        </w:tc>
        <w:tc>
          <w:tcPr>
            <w:tcW w:w="849" w:type="dxa"/>
            <w:shd w:val="clear" w:color="auto" w:fill="88C765"/>
          </w:tcPr>
          <w:p w:rsidR="00D1511D" w:rsidRDefault="003F0CB3">
            <w:pPr>
              <w:pStyle w:val="TableParagraph"/>
              <w:ind w:right="-15"/>
              <w:jc w:val="right"/>
              <w:rPr>
                <w:rFonts w:ascii="Arial"/>
                <w:b/>
                <w:sz w:val="15"/>
              </w:rPr>
            </w:pPr>
            <w:r>
              <w:rPr>
                <w:rFonts w:ascii="Arial"/>
                <w:b/>
                <w:color w:val="231F20"/>
                <w:w w:val="95"/>
                <w:sz w:val="15"/>
              </w:rPr>
              <w:t>86.585</w:t>
            </w:r>
          </w:p>
        </w:tc>
        <w:tc>
          <w:tcPr>
            <w:tcW w:w="836" w:type="dxa"/>
            <w:shd w:val="clear" w:color="auto" w:fill="88C765"/>
          </w:tcPr>
          <w:p w:rsidR="00D1511D" w:rsidRDefault="003F0CB3">
            <w:pPr>
              <w:pStyle w:val="TableParagraph"/>
              <w:jc w:val="right"/>
              <w:rPr>
                <w:rFonts w:ascii="Arial"/>
                <w:b/>
                <w:sz w:val="15"/>
              </w:rPr>
            </w:pPr>
            <w:r>
              <w:rPr>
                <w:rFonts w:ascii="Arial"/>
                <w:b/>
                <w:color w:val="231F20"/>
                <w:w w:val="95"/>
                <w:sz w:val="15"/>
              </w:rPr>
              <w:t>86.526</w:t>
            </w:r>
          </w:p>
        </w:tc>
        <w:tc>
          <w:tcPr>
            <w:tcW w:w="885" w:type="dxa"/>
            <w:shd w:val="clear" w:color="auto" w:fill="88C765"/>
          </w:tcPr>
          <w:p w:rsidR="00D1511D" w:rsidRDefault="003F0CB3">
            <w:pPr>
              <w:pStyle w:val="TableParagraph"/>
              <w:ind w:right="1"/>
              <w:jc w:val="right"/>
              <w:rPr>
                <w:rFonts w:ascii="Arial"/>
                <w:b/>
                <w:sz w:val="15"/>
              </w:rPr>
            </w:pPr>
            <w:r>
              <w:rPr>
                <w:rFonts w:ascii="Arial"/>
                <w:b/>
                <w:color w:val="231F20"/>
                <w:w w:val="95"/>
                <w:sz w:val="15"/>
              </w:rPr>
              <w:t>110.469</w:t>
            </w:r>
          </w:p>
        </w:tc>
        <w:tc>
          <w:tcPr>
            <w:tcW w:w="921" w:type="dxa"/>
            <w:shd w:val="clear" w:color="auto" w:fill="88C765"/>
          </w:tcPr>
          <w:p w:rsidR="00D1511D" w:rsidRDefault="003F0CB3">
            <w:pPr>
              <w:pStyle w:val="TableParagraph"/>
              <w:jc w:val="right"/>
              <w:rPr>
                <w:rFonts w:ascii="Arial"/>
                <w:b/>
                <w:sz w:val="15"/>
              </w:rPr>
            </w:pPr>
            <w:r>
              <w:rPr>
                <w:rFonts w:ascii="Arial"/>
                <w:b/>
                <w:color w:val="231F20"/>
                <w:w w:val="95"/>
                <w:sz w:val="15"/>
              </w:rPr>
              <w:t>120.212</w:t>
            </w:r>
          </w:p>
        </w:tc>
        <w:tc>
          <w:tcPr>
            <w:tcW w:w="921" w:type="dxa"/>
            <w:shd w:val="clear" w:color="auto" w:fill="88C765"/>
          </w:tcPr>
          <w:p w:rsidR="00D1511D" w:rsidRDefault="003F0CB3">
            <w:pPr>
              <w:pStyle w:val="TableParagraph"/>
              <w:ind w:right="1"/>
              <w:jc w:val="right"/>
              <w:rPr>
                <w:rFonts w:ascii="Arial"/>
                <w:b/>
                <w:sz w:val="15"/>
              </w:rPr>
            </w:pPr>
            <w:r>
              <w:rPr>
                <w:rFonts w:ascii="Arial"/>
                <w:b/>
                <w:color w:val="231F20"/>
                <w:w w:val="95"/>
                <w:sz w:val="15"/>
              </w:rPr>
              <w:t>91.968</w:t>
            </w:r>
          </w:p>
        </w:tc>
        <w:tc>
          <w:tcPr>
            <w:tcW w:w="800" w:type="dxa"/>
            <w:shd w:val="clear" w:color="auto" w:fill="88C765"/>
          </w:tcPr>
          <w:p w:rsidR="00D1511D" w:rsidRDefault="003F0CB3">
            <w:pPr>
              <w:pStyle w:val="TableParagraph"/>
              <w:ind w:right="2"/>
              <w:jc w:val="right"/>
              <w:rPr>
                <w:rFonts w:ascii="Arial"/>
                <w:b/>
                <w:sz w:val="15"/>
              </w:rPr>
            </w:pPr>
            <w:r>
              <w:rPr>
                <w:rFonts w:ascii="Arial"/>
                <w:b/>
                <w:color w:val="231F20"/>
                <w:w w:val="95"/>
                <w:sz w:val="15"/>
              </w:rPr>
              <w:t>82.227</w:t>
            </w:r>
          </w:p>
        </w:tc>
        <w:tc>
          <w:tcPr>
            <w:tcW w:w="861" w:type="dxa"/>
            <w:shd w:val="clear" w:color="auto" w:fill="88C765"/>
          </w:tcPr>
          <w:p w:rsidR="00D1511D" w:rsidRDefault="003F0CB3">
            <w:pPr>
              <w:pStyle w:val="TableParagraph"/>
              <w:ind w:right="3"/>
              <w:jc w:val="right"/>
              <w:rPr>
                <w:rFonts w:ascii="Arial"/>
                <w:b/>
                <w:sz w:val="15"/>
              </w:rPr>
            </w:pPr>
            <w:r>
              <w:rPr>
                <w:rFonts w:ascii="Arial"/>
                <w:b/>
                <w:color w:val="231F20"/>
                <w:w w:val="95"/>
                <w:sz w:val="15"/>
              </w:rPr>
              <w:t>47.227</w:t>
            </w:r>
          </w:p>
        </w:tc>
        <w:tc>
          <w:tcPr>
            <w:tcW w:w="910" w:type="dxa"/>
            <w:shd w:val="clear" w:color="auto" w:fill="88C765"/>
          </w:tcPr>
          <w:p w:rsidR="00D1511D" w:rsidRDefault="003F0CB3">
            <w:pPr>
              <w:pStyle w:val="TableParagraph"/>
              <w:ind w:right="4"/>
              <w:jc w:val="right"/>
              <w:rPr>
                <w:rFonts w:ascii="Arial"/>
                <w:b/>
                <w:sz w:val="15"/>
              </w:rPr>
            </w:pPr>
            <w:r>
              <w:rPr>
                <w:rFonts w:ascii="Arial"/>
                <w:b/>
                <w:color w:val="231F20"/>
                <w:w w:val="95"/>
                <w:sz w:val="15"/>
              </w:rPr>
              <w:t>47.227</w:t>
            </w:r>
          </w:p>
        </w:tc>
        <w:tc>
          <w:tcPr>
            <w:tcW w:w="910" w:type="dxa"/>
            <w:shd w:val="clear" w:color="auto" w:fill="88C765"/>
          </w:tcPr>
          <w:p w:rsidR="00D1511D" w:rsidRDefault="003F0CB3">
            <w:pPr>
              <w:pStyle w:val="TableParagraph"/>
              <w:ind w:right="5"/>
              <w:jc w:val="right"/>
              <w:rPr>
                <w:rFonts w:ascii="Arial"/>
                <w:b/>
                <w:sz w:val="15"/>
              </w:rPr>
            </w:pPr>
            <w:r>
              <w:rPr>
                <w:rFonts w:ascii="Arial"/>
                <w:b/>
                <w:color w:val="231F20"/>
                <w:w w:val="95"/>
                <w:sz w:val="15"/>
              </w:rPr>
              <w:t>820.611</w:t>
            </w:r>
          </w:p>
        </w:tc>
      </w:tr>
      <w:tr w:rsidR="00D1511D">
        <w:trPr>
          <w:trHeight w:val="220"/>
        </w:trPr>
        <w:tc>
          <w:tcPr>
            <w:tcW w:w="5015" w:type="dxa"/>
            <w:shd w:val="clear" w:color="auto" w:fill="00B161"/>
          </w:tcPr>
          <w:p w:rsidR="00D1511D" w:rsidRDefault="003F0CB3">
            <w:pPr>
              <w:pStyle w:val="TableParagraph"/>
              <w:ind w:right="-15"/>
              <w:jc w:val="right"/>
              <w:rPr>
                <w:rFonts w:ascii="Arial"/>
                <w:b/>
                <w:sz w:val="15"/>
              </w:rPr>
            </w:pPr>
            <w:r>
              <w:rPr>
                <w:rFonts w:ascii="Arial"/>
                <w:b/>
                <w:color w:val="231F20"/>
                <w:sz w:val="15"/>
              </w:rPr>
              <w:t>TOTAL</w:t>
            </w:r>
          </w:p>
        </w:tc>
        <w:tc>
          <w:tcPr>
            <w:tcW w:w="836" w:type="dxa"/>
            <w:shd w:val="clear" w:color="auto" w:fill="00B161"/>
          </w:tcPr>
          <w:p w:rsidR="00D1511D" w:rsidRDefault="003F0CB3">
            <w:pPr>
              <w:pStyle w:val="TableParagraph"/>
              <w:ind w:right="-15"/>
              <w:jc w:val="right"/>
              <w:rPr>
                <w:rFonts w:ascii="Arial"/>
                <w:b/>
                <w:sz w:val="15"/>
              </w:rPr>
            </w:pPr>
            <w:r>
              <w:rPr>
                <w:rFonts w:ascii="Arial"/>
                <w:b/>
                <w:color w:val="231F20"/>
                <w:w w:val="95"/>
                <w:sz w:val="15"/>
              </w:rPr>
              <w:t>198.572</w:t>
            </w:r>
          </w:p>
        </w:tc>
        <w:tc>
          <w:tcPr>
            <w:tcW w:w="813" w:type="dxa"/>
            <w:shd w:val="clear" w:color="auto" w:fill="00B161"/>
          </w:tcPr>
          <w:p w:rsidR="00D1511D" w:rsidRDefault="003F0CB3">
            <w:pPr>
              <w:pStyle w:val="TableParagraph"/>
              <w:ind w:right="-15"/>
              <w:jc w:val="right"/>
              <w:rPr>
                <w:rFonts w:ascii="Arial"/>
                <w:b/>
                <w:sz w:val="15"/>
              </w:rPr>
            </w:pPr>
            <w:r>
              <w:rPr>
                <w:rFonts w:ascii="Arial"/>
                <w:b/>
                <w:color w:val="231F20"/>
                <w:w w:val="95"/>
                <w:sz w:val="15"/>
              </w:rPr>
              <w:t>215.480</w:t>
            </w:r>
          </w:p>
        </w:tc>
        <w:tc>
          <w:tcPr>
            <w:tcW w:w="849" w:type="dxa"/>
            <w:shd w:val="clear" w:color="auto" w:fill="00B161"/>
          </w:tcPr>
          <w:p w:rsidR="00D1511D" w:rsidRDefault="003F0CB3">
            <w:pPr>
              <w:pStyle w:val="TableParagraph"/>
              <w:ind w:right="-15"/>
              <w:jc w:val="right"/>
              <w:rPr>
                <w:rFonts w:ascii="Arial"/>
                <w:b/>
                <w:sz w:val="15"/>
              </w:rPr>
            </w:pPr>
            <w:r>
              <w:rPr>
                <w:rFonts w:ascii="Arial"/>
                <w:b/>
                <w:color w:val="231F20"/>
                <w:w w:val="95"/>
                <w:sz w:val="15"/>
              </w:rPr>
              <w:t>220.385</w:t>
            </w:r>
          </w:p>
        </w:tc>
        <w:tc>
          <w:tcPr>
            <w:tcW w:w="836" w:type="dxa"/>
            <w:shd w:val="clear" w:color="auto" w:fill="00B161"/>
          </w:tcPr>
          <w:p w:rsidR="00D1511D" w:rsidRDefault="003F0CB3">
            <w:pPr>
              <w:pStyle w:val="TableParagraph"/>
              <w:jc w:val="right"/>
              <w:rPr>
                <w:rFonts w:ascii="Arial"/>
                <w:b/>
                <w:sz w:val="15"/>
              </w:rPr>
            </w:pPr>
            <w:r>
              <w:rPr>
                <w:rFonts w:ascii="Arial"/>
                <w:b/>
                <w:color w:val="231F20"/>
                <w:w w:val="95"/>
                <w:sz w:val="15"/>
              </w:rPr>
              <w:t>700.387</w:t>
            </w:r>
          </w:p>
        </w:tc>
        <w:tc>
          <w:tcPr>
            <w:tcW w:w="885" w:type="dxa"/>
            <w:shd w:val="clear" w:color="auto" w:fill="00B161"/>
          </w:tcPr>
          <w:p w:rsidR="00D1511D" w:rsidRDefault="003F0CB3">
            <w:pPr>
              <w:pStyle w:val="TableParagraph"/>
              <w:ind w:right="1"/>
              <w:jc w:val="right"/>
              <w:rPr>
                <w:rFonts w:ascii="Arial"/>
                <w:b/>
                <w:sz w:val="15"/>
              </w:rPr>
            </w:pPr>
            <w:r>
              <w:rPr>
                <w:rFonts w:ascii="Arial"/>
                <w:b/>
                <w:color w:val="231F20"/>
                <w:w w:val="95"/>
                <w:sz w:val="15"/>
              </w:rPr>
              <w:t>285.831</w:t>
            </w:r>
          </w:p>
        </w:tc>
        <w:tc>
          <w:tcPr>
            <w:tcW w:w="921" w:type="dxa"/>
            <w:shd w:val="clear" w:color="auto" w:fill="00B161"/>
          </w:tcPr>
          <w:p w:rsidR="00D1511D" w:rsidRDefault="003F0CB3">
            <w:pPr>
              <w:pStyle w:val="TableParagraph"/>
              <w:jc w:val="right"/>
              <w:rPr>
                <w:rFonts w:ascii="Arial"/>
                <w:b/>
                <w:sz w:val="15"/>
              </w:rPr>
            </w:pPr>
            <w:r>
              <w:rPr>
                <w:rFonts w:ascii="Arial"/>
                <w:b/>
                <w:color w:val="231F20"/>
                <w:w w:val="95"/>
                <w:sz w:val="15"/>
              </w:rPr>
              <w:t>292.225</w:t>
            </w:r>
          </w:p>
        </w:tc>
        <w:tc>
          <w:tcPr>
            <w:tcW w:w="921" w:type="dxa"/>
            <w:shd w:val="clear" w:color="auto" w:fill="00B161"/>
          </w:tcPr>
          <w:p w:rsidR="00D1511D" w:rsidRDefault="003F0CB3">
            <w:pPr>
              <w:pStyle w:val="TableParagraph"/>
              <w:ind w:right="1"/>
              <w:jc w:val="right"/>
              <w:rPr>
                <w:rFonts w:ascii="Arial"/>
                <w:b/>
                <w:sz w:val="15"/>
              </w:rPr>
            </w:pPr>
            <w:r>
              <w:rPr>
                <w:rFonts w:ascii="Arial"/>
                <w:b/>
                <w:color w:val="231F20"/>
                <w:w w:val="95"/>
                <w:sz w:val="15"/>
              </w:rPr>
              <w:t>257.355</w:t>
            </w:r>
          </w:p>
        </w:tc>
        <w:tc>
          <w:tcPr>
            <w:tcW w:w="800" w:type="dxa"/>
            <w:shd w:val="clear" w:color="auto" w:fill="00B161"/>
          </w:tcPr>
          <w:p w:rsidR="00D1511D" w:rsidRDefault="003F0CB3">
            <w:pPr>
              <w:pStyle w:val="TableParagraph"/>
              <w:ind w:right="2"/>
              <w:jc w:val="right"/>
              <w:rPr>
                <w:rFonts w:ascii="Arial"/>
                <w:b/>
                <w:sz w:val="15"/>
              </w:rPr>
            </w:pPr>
            <w:r>
              <w:rPr>
                <w:rFonts w:ascii="Arial"/>
                <w:b/>
                <w:color w:val="231F20"/>
                <w:w w:val="95"/>
                <w:sz w:val="15"/>
              </w:rPr>
              <w:t>239.117</w:t>
            </w:r>
          </w:p>
        </w:tc>
        <w:tc>
          <w:tcPr>
            <w:tcW w:w="861" w:type="dxa"/>
            <w:shd w:val="clear" w:color="auto" w:fill="00B161"/>
          </w:tcPr>
          <w:p w:rsidR="00D1511D" w:rsidRDefault="003F0CB3">
            <w:pPr>
              <w:pStyle w:val="TableParagraph"/>
              <w:ind w:right="3"/>
              <w:jc w:val="right"/>
              <w:rPr>
                <w:rFonts w:ascii="Arial"/>
                <w:b/>
                <w:sz w:val="15"/>
              </w:rPr>
            </w:pPr>
            <w:r>
              <w:rPr>
                <w:rFonts w:ascii="Arial"/>
                <w:b/>
                <w:color w:val="231F20"/>
                <w:w w:val="95"/>
                <w:sz w:val="15"/>
              </w:rPr>
              <w:t>204.549</w:t>
            </w:r>
          </w:p>
        </w:tc>
        <w:tc>
          <w:tcPr>
            <w:tcW w:w="910" w:type="dxa"/>
            <w:shd w:val="clear" w:color="auto" w:fill="00B161"/>
          </w:tcPr>
          <w:p w:rsidR="00D1511D" w:rsidRDefault="003F0CB3">
            <w:pPr>
              <w:pStyle w:val="TableParagraph"/>
              <w:ind w:right="4"/>
              <w:jc w:val="right"/>
              <w:rPr>
                <w:rFonts w:ascii="Arial"/>
                <w:b/>
                <w:sz w:val="15"/>
              </w:rPr>
            </w:pPr>
            <w:r>
              <w:rPr>
                <w:rFonts w:ascii="Arial"/>
                <w:b/>
                <w:color w:val="231F20"/>
                <w:w w:val="95"/>
                <w:sz w:val="15"/>
              </w:rPr>
              <w:t>142.357</w:t>
            </w:r>
          </w:p>
        </w:tc>
        <w:tc>
          <w:tcPr>
            <w:tcW w:w="910" w:type="dxa"/>
            <w:shd w:val="clear" w:color="auto" w:fill="00B161"/>
          </w:tcPr>
          <w:p w:rsidR="00D1511D" w:rsidRDefault="003F0CB3">
            <w:pPr>
              <w:pStyle w:val="TableParagraph"/>
              <w:ind w:right="5"/>
              <w:jc w:val="right"/>
              <w:rPr>
                <w:rFonts w:ascii="Arial"/>
                <w:b/>
                <w:sz w:val="15"/>
              </w:rPr>
            </w:pPr>
            <w:r>
              <w:rPr>
                <w:rFonts w:ascii="Arial"/>
                <w:b/>
                <w:color w:val="231F20"/>
                <w:w w:val="95"/>
                <w:sz w:val="15"/>
              </w:rPr>
              <w:t>2756.258</w:t>
            </w:r>
          </w:p>
        </w:tc>
      </w:tr>
      <w:tr w:rsidR="00D1511D">
        <w:trPr>
          <w:trHeight w:val="199"/>
        </w:trPr>
        <w:tc>
          <w:tcPr>
            <w:tcW w:w="5015" w:type="dxa"/>
            <w:shd w:val="clear" w:color="auto" w:fill="CEDFB9"/>
          </w:tcPr>
          <w:p w:rsidR="00D1511D" w:rsidRDefault="003F0CB3">
            <w:pPr>
              <w:pStyle w:val="TableParagraph"/>
              <w:spacing w:before="14" w:line="165" w:lineRule="exact"/>
              <w:ind w:right="-15"/>
              <w:jc w:val="right"/>
              <w:rPr>
                <w:rFonts w:ascii="Arial"/>
                <w:b/>
                <w:sz w:val="15"/>
              </w:rPr>
            </w:pPr>
            <w:r>
              <w:rPr>
                <w:rFonts w:ascii="Arial"/>
                <w:b/>
                <w:color w:val="231F20"/>
                <w:sz w:val="15"/>
              </w:rPr>
              <w:t>Cumulative total</w:t>
            </w:r>
          </w:p>
        </w:tc>
        <w:tc>
          <w:tcPr>
            <w:tcW w:w="836" w:type="dxa"/>
            <w:shd w:val="clear" w:color="auto" w:fill="CEDFB9"/>
          </w:tcPr>
          <w:p w:rsidR="00D1511D" w:rsidRDefault="003F0CB3">
            <w:pPr>
              <w:pStyle w:val="TableParagraph"/>
              <w:spacing w:before="14" w:line="165" w:lineRule="exact"/>
              <w:ind w:right="-15"/>
              <w:jc w:val="right"/>
              <w:rPr>
                <w:rFonts w:ascii="Arial"/>
                <w:b/>
                <w:sz w:val="15"/>
              </w:rPr>
            </w:pPr>
            <w:r>
              <w:rPr>
                <w:rFonts w:ascii="Arial"/>
                <w:b/>
                <w:color w:val="231F20"/>
                <w:w w:val="95"/>
                <w:sz w:val="15"/>
              </w:rPr>
              <w:t>198.572</w:t>
            </w:r>
          </w:p>
        </w:tc>
        <w:tc>
          <w:tcPr>
            <w:tcW w:w="813" w:type="dxa"/>
            <w:shd w:val="clear" w:color="auto" w:fill="CEDFB9"/>
          </w:tcPr>
          <w:p w:rsidR="00D1511D" w:rsidRDefault="003F0CB3">
            <w:pPr>
              <w:pStyle w:val="TableParagraph"/>
              <w:spacing w:before="14" w:line="165" w:lineRule="exact"/>
              <w:jc w:val="right"/>
              <w:rPr>
                <w:rFonts w:ascii="Arial"/>
                <w:b/>
                <w:sz w:val="15"/>
              </w:rPr>
            </w:pPr>
            <w:r>
              <w:rPr>
                <w:rFonts w:ascii="Arial"/>
                <w:b/>
                <w:color w:val="231F20"/>
                <w:w w:val="95"/>
                <w:sz w:val="15"/>
              </w:rPr>
              <w:t>414.052</w:t>
            </w:r>
          </w:p>
        </w:tc>
        <w:tc>
          <w:tcPr>
            <w:tcW w:w="849" w:type="dxa"/>
            <w:shd w:val="clear" w:color="auto" w:fill="CEDFB9"/>
          </w:tcPr>
          <w:p w:rsidR="00D1511D" w:rsidRDefault="003F0CB3">
            <w:pPr>
              <w:pStyle w:val="TableParagraph"/>
              <w:spacing w:before="14" w:line="165" w:lineRule="exact"/>
              <w:ind w:right="1"/>
              <w:jc w:val="right"/>
              <w:rPr>
                <w:rFonts w:ascii="Arial"/>
                <w:b/>
                <w:sz w:val="15"/>
              </w:rPr>
            </w:pPr>
            <w:r>
              <w:rPr>
                <w:rFonts w:ascii="Arial"/>
                <w:b/>
                <w:color w:val="231F20"/>
                <w:w w:val="95"/>
                <w:sz w:val="15"/>
              </w:rPr>
              <w:t>634.437</w:t>
            </w:r>
          </w:p>
        </w:tc>
        <w:tc>
          <w:tcPr>
            <w:tcW w:w="836" w:type="dxa"/>
            <w:shd w:val="clear" w:color="auto" w:fill="CEDFB9"/>
          </w:tcPr>
          <w:p w:rsidR="00D1511D" w:rsidRDefault="003F0CB3">
            <w:pPr>
              <w:pStyle w:val="TableParagraph"/>
              <w:spacing w:before="14" w:line="165" w:lineRule="exact"/>
              <w:ind w:right="2"/>
              <w:jc w:val="right"/>
              <w:rPr>
                <w:rFonts w:ascii="Arial"/>
                <w:b/>
                <w:sz w:val="15"/>
              </w:rPr>
            </w:pPr>
            <w:r>
              <w:rPr>
                <w:rFonts w:ascii="Arial"/>
                <w:b/>
                <w:color w:val="231F20"/>
                <w:w w:val="95"/>
                <w:sz w:val="15"/>
              </w:rPr>
              <w:t>1334.824</w:t>
            </w:r>
          </w:p>
        </w:tc>
        <w:tc>
          <w:tcPr>
            <w:tcW w:w="885" w:type="dxa"/>
            <w:shd w:val="clear" w:color="auto" w:fill="CEDFB9"/>
          </w:tcPr>
          <w:p w:rsidR="00D1511D" w:rsidRDefault="003F0CB3">
            <w:pPr>
              <w:pStyle w:val="TableParagraph"/>
              <w:spacing w:before="14" w:line="165" w:lineRule="exact"/>
              <w:ind w:right="3"/>
              <w:jc w:val="right"/>
              <w:rPr>
                <w:rFonts w:ascii="Arial"/>
                <w:b/>
                <w:sz w:val="15"/>
              </w:rPr>
            </w:pPr>
            <w:r>
              <w:rPr>
                <w:rFonts w:ascii="Arial"/>
                <w:b/>
                <w:color w:val="231F20"/>
                <w:w w:val="95"/>
                <w:sz w:val="15"/>
              </w:rPr>
              <w:t>1620.655</w:t>
            </w:r>
          </w:p>
        </w:tc>
        <w:tc>
          <w:tcPr>
            <w:tcW w:w="921" w:type="dxa"/>
            <w:shd w:val="clear" w:color="auto" w:fill="CEDFB9"/>
          </w:tcPr>
          <w:p w:rsidR="00D1511D" w:rsidRDefault="003F0CB3">
            <w:pPr>
              <w:pStyle w:val="TableParagraph"/>
              <w:spacing w:before="14" w:line="165" w:lineRule="exact"/>
              <w:ind w:right="4"/>
              <w:jc w:val="right"/>
              <w:rPr>
                <w:rFonts w:ascii="Arial"/>
                <w:b/>
                <w:sz w:val="15"/>
              </w:rPr>
            </w:pPr>
            <w:r>
              <w:rPr>
                <w:rFonts w:ascii="Arial"/>
                <w:b/>
                <w:color w:val="231F20"/>
                <w:w w:val="95"/>
                <w:sz w:val="15"/>
              </w:rPr>
              <w:t>1912.880</w:t>
            </w:r>
          </w:p>
        </w:tc>
        <w:tc>
          <w:tcPr>
            <w:tcW w:w="921" w:type="dxa"/>
            <w:shd w:val="clear" w:color="auto" w:fill="CEDFB9"/>
          </w:tcPr>
          <w:p w:rsidR="00D1511D" w:rsidRDefault="003F0CB3">
            <w:pPr>
              <w:pStyle w:val="TableParagraph"/>
              <w:spacing w:before="14" w:line="165" w:lineRule="exact"/>
              <w:ind w:right="5"/>
              <w:jc w:val="right"/>
              <w:rPr>
                <w:rFonts w:ascii="Arial"/>
                <w:b/>
                <w:sz w:val="15"/>
              </w:rPr>
            </w:pPr>
            <w:r>
              <w:rPr>
                <w:rFonts w:ascii="Arial"/>
                <w:b/>
                <w:color w:val="231F20"/>
                <w:w w:val="95"/>
                <w:sz w:val="15"/>
              </w:rPr>
              <w:t>2170.235</w:t>
            </w:r>
          </w:p>
        </w:tc>
        <w:tc>
          <w:tcPr>
            <w:tcW w:w="800" w:type="dxa"/>
            <w:shd w:val="clear" w:color="auto" w:fill="CEDFB9"/>
          </w:tcPr>
          <w:p w:rsidR="00D1511D" w:rsidRDefault="003F0CB3">
            <w:pPr>
              <w:pStyle w:val="TableParagraph"/>
              <w:spacing w:before="14" w:line="165" w:lineRule="exact"/>
              <w:ind w:right="6"/>
              <w:jc w:val="right"/>
              <w:rPr>
                <w:rFonts w:ascii="Arial"/>
                <w:b/>
                <w:sz w:val="15"/>
              </w:rPr>
            </w:pPr>
            <w:r>
              <w:rPr>
                <w:rFonts w:ascii="Arial"/>
                <w:b/>
                <w:color w:val="231F20"/>
                <w:w w:val="95"/>
                <w:sz w:val="15"/>
              </w:rPr>
              <w:t>2409.352</w:t>
            </w:r>
          </w:p>
        </w:tc>
        <w:tc>
          <w:tcPr>
            <w:tcW w:w="861" w:type="dxa"/>
            <w:shd w:val="clear" w:color="auto" w:fill="CEDFB9"/>
          </w:tcPr>
          <w:p w:rsidR="00D1511D" w:rsidRDefault="003F0CB3">
            <w:pPr>
              <w:pStyle w:val="TableParagraph"/>
              <w:spacing w:before="14" w:line="165" w:lineRule="exact"/>
              <w:ind w:right="6"/>
              <w:jc w:val="right"/>
              <w:rPr>
                <w:rFonts w:ascii="Arial"/>
                <w:b/>
                <w:sz w:val="15"/>
              </w:rPr>
            </w:pPr>
            <w:r>
              <w:rPr>
                <w:rFonts w:ascii="Arial"/>
                <w:b/>
                <w:color w:val="231F20"/>
                <w:w w:val="95"/>
                <w:sz w:val="15"/>
              </w:rPr>
              <w:t>2613.901</w:t>
            </w:r>
          </w:p>
        </w:tc>
        <w:tc>
          <w:tcPr>
            <w:tcW w:w="910" w:type="dxa"/>
            <w:shd w:val="clear" w:color="auto" w:fill="CEDFB9"/>
          </w:tcPr>
          <w:p w:rsidR="00D1511D" w:rsidRDefault="003F0CB3">
            <w:pPr>
              <w:pStyle w:val="TableParagraph"/>
              <w:spacing w:before="14" w:line="165" w:lineRule="exact"/>
              <w:ind w:right="7"/>
              <w:jc w:val="right"/>
              <w:rPr>
                <w:rFonts w:ascii="Arial"/>
                <w:b/>
                <w:sz w:val="15"/>
              </w:rPr>
            </w:pPr>
            <w:r>
              <w:rPr>
                <w:rFonts w:ascii="Arial"/>
                <w:b/>
                <w:color w:val="231F20"/>
                <w:w w:val="95"/>
                <w:sz w:val="15"/>
              </w:rPr>
              <w:t>2756.258</w:t>
            </w:r>
          </w:p>
        </w:tc>
        <w:tc>
          <w:tcPr>
            <w:tcW w:w="910" w:type="dxa"/>
            <w:tcBorders>
              <w:bottom w:val="nil"/>
              <w:right w:val="nil"/>
            </w:tcBorders>
          </w:tcPr>
          <w:p w:rsidR="00D1511D" w:rsidRDefault="00D1511D">
            <w:pPr>
              <w:pStyle w:val="TableParagraph"/>
              <w:spacing w:before="0"/>
              <w:rPr>
                <w:rFonts w:ascii="Times New Roman"/>
                <w:sz w:val="12"/>
              </w:rPr>
            </w:pPr>
          </w:p>
        </w:tc>
      </w:tr>
    </w:tbl>
    <w:p w:rsidR="00D1511D" w:rsidRDefault="00D1511D">
      <w:pPr>
        <w:pStyle w:val="BodyText"/>
        <w:spacing w:before="8"/>
        <w:rPr>
          <w:rFonts w:ascii="Myriad Pro"/>
          <w:sz w:val="24"/>
        </w:rPr>
      </w:pPr>
    </w:p>
    <w:tbl>
      <w:tblPr>
        <w:tblW w:w="0" w:type="auto"/>
        <w:tblInd w:w="302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984"/>
        <w:gridCol w:w="7632"/>
      </w:tblGrid>
      <w:tr w:rsidR="00D1511D">
        <w:trPr>
          <w:trHeight w:val="367"/>
        </w:trPr>
        <w:tc>
          <w:tcPr>
            <w:tcW w:w="984" w:type="dxa"/>
            <w:shd w:val="clear" w:color="auto" w:fill="788083"/>
          </w:tcPr>
          <w:p w:rsidR="00D1511D" w:rsidRDefault="00D1511D">
            <w:pPr>
              <w:pStyle w:val="TableParagraph"/>
              <w:spacing w:before="0"/>
              <w:rPr>
                <w:rFonts w:ascii="Times New Roman"/>
                <w:sz w:val="16"/>
              </w:rPr>
            </w:pPr>
          </w:p>
        </w:tc>
        <w:tc>
          <w:tcPr>
            <w:tcW w:w="7632" w:type="dxa"/>
            <w:tcBorders>
              <w:top w:val="single" w:sz="4" w:space="0" w:color="231F20"/>
              <w:bottom w:val="single" w:sz="4" w:space="0" w:color="231F20"/>
            </w:tcBorders>
          </w:tcPr>
          <w:p w:rsidR="00D1511D" w:rsidRDefault="003F0CB3">
            <w:pPr>
              <w:pStyle w:val="TableParagraph"/>
              <w:spacing w:before="76"/>
              <w:ind w:left="113"/>
              <w:rPr>
                <w:sz w:val="19"/>
              </w:rPr>
            </w:pPr>
            <w:r>
              <w:rPr>
                <w:color w:val="231F20"/>
                <w:sz w:val="19"/>
              </w:rPr>
              <w:t>Shows years prior to the commitment of funds and after allocated funding has finished.</w:t>
            </w:r>
          </w:p>
        </w:tc>
      </w:tr>
      <w:tr w:rsidR="00D1511D">
        <w:trPr>
          <w:trHeight w:val="743"/>
        </w:trPr>
        <w:tc>
          <w:tcPr>
            <w:tcW w:w="984" w:type="dxa"/>
            <w:tcBorders>
              <w:bottom w:val="single" w:sz="4" w:space="0" w:color="231F20"/>
            </w:tcBorders>
            <w:shd w:val="clear" w:color="auto" w:fill="B7BABD"/>
          </w:tcPr>
          <w:p w:rsidR="00D1511D" w:rsidRDefault="003F0CB3">
            <w:pPr>
              <w:pStyle w:val="TableParagraph"/>
              <w:spacing w:before="237"/>
              <w:ind w:left="222" w:right="218"/>
              <w:jc w:val="center"/>
              <w:rPr>
                <w:b/>
                <w:sz w:val="24"/>
              </w:rPr>
            </w:pPr>
            <w:r>
              <w:rPr>
                <w:b/>
                <w:color w:val="231F20"/>
                <w:sz w:val="24"/>
              </w:rPr>
              <w:t>NP</w:t>
            </w:r>
          </w:p>
        </w:tc>
        <w:tc>
          <w:tcPr>
            <w:tcW w:w="7632" w:type="dxa"/>
            <w:tcBorders>
              <w:top w:val="single" w:sz="4" w:space="0" w:color="231F20"/>
              <w:bottom w:val="single" w:sz="4" w:space="0" w:color="231F20"/>
            </w:tcBorders>
          </w:tcPr>
          <w:p w:rsidR="00D1511D" w:rsidRDefault="003F0CB3">
            <w:pPr>
              <w:pStyle w:val="TableParagraph"/>
              <w:spacing w:before="37"/>
              <w:ind w:left="113"/>
              <w:rPr>
                <w:sz w:val="19"/>
              </w:rPr>
            </w:pPr>
            <w:r>
              <w:rPr>
                <w:color w:val="231F20"/>
                <w:sz w:val="19"/>
              </w:rPr>
              <w:t>New program in development. The National Environmental Science Program is scheduled for completion in 2021. The Australian Government has budgeted for a future envir</w:t>
            </w:r>
            <w:r>
              <w:rPr>
                <w:color w:val="231F20"/>
                <w:sz w:val="19"/>
              </w:rPr>
              <w:t>onmental research program.</w:t>
            </w:r>
          </w:p>
        </w:tc>
      </w:tr>
      <w:tr w:rsidR="00D1511D">
        <w:trPr>
          <w:trHeight w:val="378"/>
        </w:trPr>
        <w:tc>
          <w:tcPr>
            <w:tcW w:w="984" w:type="dxa"/>
            <w:tcBorders>
              <w:top w:val="single" w:sz="4" w:space="0" w:color="231F20"/>
              <w:bottom w:val="single" w:sz="4" w:space="0" w:color="231F20"/>
            </w:tcBorders>
            <w:shd w:val="clear" w:color="auto" w:fill="D1D2D3"/>
          </w:tcPr>
          <w:p w:rsidR="00D1511D" w:rsidRDefault="003F0CB3">
            <w:pPr>
              <w:pStyle w:val="TableParagraph"/>
              <w:spacing w:before="54"/>
              <w:ind w:left="222" w:right="218"/>
              <w:jc w:val="center"/>
              <w:rPr>
                <w:b/>
                <w:sz w:val="24"/>
              </w:rPr>
            </w:pPr>
            <w:r>
              <w:rPr>
                <w:b/>
                <w:color w:val="231F20"/>
                <w:sz w:val="24"/>
              </w:rPr>
              <w:t>TBD</w:t>
            </w:r>
          </w:p>
        </w:tc>
        <w:tc>
          <w:tcPr>
            <w:tcW w:w="7632" w:type="dxa"/>
            <w:tcBorders>
              <w:top w:val="single" w:sz="4" w:space="0" w:color="231F20"/>
              <w:bottom w:val="single" w:sz="4" w:space="0" w:color="231F20"/>
            </w:tcBorders>
          </w:tcPr>
          <w:p w:rsidR="00D1511D" w:rsidRDefault="003F0CB3">
            <w:pPr>
              <w:pStyle w:val="TableParagraph"/>
              <w:spacing w:before="82"/>
              <w:ind w:left="113"/>
              <w:rPr>
                <w:sz w:val="19"/>
              </w:rPr>
            </w:pPr>
            <w:r>
              <w:rPr>
                <w:color w:val="231F20"/>
                <w:sz w:val="19"/>
              </w:rPr>
              <w:t>To be determined-funding allocations to be considered in future budgets.</w:t>
            </w:r>
          </w:p>
        </w:tc>
      </w:tr>
    </w:tbl>
    <w:p w:rsidR="00D1511D" w:rsidRDefault="00D1511D">
      <w:pPr>
        <w:rPr>
          <w:sz w:val="19"/>
        </w:rPr>
        <w:sectPr w:rsidR="00D1511D">
          <w:headerReference w:type="default" r:id="rId113"/>
          <w:pgSz w:w="16840" w:h="11910" w:orient="landscape"/>
          <w:pgMar w:top="0" w:right="1180" w:bottom="0" w:left="840" w:header="0" w:footer="0" w:gutter="0"/>
          <w:cols w:space="720"/>
        </w:sectPr>
      </w:pPr>
    </w:p>
    <w:p w:rsidR="00D1511D" w:rsidRDefault="003F0CB3">
      <w:pPr>
        <w:spacing w:before="91"/>
        <w:ind w:left="400"/>
        <w:rPr>
          <w:rFonts w:ascii="Myriad Pro"/>
          <w:sz w:val="52"/>
        </w:rPr>
      </w:pPr>
      <w:r>
        <w:rPr>
          <w:rFonts w:ascii="Myriad Pro"/>
          <w:color w:val="005695"/>
          <w:sz w:val="52"/>
        </w:rPr>
        <w:lastRenderedPageBreak/>
        <w:t>Notes</w:t>
      </w:r>
    </w:p>
    <w:p w:rsidR="00D1511D" w:rsidRDefault="00D1511D">
      <w:pPr>
        <w:pStyle w:val="BodyText"/>
        <w:spacing w:before="4"/>
        <w:rPr>
          <w:rFonts w:ascii="Myriad Pro"/>
          <w:sz w:val="6"/>
        </w:rPr>
      </w:pPr>
    </w:p>
    <w:tbl>
      <w:tblPr>
        <w:tblW w:w="0" w:type="auto"/>
        <w:tblInd w:w="41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496"/>
        <w:gridCol w:w="5282"/>
      </w:tblGrid>
      <w:tr w:rsidR="00D1511D">
        <w:trPr>
          <w:trHeight w:val="307"/>
        </w:trPr>
        <w:tc>
          <w:tcPr>
            <w:tcW w:w="8778" w:type="dxa"/>
            <w:gridSpan w:val="2"/>
            <w:tcBorders>
              <w:top w:val="nil"/>
              <w:left w:val="nil"/>
              <w:bottom w:val="nil"/>
              <w:right w:val="nil"/>
            </w:tcBorders>
            <w:shd w:val="clear" w:color="auto" w:fill="005695"/>
          </w:tcPr>
          <w:p w:rsidR="00D1511D" w:rsidRDefault="003F0CB3">
            <w:pPr>
              <w:pStyle w:val="TableParagraph"/>
              <w:spacing w:before="47"/>
              <w:ind w:left="82"/>
              <w:rPr>
                <w:sz w:val="19"/>
              </w:rPr>
            </w:pPr>
            <w:r>
              <w:rPr>
                <w:color w:val="FFFFFF"/>
                <w:sz w:val="19"/>
              </w:rPr>
              <w:t>Australian Government Reef Programs</w:t>
            </w:r>
          </w:p>
        </w:tc>
      </w:tr>
      <w:tr w:rsidR="00D1511D">
        <w:trPr>
          <w:trHeight w:val="518"/>
        </w:trPr>
        <w:tc>
          <w:tcPr>
            <w:tcW w:w="3496" w:type="dxa"/>
            <w:tcBorders>
              <w:top w:val="nil"/>
            </w:tcBorders>
          </w:tcPr>
          <w:p w:rsidR="00D1511D" w:rsidRDefault="003F0CB3">
            <w:pPr>
              <w:pStyle w:val="TableParagraph"/>
              <w:spacing w:before="37"/>
              <w:ind w:left="80"/>
              <w:rPr>
                <w:sz w:val="19"/>
              </w:rPr>
            </w:pPr>
            <w:r>
              <w:rPr>
                <w:color w:val="231F20"/>
                <w:sz w:val="19"/>
              </w:rPr>
              <w:t>Reef 2050</w:t>
            </w:r>
          </w:p>
        </w:tc>
        <w:tc>
          <w:tcPr>
            <w:tcW w:w="5282" w:type="dxa"/>
            <w:tcBorders>
              <w:top w:val="nil"/>
            </w:tcBorders>
          </w:tcPr>
          <w:p w:rsidR="00D1511D" w:rsidRDefault="003F0CB3">
            <w:pPr>
              <w:pStyle w:val="TableParagraph"/>
              <w:spacing w:before="37"/>
              <w:ind w:left="79" w:right="779"/>
              <w:rPr>
                <w:sz w:val="19"/>
              </w:rPr>
            </w:pPr>
            <w:r>
              <w:rPr>
                <w:b/>
                <w:color w:val="231F20"/>
                <w:sz w:val="19"/>
              </w:rPr>
              <w:t>TBD</w:t>
            </w:r>
            <w:r>
              <w:rPr>
                <w:color w:val="231F20"/>
                <w:sz w:val="19"/>
              </w:rPr>
              <w:t>- 2023-24 funding will be determined as part of future Australian Government budget processes.</w:t>
            </w:r>
          </w:p>
        </w:tc>
      </w:tr>
      <w:tr w:rsidR="00D1511D">
        <w:trPr>
          <w:trHeight w:val="2566"/>
        </w:trPr>
        <w:tc>
          <w:tcPr>
            <w:tcW w:w="3496" w:type="dxa"/>
          </w:tcPr>
          <w:p w:rsidR="00D1511D" w:rsidRDefault="003F0CB3">
            <w:pPr>
              <w:pStyle w:val="TableParagraph"/>
              <w:spacing w:before="39"/>
              <w:ind w:left="80"/>
              <w:rPr>
                <w:sz w:val="19"/>
              </w:rPr>
            </w:pPr>
            <w:r>
              <w:rPr>
                <w:color w:val="231F20"/>
                <w:sz w:val="19"/>
              </w:rPr>
              <w:t>Reef Trust*^</w:t>
            </w:r>
          </w:p>
        </w:tc>
        <w:tc>
          <w:tcPr>
            <w:tcW w:w="5282" w:type="dxa"/>
          </w:tcPr>
          <w:p w:rsidR="00D1511D" w:rsidRDefault="003F0CB3">
            <w:pPr>
              <w:pStyle w:val="TableParagraph"/>
              <w:spacing w:before="39"/>
              <w:ind w:left="79" w:right="94"/>
              <w:rPr>
                <w:sz w:val="19"/>
              </w:rPr>
            </w:pPr>
            <w:r>
              <w:rPr>
                <w:color w:val="231F20"/>
                <w:sz w:val="19"/>
              </w:rPr>
              <w:t xml:space="preserve">*$2.1 million provided by Queensland Government in 2016-17 for the Reef Trust Phase IV Enhanced Efficiency </w:t>
            </w:r>
            <w:proofErr w:type="spellStart"/>
            <w:r>
              <w:rPr>
                <w:color w:val="231F20"/>
                <w:sz w:val="19"/>
              </w:rPr>
              <w:t>Fertiliser</w:t>
            </w:r>
            <w:proofErr w:type="spellEnd"/>
            <w:r>
              <w:rPr>
                <w:color w:val="231F20"/>
                <w:sz w:val="19"/>
              </w:rPr>
              <w:t xml:space="preserve"> Project with expenditure to occur from 2016-17 to 2019-20 is reported under Queensland Government investment (and not in Reef Trust).</w:t>
            </w:r>
          </w:p>
          <w:p w:rsidR="00D1511D" w:rsidRDefault="003F0CB3">
            <w:pPr>
              <w:pStyle w:val="TableParagraph"/>
              <w:spacing w:before="57"/>
              <w:ind w:left="79" w:right="94"/>
              <w:rPr>
                <w:sz w:val="19"/>
              </w:rPr>
            </w:pPr>
            <w:r>
              <w:rPr>
                <w:color w:val="231F20"/>
                <w:sz w:val="19"/>
              </w:rPr>
              <w:t>^201</w:t>
            </w:r>
            <w:r>
              <w:rPr>
                <w:color w:val="231F20"/>
                <w:sz w:val="19"/>
              </w:rPr>
              <w:t>7-18, funding includes $443.3 million for the Reef Trust Partnership. Funding will be expended over six-years until 30 June 2024.</w:t>
            </w:r>
          </w:p>
          <w:p w:rsidR="00D1511D" w:rsidRDefault="003F0CB3">
            <w:pPr>
              <w:pStyle w:val="TableParagraph"/>
              <w:spacing w:before="57"/>
              <w:ind w:left="79" w:right="779"/>
              <w:rPr>
                <w:sz w:val="19"/>
              </w:rPr>
            </w:pPr>
            <w:r>
              <w:rPr>
                <w:b/>
                <w:color w:val="231F20"/>
                <w:sz w:val="19"/>
              </w:rPr>
              <w:t>TBD</w:t>
            </w:r>
            <w:r>
              <w:rPr>
                <w:color w:val="231F20"/>
                <w:sz w:val="19"/>
              </w:rPr>
              <w:t>- 2023-24 funding will be determined as part of future Australian Government budget processes.</w:t>
            </w:r>
          </w:p>
        </w:tc>
      </w:tr>
      <w:tr w:rsidR="00D1511D">
        <w:trPr>
          <w:trHeight w:val="520"/>
        </w:trPr>
        <w:tc>
          <w:tcPr>
            <w:tcW w:w="3496" w:type="dxa"/>
          </w:tcPr>
          <w:p w:rsidR="00D1511D" w:rsidRDefault="003F0CB3">
            <w:pPr>
              <w:pStyle w:val="TableParagraph"/>
              <w:spacing w:before="39"/>
              <w:ind w:left="80"/>
              <w:rPr>
                <w:sz w:val="19"/>
              </w:rPr>
            </w:pPr>
            <w:r>
              <w:rPr>
                <w:color w:val="231F20"/>
                <w:sz w:val="19"/>
              </w:rPr>
              <w:t>Reef Program</w:t>
            </w:r>
          </w:p>
        </w:tc>
        <w:tc>
          <w:tcPr>
            <w:tcW w:w="5282" w:type="dxa"/>
          </w:tcPr>
          <w:p w:rsidR="00D1511D" w:rsidRDefault="003F0CB3">
            <w:pPr>
              <w:pStyle w:val="TableParagraph"/>
              <w:spacing w:before="39"/>
              <w:ind w:left="79" w:right="94"/>
              <w:rPr>
                <w:sz w:val="19"/>
              </w:rPr>
            </w:pPr>
            <w:r>
              <w:rPr>
                <w:color w:val="231F20"/>
                <w:sz w:val="19"/>
              </w:rPr>
              <w:t>Reef Program ended in 2017-18. Future Reef funding was allocated to the Reef Trust.</w:t>
            </w:r>
          </w:p>
        </w:tc>
      </w:tr>
      <w:tr w:rsidR="00D1511D">
        <w:trPr>
          <w:trHeight w:val="1989"/>
        </w:trPr>
        <w:tc>
          <w:tcPr>
            <w:tcW w:w="3496" w:type="dxa"/>
            <w:tcBorders>
              <w:bottom w:val="nil"/>
            </w:tcBorders>
          </w:tcPr>
          <w:p w:rsidR="00D1511D" w:rsidRDefault="003F0CB3">
            <w:pPr>
              <w:pStyle w:val="TableParagraph"/>
              <w:spacing w:before="39"/>
              <w:ind w:left="80"/>
              <w:rPr>
                <w:sz w:val="19"/>
              </w:rPr>
            </w:pPr>
            <w:proofErr w:type="gramStart"/>
            <w:r>
              <w:rPr>
                <w:color w:val="231F20"/>
                <w:sz w:val="19"/>
              </w:rPr>
              <w:t>Other</w:t>
            </w:r>
            <w:proofErr w:type="gramEnd"/>
            <w:r>
              <w:rPr>
                <w:color w:val="231F20"/>
                <w:sz w:val="19"/>
              </w:rPr>
              <w:t xml:space="preserve"> Reef Funding</w:t>
            </w:r>
          </w:p>
        </w:tc>
        <w:tc>
          <w:tcPr>
            <w:tcW w:w="5282" w:type="dxa"/>
            <w:tcBorders>
              <w:bottom w:val="nil"/>
            </w:tcBorders>
          </w:tcPr>
          <w:p w:rsidR="00D1511D" w:rsidRDefault="003F0CB3">
            <w:pPr>
              <w:pStyle w:val="TableParagraph"/>
              <w:spacing w:before="39"/>
              <w:ind w:left="79" w:right="249"/>
              <w:rPr>
                <w:sz w:val="19"/>
              </w:rPr>
            </w:pPr>
            <w:r>
              <w:rPr>
                <w:color w:val="231F20"/>
                <w:sz w:val="19"/>
              </w:rPr>
              <w:t>Includes a range of Reef projects undertaken between 2014-15 and 2017-18:</w:t>
            </w:r>
          </w:p>
          <w:p w:rsidR="00D1511D" w:rsidRDefault="003F0CB3">
            <w:pPr>
              <w:pStyle w:val="TableParagraph"/>
              <w:numPr>
                <w:ilvl w:val="0"/>
                <w:numId w:val="35"/>
              </w:numPr>
              <w:tabs>
                <w:tab w:val="left" w:pos="439"/>
                <w:tab w:val="left" w:pos="440"/>
              </w:tabs>
              <w:spacing w:before="57"/>
              <w:ind w:hanging="361"/>
              <w:rPr>
                <w:sz w:val="19"/>
              </w:rPr>
            </w:pPr>
            <w:r>
              <w:rPr>
                <w:color w:val="231F20"/>
                <w:sz w:val="19"/>
              </w:rPr>
              <w:t xml:space="preserve">Natural Heritage </w:t>
            </w:r>
            <w:r>
              <w:rPr>
                <w:color w:val="231F20"/>
                <w:spacing w:val="-5"/>
                <w:sz w:val="19"/>
              </w:rPr>
              <w:t xml:space="preserve">Trust </w:t>
            </w:r>
            <w:r>
              <w:rPr>
                <w:color w:val="231F20"/>
                <w:sz w:val="19"/>
              </w:rPr>
              <w:t>Reef</w:t>
            </w:r>
            <w:r>
              <w:rPr>
                <w:color w:val="231F20"/>
                <w:spacing w:val="-6"/>
                <w:sz w:val="19"/>
              </w:rPr>
              <w:t xml:space="preserve"> </w:t>
            </w:r>
            <w:r>
              <w:rPr>
                <w:color w:val="231F20"/>
                <w:sz w:val="19"/>
              </w:rPr>
              <w:t>projects.</w:t>
            </w:r>
          </w:p>
          <w:p w:rsidR="00D1511D" w:rsidRDefault="003F0CB3">
            <w:pPr>
              <w:pStyle w:val="TableParagraph"/>
              <w:numPr>
                <w:ilvl w:val="0"/>
                <w:numId w:val="35"/>
              </w:numPr>
              <w:tabs>
                <w:tab w:val="left" w:pos="439"/>
                <w:tab w:val="left" w:pos="440"/>
              </w:tabs>
              <w:spacing w:before="57"/>
              <w:ind w:right="274"/>
              <w:rPr>
                <w:sz w:val="19"/>
              </w:rPr>
            </w:pPr>
            <w:r>
              <w:rPr>
                <w:color w:val="231F20"/>
                <w:sz w:val="19"/>
              </w:rPr>
              <w:t xml:space="preserve">Systems Repair and Urban </w:t>
            </w:r>
            <w:r>
              <w:rPr>
                <w:color w:val="231F20"/>
                <w:spacing w:val="-4"/>
                <w:sz w:val="19"/>
              </w:rPr>
              <w:t xml:space="preserve">Water </w:t>
            </w:r>
            <w:r>
              <w:rPr>
                <w:color w:val="231F20"/>
                <w:sz w:val="19"/>
              </w:rPr>
              <w:t>Quality Grants</w:t>
            </w:r>
            <w:r>
              <w:rPr>
                <w:color w:val="231F20"/>
                <w:spacing w:val="-31"/>
                <w:sz w:val="19"/>
              </w:rPr>
              <w:t xml:space="preserve"> </w:t>
            </w:r>
            <w:r>
              <w:rPr>
                <w:color w:val="231F20"/>
                <w:sz w:val="19"/>
              </w:rPr>
              <w:t>(Biodiversity Fund).</w:t>
            </w:r>
          </w:p>
          <w:p w:rsidR="00D1511D" w:rsidRDefault="003F0CB3">
            <w:pPr>
              <w:pStyle w:val="TableParagraph"/>
              <w:numPr>
                <w:ilvl w:val="0"/>
                <w:numId w:val="35"/>
              </w:numPr>
              <w:tabs>
                <w:tab w:val="left" w:pos="439"/>
                <w:tab w:val="left" w:pos="440"/>
              </w:tabs>
              <w:spacing w:before="56"/>
              <w:ind w:right="411"/>
              <w:rPr>
                <w:sz w:val="19"/>
              </w:rPr>
            </w:pPr>
            <w:r>
              <w:rPr>
                <w:color w:val="231F20"/>
                <w:sz w:val="19"/>
              </w:rPr>
              <w:t xml:space="preserve">$9.375 million for e-Reefs coastal information system </w:t>
            </w:r>
            <w:r>
              <w:rPr>
                <w:color w:val="231F20"/>
                <w:spacing w:val="-7"/>
                <w:sz w:val="19"/>
              </w:rPr>
              <w:t xml:space="preserve">(Total </w:t>
            </w:r>
            <w:r>
              <w:rPr>
                <w:color w:val="231F20"/>
                <w:sz w:val="19"/>
              </w:rPr>
              <w:t>project value is $12.5 million and commenced in</w:t>
            </w:r>
            <w:r>
              <w:rPr>
                <w:color w:val="231F20"/>
                <w:spacing w:val="-4"/>
                <w:sz w:val="19"/>
              </w:rPr>
              <w:t xml:space="preserve"> </w:t>
            </w:r>
            <w:r>
              <w:rPr>
                <w:color w:val="231F20"/>
                <w:sz w:val="19"/>
              </w:rPr>
              <w:t>2013-14).</w:t>
            </w:r>
          </w:p>
        </w:tc>
      </w:tr>
      <w:tr w:rsidR="00D1511D">
        <w:trPr>
          <w:trHeight w:val="307"/>
        </w:trPr>
        <w:tc>
          <w:tcPr>
            <w:tcW w:w="8778" w:type="dxa"/>
            <w:gridSpan w:val="2"/>
            <w:tcBorders>
              <w:top w:val="nil"/>
              <w:left w:val="nil"/>
              <w:bottom w:val="nil"/>
            </w:tcBorders>
            <w:shd w:val="clear" w:color="auto" w:fill="005695"/>
          </w:tcPr>
          <w:p w:rsidR="00D1511D" w:rsidRDefault="003F0CB3">
            <w:pPr>
              <w:pStyle w:val="TableParagraph"/>
              <w:spacing w:before="47"/>
              <w:ind w:left="82"/>
              <w:rPr>
                <w:sz w:val="19"/>
              </w:rPr>
            </w:pPr>
            <w:r>
              <w:rPr>
                <w:color w:val="FFFFFF"/>
                <w:sz w:val="19"/>
              </w:rPr>
              <w:t>Australian Government Reef Science</w:t>
            </w:r>
          </w:p>
        </w:tc>
      </w:tr>
      <w:tr w:rsidR="00D1511D">
        <w:trPr>
          <w:trHeight w:val="1942"/>
        </w:trPr>
        <w:tc>
          <w:tcPr>
            <w:tcW w:w="3496" w:type="dxa"/>
            <w:tcBorders>
              <w:top w:val="nil"/>
            </w:tcBorders>
          </w:tcPr>
          <w:p w:rsidR="00D1511D" w:rsidRDefault="003F0CB3">
            <w:pPr>
              <w:pStyle w:val="TableParagraph"/>
              <w:spacing w:before="37" w:line="300" w:lineRule="auto"/>
              <w:ind w:left="80"/>
              <w:rPr>
                <w:sz w:val="19"/>
              </w:rPr>
            </w:pPr>
            <w:r>
              <w:rPr>
                <w:color w:val="231F20"/>
                <w:sz w:val="19"/>
              </w:rPr>
              <w:t>National Environment Science Program (Tropical Water Quality Hub)</w:t>
            </w:r>
          </w:p>
        </w:tc>
        <w:tc>
          <w:tcPr>
            <w:tcW w:w="5282" w:type="dxa"/>
            <w:tcBorders>
              <w:top w:val="nil"/>
            </w:tcBorders>
          </w:tcPr>
          <w:p w:rsidR="00D1511D" w:rsidRDefault="003F0CB3">
            <w:pPr>
              <w:pStyle w:val="TableParagraph"/>
              <w:spacing w:before="37"/>
              <w:ind w:left="79" w:right="779"/>
              <w:rPr>
                <w:sz w:val="19"/>
              </w:rPr>
            </w:pPr>
            <w:r>
              <w:rPr>
                <w:b/>
                <w:color w:val="231F20"/>
                <w:sz w:val="19"/>
              </w:rPr>
              <w:t>TBD</w:t>
            </w:r>
            <w:r>
              <w:rPr>
                <w:color w:val="231F20"/>
                <w:sz w:val="19"/>
              </w:rPr>
              <w:t>- 2021-22 funding will be determined as part of future Australian Government budget processes.</w:t>
            </w:r>
          </w:p>
          <w:p w:rsidR="00D1511D" w:rsidRDefault="003F0CB3">
            <w:pPr>
              <w:pStyle w:val="TableParagraph"/>
              <w:spacing w:before="56"/>
              <w:ind w:left="79"/>
              <w:rPr>
                <w:sz w:val="19"/>
              </w:rPr>
            </w:pPr>
            <w:r>
              <w:rPr>
                <w:color w:val="231F20"/>
                <w:sz w:val="19"/>
              </w:rPr>
              <w:t>The National Environmental Science Program (NESP) is a long-term environment and climate res</w:t>
            </w:r>
            <w:r>
              <w:rPr>
                <w:color w:val="231F20"/>
                <w:sz w:val="19"/>
              </w:rPr>
              <w:t>earch program with funding of $145 million. The Tropical Water Quality Hub is one of the six thematic NESP research hubs, with Australian Government funding of $31.98 million.</w:t>
            </w:r>
          </w:p>
        </w:tc>
      </w:tr>
      <w:tr w:rsidR="00D1511D">
        <w:trPr>
          <w:trHeight w:val="1432"/>
        </w:trPr>
        <w:tc>
          <w:tcPr>
            <w:tcW w:w="3496" w:type="dxa"/>
          </w:tcPr>
          <w:p w:rsidR="00D1511D" w:rsidRDefault="003F0CB3">
            <w:pPr>
              <w:pStyle w:val="TableParagraph"/>
              <w:spacing w:before="39"/>
              <w:ind w:left="80"/>
              <w:rPr>
                <w:sz w:val="19"/>
              </w:rPr>
            </w:pPr>
            <w:r>
              <w:rPr>
                <w:color w:val="231F20"/>
                <w:sz w:val="19"/>
              </w:rPr>
              <w:t>Australian Institute of Marine Science</w:t>
            </w:r>
          </w:p>
        </w:tc>
        <w:tc>
          <w:tcPr>
            <w:tcW w:w="5282" w:type="dxa"/>
          </w:tcPr>
          <w:p w:rsidR="00D1511D" w:rsidRDefault="003F0CB3">
            <w:pPr>
              <w:pStyle w:val="TableParagraph"/>
              <w:spacing w:before="39"/>
              <w:ind w:left="79" w:right="94"/>
              <w:rPr>
                <w:sz w:val="19"/>
              </w:rPr>
            </w:pPr>
            <w:r>
              <w:rPr>
                <w:color w:val="231F20"/>
                <w:sz w:val="19"/>
              </w:rPr>
              <w:t xml:space="preserve">The Australian Institute of Marine Science invests a considerable proportion of its scientific effort in research that supports the health and resilience of the Great Barrier Reef. This covers a wide range of activities which can be </w:t>
            </w:r>
            <w:proofErr w:type="spellStart"/>
            <w:r>
              <w:rPr>
                <w:color w:val="231F20"/>
                <w:sz w:val="19"/>
              </w:rPr>
              <w:t>summarised</w:t>
            </w:r>
            <w:proofErr w:type="spellEnd"/>
            <w:r>
              <w:rPr>
                <w:color w:val="231F20"/>
                <w:sz w:val="19"/>
              </w:rPr>
              <w:t xml:space="preserve"> as: detailed</w:t>
            </w:r>
            <w:r>
              <w:rPr>
                <w:color w:val="231F20"/>
                <w:sz w:val="19"/>
              </w:rPr>
              <w:t xml:space="preserve"> reef monitoring; field work and experimentation; research and development; and partnerships and international engagement.</w:t>
            </w:r>
          </w:p>
        </w:tc>
      </w:tr>
      <w:tr w:rsidR="00D1511D">
        <w:trPr>
          <w:trHeight w:val="2341"/>
        </w:trPr>
        <w:tc>
          <w:tcPr>
            <w:tcW w:w="3496" w:type="dxa"/>
            <w:tcBorders>
              <w:bottom w:val="nil"/>
            </w:tcBorders>
          </w:tcPr>
          <w:p w:rsidR="00D1511D" w:rsidRDefault="003F0CB3">
            <w:pPr>
              <w:pStyle w:val="TableParagraph"/>
              <w:spacing w:before="39"/>
              <w:ind w:left="80"/>
              <w:rPr>
                <w:sz w:val="19"/>
              </w:rPr>
            </w:pPr>
            <w:r>
              <w:rPr>
                <w:color w:val="231F20"/>
                <w:sz w:val="19"/>
              </w:rPr>
              <w:t>Australian Research Council (Centre of Excellence for Coral Reef Studies)</w:t>
            </w:r>
          </w:p>
        </w:tc>
        <w:tc>
          <w:tcPr>
            <w:tcW w:w="5282" w:type="dxa"/>
            <w:tcBorders>
              <w:bottom w:val="nil"/>
            </w:tcBorders>
          </w:tcPr>
          <w:p w:rsidR="00D1511D" w:rsidRDefault="003F0CB3">
            <w:pPr>
              <w:pStyle w:val="TableParagraph"/>
              <w:spacing w:before="39"/>
              <w:ind w:left="79" w:right="150"/>
              <w:jc w:val="both"/>
              <w:rPr>
                <w:sz w:val="19"/>
              </w:rPr>
            </w:pPr>
            <w:r>
              <w:rPr>
                <w:color w:val="231F20"/>
                <w:sz w:val="19"/>
              </w:rPr>
              <w:t>The Australian Research Council Centre of Excellence for C</w:t>
            </w:r>
            <w:r>
              <w:rPr>
                <w:color w:val="231F20"/>
                <w:sz w:val="19"/>
              </w:rPr>
              <w:t>oral</w:t>
            </w:r>
            <w:r>
              <w:rPr>
                <w:color w:val="231F20"/>
                <w:spacing w:val="-32"/>
                <w:sz w:val="19"/>
              </w:rPr>
              <w:t xml:space="preserve"> </w:t>
            </w:r>
            <w:r>
              <w:rPr>
                <w:color w:val="231F20"/>
                <w:spacing w:val="-5"/>
                <w:sz w:val="19"/>
              </w:rPr>
              <w:t xml:space="preserve">Reef </w:t>
            </w:r>
            <w:r>
              <w:rPr>
                <w:color w:val="231F20"/>
                <w:sz w:val="19"/>
              </w:rPr>
              <w:t>Studies undertakes world-best integrated research for sustainable use and management of coral</w:t>
            </w:r>
            <w:r>
              <w:rPr>
                <w:color w:val="231F20"/>
                <w:spacing w:val="-1"/>
                <w:sz w:val="19"/>
              </w:rPr>
              <w:t xml:space="preserve"> </w:t>
            </w:r>
            <w:r>
              <w:rPr>
                <w:color w:val="231F20"/>
                <w:sz w:val="19"/>
              </w:rPr>
              <w:t>reefs.</w:t>
            </w:r>
          </w:p>
          <w:p w:rsidR="00D1511D" w:rsidRDefault="00D1511D">
            <w:pPr>
              <w:pStyle w:val="TableParagraph"/>
              <w:spacing w:before="5"/>
              <w:rPr>
                <w:rFonts w:ascii="Myriad Pro"/>
                <w:sz w:val="28"/>
              </w:rPr>
            </w:pPr>
          </w:p>
          <w:p w:rsidR="00D1511D" w:rsidRDefault="003F0CB3">
            <w:pPr>
              <w:pStyle w:val="TableParagraph"/>
              <w:spacing w:before="1"/>
              <w:ind w:left="79" w:right="131"/>
              <w:jc w:val="both"/>
              <w:rPr>
                <w:sz w:val="19"/>
              </w:rPr>
            </w:pPr>
            <w:r>
              <w:rPr>
                <w:color w:val="231F20"/>
                <w:sz w:val="19"/>
              </w:rPr>
              <w:t xml:space="preserve">Includes </w:t>
            </w:r>
            <w:r>
              <w:rPr>
                <w:color w:val="231F20"/>
                <w:spacing w:val="-3"/>
                <w:sz w:val="19"/>
              </w:rPr>
              <w:t xml:space="preserve">ARC </w:t>
            </w:r>
            <w:r>
              <w:rPr>
                <w:color w:val="231F20"/>
                <w:sz w:val="19"/>
              </w:rPr>
              <w:t xml:space="preserve">Centre for Excellence for Coral Reef Studies and </w:t>
            </w:r>
            <w:r>
              <w:rPr>
                <w:color w:val="231F20"/>
                <w:spacing w:val="-3"/>
                <w:sz w:val="19"/>
              </w:rPr>
              <w:t xml:space="preserve">other ARC </w:t>
            </w:r>
            <w:r>
              <w:rPr>
                <w:color w:val="231F20"/>
                <w:sz w:val="19"/>
              </w:rPr>
              <w:t>funded projects relating the Reef.</w:t>
            </w:r>
          </w:p>
          <w:p w:rsidR="00D1511D" w:rsidRDefault="00D1511D">
            <w:pPr>
              <w:pStyle w:val="TableParagraph"/>
              <w:spacing w:before="5"/>
              <w:rPr>
                <w:rFonts w:ascii="Myriad Pro"/>
                <w:sz w:val="28"/>
              </w:rPr>
            </w:pPr>
          </w:p>
          <w:p w:rsidR="00D1511D" w:rsidRDefault="003F0CB3">
            <w:pPr>
              <w:pStyle w:val="TableParagraph"/>
              <w:spacing w:before="0"/>
              <w:ind w:left="79" w:right="779"/>
              <w:rPr>
                <w:sz w:val="19"/>
              </w:rPr>
            </w:pPr>
            <w:r>
              <w:rPr>
                <w:b/>
                <w:color w:val="231F20"/>
                <w:sz w:val="19"/>
              </w:rPr>
              <w:t>TBD</w:t>
            </w:r>
            <w:r>
              <w:rPr>
                <w:color w:val="231F20"/>
                <w:sz w:val="19"/>
              </w:rPr>
              <w:t>- 2023-24 funding will be determined as part of future Australian Government budget processes.</w:t>
            </w:r>
          </w:p>
        </w:tc>
      </w:tr>
      <w:tr w:rsidR="00D1511D">
        <w:trPr>
          <w:trHeight w:val="307"/>
        </w:trPr>
        <w:tc>
          <w:tcPr>
            <w:tcW w:w="8778" w:type="dxa"/>
            <w:gridSpan w:val="2"/>
            <w:tcBorders>
              <w:top w:val="nil"/>
              <w:left w:val="nil"/>
              <w:bottom w:val="nil"/>
            </w:tcBorders>
            <w:shd w:val="clear" w:color="auto" w:fill="005695"/>
          </w:tcPr>
          <w:p w:rsidR="00D1511D" w:rsidRDefault="003F0CB3">
            <w:pPr>
              <w:pStyle w:val="TableParagraph"/>
              <w:spacing w:before="47"/>
              <w:ind w:left="82"/>
              <w:rPr>
                <w:sz w:val="19"/>
              </w:rPr>
            </w:pPr>
            <w:r>
              <w:rPr>
                <w:color w:val="FFFFFF"/>
                <w:sz w:val="19"/>
              </w:rPr>
              <w:t>Great Barrier Reef Marine Park Authority</w:t>
            </w:r>
          </w:p>
        </w:tc>
      </w:tr>
      <w:tr w:rsidR="00D1511D">
        <w:trPr>
          <w:trHeight w:val="1202"/>
        </w:trPr>
        <w:tc>
          <w:tcPr>
            <w:tcW w:w="3496" w:type="dxa"/>
            <w:tcBorders>
              <w:top w:val="nil"/>
            </w:tcBorders>
          </w:tcPr>
          <w:p w:rsidR="00D1511D" w:rsidRDefault="003F0CB3">
            <w:pPr>
              <w:pStyle w:val="TableParagraph"/>
              <w:spacing w:before="37" w:line="300" w:lineRule="auto"/>
              <w:ind w:left="80" w:right="142"/>
              <w:rPr>
                <w:sz w:val="19"/>
              </w:rPr>
            </w:pPr>
            <w:r>
              <w:rPr>
                <w:color w:val="231F20"/>
                <w:sz w:val="19"/>
              </w:rPr>
              <w:t>Joint Field Management Program (Australian Government funding)</w:t>
            </w:r>
          </w:p>
        </w:tc>
        <w:tc>
          <w:tcPr>
            <w:tcW w:w="5282" w:type="dxa"/>
            <w:tcBorders>
              <w:top w:val="nil"/>
            </w:tcBorders>
          </w:tcPr>
          <w:p w:rsidR="00D1511D" w:rsidRDefault="003F0CB3">
            <w:pPr>
              <w:pStyle w:val="TableParagraph"/>
              <w:spacing w:before="37"/>
              <w:ind w:left="79" w:right="94"/>
              <w:rPr>
                <w:sz w:val="19"/>
              </w:rPr>
            </w:pPr>
            <w:r>
              <w:rPr>
                <w:color w:val="231F20"/>
                <w:sz w:val="19"/>
              </w:rPr>
              <w:t>The Great Barrier Reef Marine Park Authority and the Queensland Government co-fund the Reef Joint Field Management Program. Through the 2018 Budget, the Australian Government boosted funding of</w:t>
            </w:r>
            <w:r>
              <w:rPr>
                <w:color w:val="231F20"/>
                <w:sz w:val="19"/>
              </w:rPr>
              <w:t xml:space="preserve"> the Joint Field Management Program by $42.685 million from 2018-19 until 2023-24.</w:t>
            </w:r>
          </w:p>
        </w:tc>
      </w:tr>
    </w:tbl>
    <w:p w:rsidR="00D1511D" w:rsidRDefault="00D1511D">
      <w:pPr>
        <w:pStyle w:val="BodyText"/>
        <w:rPr>
          <w:rFonts w:ascii="Myriad Pro"/>
          <w:sz w:val="62"/>
        </w:rPr>
      </w:pPr>
    </w:p>
    <w:p w:rsidR="00D1511D" w:rsidRDefault="003F0CB3">
      <w:pPr>
        <w:spacing w:before="418"/>
        <w:ind w:right="115"/>
        <w:jc w:val="right"/>
        <w:rPr>
          <w:rFonts w:ascii="Myriad Pro"/>
          <w:sz w:val="16"/>
        </w:rPr>
      </w:pPr>
      <w:r>
        <w:rPr>
          <w:rFonts w:ascii="Myriad Pro"/>
          <w:color w:val="231F20"/>
          <w:sz w:val="16"/>
        </w:rPr>
        <w:t>55</w:t>
      </w:r>
    </w:p>
    <w:p w:rsidR="00D1511D" w:rsidRDefault="00D1511D">
      <w:pPr>
        <w:jc w:val="right"/>
        <w:rPr>
          <w:rFonts w:ascii="Myriad Pro"/>
          <w:sz w:val="16"/>
        </w:rPr>
        <w:sectPr w:rsidR="00D1511D">
          <w:headerReference w:type="default" r:id="rId114"/>
          <w:pgSz w:w="11910" w:h="16840"/>
          <w:pgMar w:top="880" w:right="1300" w:bottom="0" w:left="130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6"/>
        <w:rPr>
          <w:rFonts w:ascii="Myriad Pro"/>
          <w:sz w:val="25"/>
        </w:rPr>
      </w:pPr>
    </w:p>
    <w:tbl>
      <w:tblPr>
        <w:tblW w:w="0" w:type="auto"/>
        <w:tblInd w:w="41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496"/>
        <w:gridCol w:w="5282"/>
      </w:tblGrid>
      <w:tr w:rsidR="00D1511D">
        <w:trPr>
          <w:trHeight w:val="2900"/>
        </w:trPr>
        <w:tc>
          <w:tcPr>
            <w:tcW w:w="3496" w:type="dxa"/>
            <w:tcBorders>
              <w:bottom w:val="nil"/>
            </w:tcBorders>
          </w:tcPr>
          <w:p w:rsidR="00D1511D" w:rsidRDefault="003F0CB3">
            <w:pPr>
              <w:pStyle w:val="TableParagraph"/>
              <w:spacing w:before="39"/>
              <w:ind w:left="80"/>
              <w:rPr>
                <w:sz w:val="19"/>
              </w:rPr>
            </w:pPr>
            <w:r>
              <w:rPr>
                <w:color w:val="231F20"/>
                <w:sz w:val="19"/>
              </w:rPr>
              <w:t>Great Barrier Reef Marine Park Authority**</w:t>
            </w:r>
          </w:p>
        </w:tc>
        <w:tc>
          <w:tcPr>
            <w:tcW w:w="5282" w:type="dxa"/>
            <w:tcBorders>
              <w:bottom w:val="nil"/>
            </w:tcBorders>
          </w:tcPr>
          <w:p w:rsidR="00D1511D" w:rsidRDefault="003F0CB3">
            <w:pPr>
              <w:pStyle w:val="TableParagraph"/>
              <w:spacing w:before="39"/>
              <w:ind w:left="79" w:right="94"/>
              <w:rPr>
                <w:sz w:val="19"/>
              </w:rPr>
            </w:pPr>
            <w:r>
              <w:rPr>
                <w:color w:val="231F20"/>
                <w:sz w:val="19"/>
              </w:rPr>
              <w:t xml:space="preserve">** Funding for this item includes Departmental Appropriation and Environmental Management Charge (EMC). The EMC is a charge associated with most commercial activities, including tourism operations, non-tourist charter operations, and facilities, operating </w:t>
            </w:r>
            <w:r>
              <w:rPr>
                <w:color w:val="231F20"/>
                <w:sz w:val="19"/>
              </w:rPr>
              <w:t>under a permit issued by the Marine Park Authority.</w:t>
            </w:r>
          </w:p>
          <w:p w:rsidR="00D1511D" w:rsidRDefault="00D1511D">
            <w:pPr>
              <w:pStyle w:val="TableParagraph"/>
              <w:spacing w:before="5"/>
              <w:rPr>
                <w:rFonts w:ascii="Myriad Pro"/>
                <w:sz w:val="28"/>
              </w:rPr>
            </w:pPr>
          </w:p>
          <w:p w:rsidR="00D1511D" w:rsidRDefault="003F0CB3">
            <w:pPr>
              <w:pStyle w:val="TableParagraph"/>
              <w:spacing w:before="1"/>
              <w:ind w:left="79"/>
              <w:rPr>
                <w:sz w:val="19"/>
              </w:rPr>
            </w:pPr>
            <w:r>
              <w:rPr>
                <w:color w:val="231F20"/>
                <w:sz w:val="19"/>
              </w:rPr>
              <w:t>Funding for this item does not include Reef HQ sales or permits.</w:t>
            </w:r>
          </w:p>
          <w:p w:rsidR="00D1511D" w:rsidRDefault="00D1511D">
            <w:pPr>
              <w:pStyle w:val="TableParagraph"/>
              <w:spacing w:before="5"/>
              <w:rPr>
                <w:rFonts w:ascii="Myriad Pro"/>
                <w:sz w:val="28"/>
              </w:rPr>
            </w:pPr>
          </w:p>
          <w:p w:rsidR="00D1511D" w:rsidRDefault="003F0CB3">
            <w:pPr>
              <w:pStyle w:val="TableParagraph"/>
              <w:spacing w:before="0"/>
              <w:ind w:left="79" w:right="779"/>
              <w:rPr>
                <w:sz w:val="19"/>
              </w:rPr>
            </w:pPr>
            <w:r>
              <w:rPr>
                <w:b/>
                <w:color w:val="231F20"/>
                <w:sz w:val="19"/>
              </w:rPr>
              <w:t>TBD</w:t>
            </w:r>
            <w:r>
              <w:rPr>
                <w:color w:val="231F20"/>
                <w:sz w:val="19"/>
              </w:rPr>
              <w:t>- 2023-24 funding will be determined as part of future Australian Government budget processes.</w:t>
            </w:r>
          </w:p>
        </w:tc>
      </w:tr>
      <w:tr w:rsidR="00D1511D">
        <w:trPr>
          <w:trHeight w:val="307"/>
        </w:trPr>
        <w:tc>
          <w:tcPr>
            <w:tcW w:w="8778" w:type="dxa"/>
            <w:gridSpan w:val="2"/>
            <w:tcBorders>
              <w:top w:val="nil"/>
              <w:left w:val="nil"/>
              <w:bottom w:val="nil"/>
            </w:tcBorders>
            <w:shd w:val="clear" w:color="auto" w:fill="005695"/>
          </w:tcPr>
          <w:p w:rsidR="00D1511D" w:rsidRDefault="003F0CB3">
            <w:pPr>
              <w:pStyle w:val="TableParagraph"/>
              <w:spacing w:before="47"/>
              <w:ind w:left="82"/>
              <w:rPr>
                <w:sz w:val="19"/>
              </w:rPr>
            </w:pPr>
            <w:r>
              <w:rPr>
                <w:color w:val="FFFFFF"/>
                <w:sz w:val="19"/>
              </w:rPr>
              <w:t>Australian Maritime Safety Authority</w:t>
            </w:r>
          </w:p>
        </w:tc>
      </w:tr>
      <w:tr w:rsidR="00D1511D">
        <w:trPr>
          <w:trHeight w:val="974"/>
        </w:trPr>
        <w:tc>
          <w:tcPr>
            <w:tcW w:w="3496" w:type="dxa"/>
            <w:tcBorders>
              <w:top w:val="nil"/>
            </w:tcBorders>
          </w:tcPr>
          <w:p w:rsidR="00D1511D" w:rsidRDefault="00D1511D">
            <w:pPr>
              <w:pStyle w:val="TableParagraph"/>
              <w:spacing w:before="0"/>
              <w:rPr>
                <w:rFonts w:ascii="Times New Roman"/>
                <w:sz w:val="18"/>
              </w:rPr>
            </w:pPr>
          </w:p>
        </w:tc>
        <w:tc>
          <w:tcPr>
            <w:tcW w:w="5282" w:type="dxa"/>
            <w:tcBorders>
              <w:top w:val="nil"/>
            </w:tcBorders>
          </w:tcPr>
          <w:p w:rsidR="00D1511D" w:rsidRDefault="003F0CB3">
            <w:pPr>
              <w:pStyle w:val="TableParagraph"/>
              <w:spacing w:before="37"/>
              <w:ind w:left="79" w:right="215"/>
              <w:jc w:val="both"/>
              <w:rPr>
                <w:sz w:val="19"/>
              </w:rPr>
            </w:pPr>
            <w:r>
              <w:rPr>
                <w:color w:val="231F20"/>
                <w:sz w:val="19"/>
              </w:rPr>
              <w:t xml:space="preserve">The Australian Maritime Safety </w:t>
            </w:r>
            <w:r>
              <w:rPr>
                <w:color w:val="231F20"/>
                <w:spacing w:val="-3"/>
                <w:sz w:val="19"/>
              </w:rPr>
              <w:t xml:space="preserve">Authority, </w:t>
            </w:r>
            <w:r>
              <w:rPr>
                <w:color w:val="231F20"/>
                <w:sz w:val="19"/>
              </w:rPr>
              <w:t xml:space="preserve">together with the </w:t>
            </w:r>
            <w:r>
              <w:rPr>
                <w:color w:val="231F20"/>
                <w:spacing w:val="-4"/>
                <w:sz w:val="19"/>
              </w:rPr>
              <w:t xml:space="preserve">Marine </w:t>
            </w:r>
            <w:r>
              <w:rPr>
                <w:color w:val="231F20"/>
                <w:spacing w:val="-3"/>
                <w:sz w:val="19"/>
              </w:rPr>
              <w:t xml:space="preserve">Park </w:t>
            </w:r>
            <w:r>
              <w:rPr>
                <w:color w:val="231F20"/>
                <w:sz w:val="19"/>
              </w:rPr>
              <w:t>Authority and Maritime Safety Queensland, administer a suite of measures that regulate all ship activities within the region.</w:t>
            </w:r>
          </w:p>
        </w:tc>
      </w:tr>
    </w:tbl>
    <w:p w:rsidR="00D1511D" w:rsidRDefault="00D1511D">
      <w:pPr>
        <w:pStyle w:val="BodyText"/>
        <w:spacing w:before="11"/>
        <w:rPr>
          <w:rFonts w:ascii="Myriad Pro"/>
          <w:sz w:val="17"/>
        </w:rPr>
      </w:pPr>
    </w:p>
    <w:p w:rsidR="00D1511D" w:rsidRDefault="003F0CB3">
      <w:pPr>
        <w:spacing w:before="98"/>
        <w:ind w:left="400"/>
        <w:rPr>
          <w:sz w:val="19"/>
        </w:rPr>
      </w:pPr>
      <w:r>
        <w:rPr>
          <w:color w:val="231F20"/>
          <w:sz w:val="19"/>
        </w:rPr>
        <w:t>Additional Australian Government funding for the Reef is provided through:</w:t>
      </w:r>
    </w:p>
    <w:p w:rsidR="00D1511D" w:rsidRDefault="00D1511D">
      <w:pPr>
        <w:pStyle w:val="BodyText"/>
        <w:spacing w:before="6"/>
        <w:rPr>
          <w:sz w:val="28"/>
        </w:rPr>
      </w:pPr>
    </w:p>
    <w:p w:rsidR="00D1511D" w:rsidRDefault="003F0CB3">
      <w:pPr>
        <w:pStyle w:val="ListParagraph"/>
        <w:numPr>
          <w:ilvl w:val="0"/>
          <w:numId w:val="34"/>
        </w:numPr>
        <w:tabs>
          <w:tab w:val="left" w:pos="760"/>
          <w:tab w:val="left" w:pos="761"/>
        </w:tabs>
        <w:ind w:right="284"/>
        <w:rPr>
          <w:sz w:val="19"/>
        </w:rPr>
      </w:pPr>
      <w:r>
        <w:rPr>
          <w:color w:val="231F20"/>
          <w:sz w:val="19"/>
        </w:rPr>
        <w:t xml:space="preserve">The Commonwealth Scientific and Industrial Research </w:t>
      </w:r>
      <w:proofErr w:type="spellStart"/>
      <w:r>
        <w:rPr>
          <w:color w:val="231F20"/>
          <w:sz w:val="19"/>
        </w:rPr>
        <w:t>Organisation</w:t>
      </w:r>
      <w:proofErr w:type="spellEnd"/>
      <w:r>
        <w:rPr>
          <w:color w:val="231F20"/>
          <w:sz w:val="19"/>
        </w:rPr>
        <w:t xml:space="preserve"> (CSIRO), including significant</w:t>
      </w:r>
      <w:r>
        <w:rPr>
          <w:color w:val="231F20"/>
          <w:spacing w:val="-29"/>
          <w:sz w:val="19"/>
        </w:rPr>
        <w:t xml:space="preserve"> </w:t>
      </w:r>
      <w:r>
        <w:rPr>
          <w:color w:val="231F20"/>
          <w:spacing w:val="-3"/>
          <w:sz w:val="19"/>
        </w:rPr>
        <w:t xml:space="preserve">investments </w:t>
      </w:r>
      <w:r>
        <w:rPr>
          <w:color w:val="231F20"/>
          <w:sz w:val="19"/>
        </w:rPr>
        <w:t>in understanding water quality and how agricultural practices affect sediment and nutrient loss, as well</w:t>
      </w:r>
      <w:r>
        <w:rPr>
          <w:color w:val="231F20"/>
          <w:spacing w:val="-6"/>
          <w:sz w:val="19"/>
        </w:rPr>
        <w:t xml:space="preserve"> </w:t>
      </w:r>
      <w:r>
        <w:rPr>
          <w:color w:val="231F20"/>
          <w:sz w:val="19"/>
        </w:rPr>
        <w:t>as</w:t>
      </w:r>
    </w:p>
    <w:p w:rsidR="00D1511D" w:rsidRDefault="003F0CB3">
      <w:pPr>
        <w:spacing w:before="52"/>
        <w:ind w:left="760"/>
        <w:rPr>
          <w:sz w:val="19"/>
        </w:rPr>
      </w:pPr>
      <w:r>
        <w:rPr>
          <w:color w:val="231F20"/>
          <w:sz w:val="19"/>
        </w:rPr>
        <w:t xml:space="preserve">developing practical solutions for land </w:t>
      </w:r>
      <w:r>
        <w:rPr>
          <w:color w:val="231F20"/>
          <w:sz w:val="19"/>
        </w:rPr>
        <w:t>managers to reduce these losses.</w:t>
      </w:r>
    </w:p>
    <w:p w:rsidR="00D1511D" w:rsidRDefault="003F0CB3">
      <w:pPr>
        <w:pStyle w:val="ListParagraph"/>
        <w:numPr>
          <w:ilvl w:val="0"/>
          <w:numId w:val="34"/>
        </w:numPr>
        <w:tabs>
          <w:tab w:val="left" w:pos="760"/>
          <w:tab w:val="left" w:pos="761"/>
        </w:tabs>
        <w:spacing w:before="56"/>
        <w:ind w:right="182"/>
        <w:rPr>
          <w:sz w:val="19"/>
        </w:rPr>
      </w:pPr>
      <w:r>
        <w:rPr>
          <w:color w:val="231F20"/>
          <w:sz w:val="19"/>
        </w:rPr>
        <w:t xml:space="preserve">The Bureau of Meteorology (BOM) is </w:t>
      </w:r>
      <w:r>
        <w:rPr>
          <w:color w:val="231F20"/>
          <w:spacing w:val="-4"/>
          <w:sz w:val="19"/>
        </w:rPr>
        <w:t xml:space="preserve">Australia’s </w:t>
      </w:r>
      <w:r>
        <w:rPr>
          <w:color w:val="231F20"/>
          <w:sz w:val="19"/>
        </w:rPr>
        <w:t xml:space="preserve">national weather, marine, climate and water information </w:t>
      </w:r>
      <w:r>
        <w:rPr>
          <w:color w:val="231F20"/>
          <w:spacing w:val="-3"/>
          <w:sz w:val="19"/>
        </w:rPr>
        <w:t xml:space="preserve">agency. </w:t>
      </w:r>
      <w:r>
        <w:rPr>
          <w:color w:val="231F20"/>
          <w:spacing w:val="-4"/>
          <w:sz w:val="19"/>
        </w:rPr>
        <w:t xml:space="preserve">BOM’s </w:t>
      </w:r>
      <w:r>
        <w:rPr>
          <w:color w:val="231F20"/>
          <w:sz w:val="19"/>
        </w:rPr>
        <w:t xml:space="preserve">operational services, including weather and ocean forecasts, climate outlooks including ocean temperature </w:t>
      </w:r>
      <w:r>
        <w:rPr>
          <w:color w:val="231F20"/>
          <w:sz w:val="19"/>
        </w:rPr>
        <w:t xml:space="preserve">outlooks for the Reef lagoon, flood and streamflow forecasts and tropical cyclone warnings, and they provide critical support to communities and agencies in the Great Barrier Reef region. BOM is part of the </w:t>
      </w:r>
      <w:proofErr w:type="spellStart"/>
      <w:r>
        <w:rPr>
          <w:color w:val="231F20"/>
          <w:sz w:val="19"/>
        </w:rPr>
        <w:t>eReefs</w:t>
      </w:r>
      <w:proofErr w:type="spellEnd"/>
      <w:r>
        <w:rPr>
          <w:color w:val="231F20"/>
          <w:sz w:val="19"/>
        </w:rPr>
        <w:t>+</w:t>
      </w:r>
      <w:r>
        <w:rPr>
          <w:color w:val="231F20"/>
          <w:spacing w:val="-6"/>
          <w:sz w:val="19"/>
        </w:rPr>
        <w:t xml:space="preserve"> </w:t>
      </w:r>
      <w:r>
        <w:rPr>
          <w:color w:val="231F20"/>
          <w:spacing w:val="-3"/>
          <w:sz w:val="19"/>
        </w:rPr>
        <w:t>project.</w:t>
      </w:r>
    </w:p>
    <w:p w:rsidR="00D1511D" w:rsidRDefault="00D1511D">
      <w:pPr>
        <w:pStyle w:val="BodyText"/>
      </w:pPr>
    </w:p>
    <w:p w:rsidR="00D1511D" w:rsidRDefault="00D1511D">
      <w:pPr>
        <w:pStyle w:val="BodyText"/>
        <w:spacing w:before="9" w:after="1"/>
        <w:rPr>
          <w:sz w:val="10"/>
        </w:rPr>
      </w:pPr>
    </w:p>
    <w:tbl>
      <w:tblPr>
        <w:tblW w:w="0" w:type="auto"/>
        <w:tblInd w:w="41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496"/>
        <w:gridCol w:w="5282"/>
      </w:tblGrid>
      <w:tr w:rsidR="00D1511D">
        <w:trPr>
          <w:trHeight w:val="307"/>
        </w:trPr>
        <w:tc>
          <w:tcPr>
            <w:tcW w:w="8778" w:type="dxa"/>
            <w:gridSpan w:val="2"/>
            <w:tcBorders>
              <w:top w:val="nil"/>
              <w:left w:val="nil"/>
              <w:bottom w:val="nil"/>
              <w:right w:val="nil"/>
            </w:tcBorders>
            <w:shd w:val="clear" w:color="auto" w:fill="005695"/>
          </w:tcPr>
          <w:p w:rsidR="00D1511D" w:rsidRDefault="003F0CB3">
            <w:pPr>
              <w:pStyle w:val="TableParagraph"/>
              <w:spacing w:before="47"/>
              <w:ind w:left="82"/>
              <w:rPr>
                <w:sz w:val="19"/>
              </w:rPr>
            </w:pPr>
            <w:r>
              <w:rPr>
                <w:color w:val="FFFFFF"/>
                <w:sz w:val="19"/>
              </w:rPr>
              <w:t>Queensland Government Reef Pro</w:t>
            </w:r>
            <w:r>
              <w:rPr>
                <w:color w:val="FFFFFF"/>
                <w:sz w:val="19"/>
              </w:rPr>
              <w:t>grams</w:t>
            </w:r>
          </w:p>
        </w:tc>
      </w:tr>
      <w:tr w:rsidR="00D1511D">
        <w:trPr>
          <w:trHeight w:val="4127"/>
        </w:trPr>
        <w:tc>
          <w:tcPr>
            <w:tcW w:w="3496" w:type="dxa"/>
            <w:tcBorders>
              <w:top w:val="nil"/>
            </w:tcBorders>
          </w:tcPr>
          <w:p w:rsidR="00D1511D" w:rsidRDefault="003F0CB3">
            <w:pPr>
              <w:pStyle w:val="TableParagraph"/>
              <w:spacing w:before="37"/>
              <w:ind w:left="80"/>
              <w:rPr>
                <w:sz w:val="19"/>
              </w:rPr>
            </w:pPr>
            <w:r>
              <w:rPr>
                <w:color w:val="231F20"/>
                <w:sz w:val="19"/>
              </w:rPr>
              <w:t>Queensland Government Reef Water Quality Program</w:t>
            </w:r>
          </w:p>
        </w:tc>
        <w:tc>
          <w:tcPr>
            <w:tcW w:w="5282" w:type="dxa"/>
            <w:tcBorders>
              <w:top w:val="nil"/>
            </w:tcBorders>
          </w:tcPr>
          <w:p w:rsidR="00D1511D" w:rsidRDefault="003F0CB3">
            <w:pPr>
              <w:pStyle w:val="TableParagraph"/>
              <w:spacing w:before="37"/>
              <w:ind w:left="79" w:right="94"/>
              <w:rPr>
                <w:sz w:val="19"/>
              </w:rPr>
            </w:pPr>
            <w:r>
              <w:rPr>
                <w:color w:val="231F20"/>
                <w:sz w:val="19"/>
              </w:rPr>
              <w:t xml:space="preserve">*$2.1 million provided by Queensland Government in 2016-17 for the Reef Trust Phase IV Enhanced Efficiency </w:t>
            </w:r>
            <w:proofErr w:type="spellStart"/>
            <w:r>
              <w:rPr>
                <w:color w:val="231F20"/>
                <w:sz w:val="19"/>
              </w:rPr>
              <w:t>Fertiliser</w:t>
            </w:r>
            <w:proofErr w:type="spellEnd"/>
            <w:r>
              <w:rPr>
                <w:color w:val="231F20"/>
                <w:sz w:val="19"/>
              </w:rPr>
              <w:t xml:space="preserve"> Project with expenditure to occur from 2016-17 to 2019-20 is reported under Queensland Government investment (and not captured in the Reef</w:t>
            </w:r>
            <w:r>
              <w:rPr>
                <w:color w:val="231F20"/>
                <w:sz w:val="19"/>
              </w:rPr>
              <w:t xml:space="preserve"> Trust).</w:t>
            </w:r>
          </w:p>
          <w:p w:rsidR="00D1511D" w:rsidRDefault="003F0CB3">
            <w:pPr>
              <w:pStyle w:val="TableParagraph"/>
              <w:spacing w:before="56"/>
              <w:ind w:left="79" w:right="779"/>
              <w:rPr>
                <w:sz w:val="19"/>
              </w:rPr>
            </w:pPr>
            <w:r>
              <w:rPr>
                <w:b/>
                <w:color w:val="231F20"/>
                <w:sz w:val="19"/>
              </w:rPr>
              <w:t>TBD</w:t>
            </w:r>
            <w:r>
              <w:rPr>
                <w:color w:val="231F20"/>
                <w:sz w:val="19"/>
              </w:rPr>
              <w:t>- 2023-24 funding will be determined as part of future Queensland Government budget processes.</w:t>
            </w:r>
          </w:p>
          <w:p w:rsidR="00D1511D" w:rsidRDefault="003F0CB3">
            <w:pPr>
              <w:pStyle w:val="TableParagraph"/>
              <w:spacing w:before="57"/>
              <w:ind w:left="79"/>
              <w:rPr>
                <w:sz w:val="19"/>
              </w:rPr>
            </w:pPr>
            <w:r>
              <w:rPr>
                <w:color w:val="231F20"/>
                <w:sz w:val="19"/>
              </w:rPr>
              <w:t>Since 2015, the Queensland Government has invested approximately</w:t>
            </w:r>
          </w:p>
          <w:p w:rsidR="00D1511D" w:rsidRDefault="003F0CB3">
            <w:pPr>
              <w:pStyle w:val="TableParagraph"/>
              <w:spacing w:before="0"/>
              <w:ind w:left="79" w:right="32"/>
              <w:rPr>
                <w:sz w:val="19"/>
              </w:rPr>
            </w:pPr>
            <w:r>
              <w:rPr>
                <w:color w:val="231F20"/>
                <w:sz w:val="19"/>
              </w:rPr>
              <w:t>$570 million into initiatives targeted solely at the protection of the Reef. In addi</w:t>
            </w:r>
            <w:r>
              <w:rPr>
                <w:color w:val="231F20"/>
                <w:sz w:val="19"/>
              </w:rPr>
              <w:t>tion, the Queensland Government delivers a range of other programs that apply to the whole state of Queensland, with the Great Barrier Reef and its catchment making up a significant proportion of the state. The Queensland Reef Water Quality Program is inve</w:t>
            </w:r>
            <w:r>
              <w:rPr>
                <w:color w:val="231F20"/>
                <w:sz w:val="19"/>
              </w:rPr>
              <w:t>sted through three Queensland Government agencies, the Department of Environment and Science, the Department of Agriculture and Fisheries and the Department of Natural Resources, Mines and Energy.</w:t>
            </w:r>
          </w:p>
        </w:tc>
      </w:tr>
      <w:tr w:rsidR="00D1511D">
        <w:trPr>
          <w:trHeight w:val="1804"/>
        </w:trPr>
        <w:tc>
          <w:tcPr>
            <w:tcW w:w="3496" w:type="dxa"/>
            <w:tcBorders>
              <w:bottom w:val="single" w:sz="4" w:space="0" w:color="005695"/>
            </w:tcBorders>
          </w:tcPr>
          <w:p w:rsidR="00D1511D" w:rsidRDefault="003F0CB3">
            <w:pPr>
              <w:pStyle w:val="TableParagraph"/>
              <w:spacing w:before="39" w:line="300" w:lineRule="auto"/>
              <w:ind w:left="80" w:right="142"/>
              <w:rPr>
                <w:sz w:val="19"/>
              </w:rPr>
            </w:pPr>
            <w:r>
              <w:rPr>
                <w:color w:val="231F20"/>
                <w:sz w:val="19"/>
              </w:rPr>
              <w:t>Joint Field Management Program (Queensland Government fund</w:t>
            </w:r>
            <w:r>
              <w:rPr>
                <w:color w:val="231F20"/>
                <w:sz w:val="19"/>
              </w:rPr>
              <w:t>ing)</w:t>
            </w:r>
          </w:p>
        </w:tc>
        <w:tc>
          <w:tcPr>
            <w:tcW w:w="5282" w:type="dxa"/>
            <w:tcBorders>
              <w:bottom w:val="single" w:sz="4" w:space="0" w:color="005695"/>
            </w:tcBorders>
          </w:tcPr>
          <w:p w:rsidR="00D1511D" w:rsidRDefault="003F0CB3">
            <w:pPr>
              <w:pStyle w:val="TableParagraph"/>
              <w:spacing w:before="39"/>
              <w:ind w:left="79" w:right="8"/>
              <w:rPr>
                <w:sz w:val="19"/>
              </w:rPr>
            </w:pPr>
            <w:r>
              <w:rPr>
                <w:color w:val="231F20"/>
                <w:sz w:val="19"/>
              </w:rPr>
              <w:t>The Queensland Government and the Great Barrier Reef Marine Park Authority (GBRMPA). co-fund the Reef Joint Field Management Program.</w:t>
            </w:r>
          </w:p>
          <w:p w:rsidR="00D1511D" w:rsidRDefault="003F0CB3">
            <w:pPr>
              <w:pStyle w:val="TableParagraph"/>
              <w:spacing w:before="57"/>
              <w:ind w:left="79"/>
              <w:rPr>
                <w:sz w:val="19"/>
              </w:rPr>
            </w:pPr>
            <w:r>
              <w:rPr>
                <w:color w:val="231F20"/>
                <w:sz w:val="19"/>
              </w:rPr>
              <w:t>The Queensland Government contributed over $8 million per year to the program until additional funding was announced in 2018 which will see the Queensland Government’s contribution grow to over $19 million by 2021.</w:t>
            </w:r>
          </w:p>
        </w:tc>
      </w:tr>
    </w:tbl>
    <w:p w:rsidR="00D1511D" w:rsidRDefault="00D1511D">
      <w:pPr>
        <w:pStyle w:val="BodyText"/>
        <w:rPr>
          <w:sz w:val="24"/>
        </w:rPr>
      </w:pPr>
    </w:p>
    <w:p w:rsidR="00D1511D" w:rsidRDefault="00D1511D">
      <w:pPr>
        <w:pStyle w:val="BodyText"/>
        <w:rPr>
          <w:sz w:val="24"/>
        </w:rPr>
      </w:pPr>
    </w:p>
    <w:p w:rsidR="00D1511D" w:rsidRDefault="00D1511D">
      <w:pPr>
        <w:pStyle w:val="BodyText"/>
        <w:spacing w:before="6"/>
        <w:rPr>
          <w:sz w:val="34"/>
        </w:rPr>
      </w:pPr>
    </w:p>
    <w:p w:rsidR="00D1511D" w:rsidRDefault="003F0CB3">
      <w:pPr>
        <w:ind w:left="117"/>
        <w:rPr>
          <w:rFonts w:ascii="Myriad Pro"/>
          <w:sz w:val="16"/>
        </w:rPr>
      </w:pPr>
      <w:r>
        <w:rPr>
          <w:rFonts w:ascii="Myriad Pro"/>
          <w:color w:val="231F20"/>
          <w:sz w:val="16"/>
        </w:rPr>
        <w:t xml:space="preserve">56 / </w:t>
      </w:r>
      <w:r>
        <w:rPr>
          <w:rFonts w:ascii="Myriad Pro"/>
          <w:color w:val="005695"/>
          <w:sz w:val="16"/>
        </w:rPr>
        <w:t xml:space="preserve">State Party Report on the state </w:t>
      </w:r>
      <w:r>
        <w:rPr>
          <w:rFonts w:ascii="Myriad Pro"/>
          <w:color w:val="005695"/>
          <w:sz w:val="16"/>
        </w:rPr>
        <w:t xml:space="preserve">of conservation of the </w:t>
      </w:r>
      <w:r>
        <w:rPr>
          <w:rFonts w:ascii="Myriad Pro"/>
          <w:b/>
          <w:color w:val="005695"/>
          <w:sz w:val="16"/>
        </w:rPr>
        <w:t xml:space="preserve">Great Barrier Reef World Heritage Area (Australia) </w:t>
      </w:r>
      <w:r>
        <w:rPr>
          <w:rFonts w:ascii="Myriad Pro"/>
          <w:color w:val="005695"/>
          <w:sz w:val="16"/>
        </w:rPr>
        <w:t>2019</w:t>
      </w:r>
    </w:p>
    <w:p w:rsidR="00D1511D" w:rsidRDefault="00D1511D">
      <w:pPr>
        <w:rPr>
          <w:rFonts w:ascii="Myriad Pro"/>
          <w:sz w:val="16"/>
        </w:rPr>
        <w:sectPr w:rsidR="00D1511D">
          <w:pgSz w:w="11910" w:h="16840"/>
          <w:pgMar w:top="880" w:right="1300" w:bottom="0" w:left="130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10"/>
        <w:rPr>
          <w:rFonts w:ascii="Myriad Pro"/>
          <w:sz w:val="11"/>
        </w:rPr>
      </w:pPr>
    </w:p>
    <w:tbl>
      <w:tblPr>
        <w:tblW w:w="0" w:type="auto"/>
        <w:tblInd w:w="413" w:type="dxa"/>
        <w:tblLayout w:type="fixed"/>
        <w:tblCellMar>
          <w:left w:w="0" w:type="dxa"/>
          <w:right w:w="0" w:type="dxa"/>
        </w:tblCellMar>
        <w:tblLook w:val="01E0" w:firstRow="1" w:lastRow="1" w:firstColumn="1" w:lastColumn="1" w:noHBand="0" w:noVBand="0"/>
      </w:tblPr>
      <w:tblGrid>
        <w:gridCol w:w="3496"/>
        <w:gridCol w:w="5282"/>
      </w:tblGrid>
      <w:tr w:rsidR="00D1511D">
        <w:trPr>
          <w:trHeight w:val="307"/>
        </w:trPr>
        <w:tc>
          <w:tcPr>
            <w:tcW w:w="8778" w:type="dxa"/>
            <w:gridSpan w:val="2"/>
            <w:tcBorders>
              <w:right w:val="single" w:sz="2" w:space="0" w:color="231F20"/>
            </w:tcBorders>
            <w:shd w:val="clear" w:color="auto" w:fill="005695"/>
          </w:tcPr>
          <w:p w:rsidR="00D1511D" w:rsidRDefault="003F0CB3">
            <w:pPr>
              <w:pStyle w:val="TableParagraph"/>
              <w:spacing w:before="47"/>
              <w:ind w:left="82"/>
              <w:rPr>
                <w:sz w:val="19"/>
              </w:rPr>
            </w:pPr>
            <w:r>
              <w:rPr>
                <w:color w:val="FFFFFF"/>
                <w:sz w:val="19"/>
              </w:rPr>
              <w:t>Queensland Sustainable Fisheries Programs</w:t>
            </w:r>
          </w:p>
        </w:tc>
      </w:tr>
      <w:tr w:rsidR="00D1511D">
        <w:trPr>
          <w:trHeight w:val="1388"/>
        </w:trPr>
        <w:tc>
          <w:tcPr>
            <w:tcW w:w="3496" w:type="dxa"/>
            <w:tcBorders>
              <w:left w:val="single" w:sz="2" w:space="0" w:color="231F20"/>
              <w:right w:val="single" w:sz="2" w:space="0" w:color="231F20"/>
            </w:tcBorders>
          </w:tcPr>
          <w:p w:rsidR="00D1511D" w:rsidRDefault="00D1511D">
            <w:pPr>
              <w:pStyle w:val="TableParagraph"/>
              <w:spacing w:before="0"/>
              <w:rPr>
                <w:rFonts w:ascii="Times New Roman"/>
                <w:sz w:val="18"/>
              </w:rPr>
            </w:pPr>
          </w:p>
        </w:tc>
        <w:tc>
          <w:tcPr>
            <w:tcW w:w="5282" w:type="dxa"/>
            <w:tcBorders>
              <w:left w:val="single" w:sz="2" w:space="0" w:color="231F20"/>
              <w:right w:val="single" w:sz="2" w:space="0" w:color="231F20"/>
            </w:tcBorders>
          </w:tcPr>
          <w:p w:rsidR="00D1511D" w:rsidRDefault="003F0CB3">
            <w:pPr>
              <w:pStyle w:val="TableParagraph"/>
              <w:spacing w:before="37"/>
              <w:ind w:left="79" w:right="779"/>
              <w:rPr>
                <w:sz w:val="19"/>
              </w:rPr>
            </w:pPr>
            <w:r>
              <w:rPr>
                <w:b/>
                <w:color w:val="231F20"/>
                <w:sz w:val="19"/>
              </w:rPr>
              <w:t>TBD</w:t>
            </w:r>
            <w:r>
              <w:rPr>
                <w:color w:val="231F20"/>
                <w:sz w:val="19"/>
              </w:rPr>
              <w:t>- 2023-24 funding will be determined as part of future Queensland Government budget processes.</w:t>
            </w:r>
          </w:p>
          <w:p w:rsidR="00D1511D" w:rsidRDefault="003F0CB3">
            <w:pPr>
              <w:pStyle w:val="TableParagraph"/>
              <w:spacing w:before="56"/>
              <w:ind w:left="79" w:right="94"/>
              <w:rPr>
                <w:sz w:val="19"/>
              </w:rPr>
            </w:pPr>
            <w:r>
              <w:rPr>
                <w:color w:val="231F20"/>
                <w:sz w:val="19"/>
              </w:rPr>
              <w:t>The Queensland Government Department of Agriculture and Fisheries developed and commenced implementation of the Queensland Sustainable Fisheries Strategy.</w:t>
            </w:r>
          </w:p>
        </w:tc>
      </w:tr>
      <w:tr w:rsidR="00D1511D">
        <w:trPr>
          <w:trHeight w:val="307"/>
        </w:trPr>
        <w:tc>
          <w:tcPr>
            <w:tcW w:w="8778" w:type="dxa"/>
            <w:gridSpan w:val="2"/>
            <w:tcBorders>
              <w:right w:val="single" w:sz="2" w:space="0" w:color="231F20"/>
            </w:tcBorders>
            <w:shd w:val="clear" w:color="auto" w:fill="005695"/>
          </w:tcPr>
          <w:p w:rsidR="00D1511D" w:rsidRDefault="003F0CB3">
            <w:pPr>
              <w:pStyle w:val="TableParagraph"/>
              <w:spacing w:before="47"/>
              <w:ind w:left="82"/>
              <w:rPr>
                <w:sz w:val="19"/>
              </w:rPr>
            </w:pPr>
            <w:r>
              <w:rPr>
                <w:color w:val="FFFFFF"/>
                <w:sz w:val="19"/>
              </w:rPr>
              <w:t>Marit</w:t>
            </w:r>
            <w:r>
              <w:rPr>
                <w:color w:val="FFFFFF"/>
                <w:sz w:val="19"/>
              </w:rPr>
              <w:t>ime Safety Queensland</w:t>
            </w:r>
          </w:p>
        </w:tc>
      </w:tr>
      <w:tr w:rsidR="00D1511D">
        <w:trPr>
          <w:trHeight w:val="2342"/>
        </w:trPr>
        <w:tc>
          <w:tcPr>
            <w:tcW w:w="3496" w:type="dxa"/>
            <w:tcBorders>
              <w:left w:val="single" w:sz="2" w:space="0" w:color="231F20"/>
              <w:bottom w:val="single" w:sz="2" w:space="0" w:color="231F20"/>
              <w:right w:val="single" w:sz="2" w:space="0" w:color="231F20"/>
            </w:tcBorders>
          </w:tcPr>
          <w:p w:rsidR="00D1511D" w:rsidRDefault="00D1511D">
            <w:pPr>
              <w:pStyle w:val="TableParagraph"/>
              <w:spacing w:before="0"/>
              <w:rPr>
                <w:rFonts w:ascii="Times New Roman"/>
                <w:sz w:val="18"/>
              </w:rPr>
            </w:pPr>
          </w:p>
        </w:tc>
        <w:tc>
          <w:tcPr>
            <w:tcW w:w="5282" w:type="dxa"/>
            <w:tcBorders>
              <w:left w:val="single" w:sz="2" w:space="0" w:color="231F20"/>
              <w:bottom w:val="single" w:sz="2" w:space="0" w:color="231F20"/>
              <w:right w:val="single" w:sz="2" w:space="0" w:color="231F20"/>
            </w:tcBorders>
          </w:tcPr>
          <w:p w:rsidR="00D1511D" w:rsidRDefault="003F0CB3">
            <w:pPr>
              <w:pStyle w:val="TableParagraph"/>
              <w:spacing w:before="37"/>
              <w:ind w:left="79"/>
              <w:rPr>
                <w:sz w:val="19"/>
              </w:rPr>
            </w:pPr>
            <w:r>
              <w:rPr>
                <w:color w:val="231F20"/>
                <w:sz w:val="19"/>
              </w:rPr>
              <w:t xml:space="preserve">Maritime Safety Queensland is responsible for improving maritime safety in Queensland waters, </w:t>
            </w:r>
            <w:proofErr w:type="spellStart"/>
            <w:r>
              <w:rPr>
                <w:color w:val="231F20"/>
                <w:sz w:val="19"/>
              </w:rPr>
              <w:t>minimising</w:t>
            </w:r>
            <w:proofErr w:type="spellEnd"/>
            <w:r>
              <w:rPr>
                <w:color w:val="231F20"/>
                <w:sz w:val="19"/>
              </w:rPr>
              <w:t xml:space="preserve"> vessel-sourced waste, responding to marine pollution incidents, and providing essential maritime services such as aids to navigation and vessel traffic</w:t>
            </w:r>
            <w:r>
              <w:rPr>
                <w:color w:val="231F20"/>
                <w:sz w:val="19"/>
              </w:rPr>
              <w:t xml:space="preserve"> services. Maritime Safety Queensland operates the Great Barrier Reef and Torres Strait vessel traffic service, which aims to improve navigational safety, reduce the risk of maritime incidents and respond quickly to incidents that do occur within those reg</w:t>
            </w:r>
            <w:r>
              <w:rPr>
                <w:color w:val="231F20"/>
                <w:sz w:val="19"/>
              </w:rPr>
              <w:t>ions. The Great Barrier Reef and Torres Strait vessel traffic service is supported by a User Guide which was published in 2017.</w:t>
            </w:r>
          </w:p>
        </w:tc>
      </w:tr>
    </w:tbl>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3"/>
        <w:rPr>
          <w:rFonts w:ascii="Myriad Pro"/>
          <w:sz w:val="22"/>
        </w:rPr>
      </w:pPr>
    </w:p>
    <w:p w:rsidR="00D1511D" w:rsidRDefault="003F0CB3">
      <w:pPr>
        <w:spacing w:before="100"/>
        <w:ind w:right="115"/>
        <w:jc w:val="right"/>
        <w:rPr>
          <w:rFonts w:ascii="Myriad Pro"/>
          <w:sz w:val="16"/>
        </w:rPr>
      </w:pPr>
      <w:r>
        <w:rPr>
          <w:rFonts w:ascii="Myriad Pro"/>
          <w:color w:val="231F20"/>
          <w:sz w:val="16"/>
        </w:rPr>
        <w:t>57</w:t>
      </w:r>
    </w:p>
    <w:p w:rsidR="00D1511D" w:rsidRDefault="00D1511D">
      <w:pPr>
        <w:jc w:val="right"/>
        <w:rPr>
          <w:rFonts w:ascii="Myriad Pro"/>
          <w:sz w:val="16"/>
        </w:rPr>
        <w:sectPr w:rsidR="00D1511D">
          <w:pgSz w:w="11910" w:h="16840"/>
          <w:pgMar w:top="880" w:right="1300" w:bottom="0" w:left="130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3F0CB3">
      <w:pPr>
        <w:pStyle w:val="Heading1"/>
        <w:spacing w:before="226" w:line="237" w:lineRule="auto"/>
        <w:ind w:right="653" w:hanging="1"/>
      </w:pPr>
      <w:bookmarkStart w:id="7" w:name="_TOC_250001"/>
      <w:r>
        <w:rPr>
          <w:color w:val="005695"/>
          <w:spacing w:val="-5"/>
        </w:rPr>
        <w:t xml:space="preserve">Appendix </w:t>
      </w:r>
      <w:r>
        <w:rPr>
          <w:color w:val="005695"/>
          <w:spacing w:val="-3"/>
        </w:rPr>
        <w:t xml:space="preserve">C: </w:t>
      </w:r>
      <w:r>
        <w:rPr>
          <w:color w:val="005695"/>
          <w:spacing w:val="-8"/>
        </w:rPr>
        <w:t xml:space="preserve">World </w:t>
      </w:r>
      <w:r>
        <w:rPr>
          <w:color w:val="005695"/>
          <w:spacing w:val="-5"/>
        </w:rPr>
        <w:t xml:space="preserve">Heritage </w:t>
      </w:r>
      <w:r>
        <w:rPr>
          <w:color w:val="005695"/>
          <w:spacing w:val="-6"/>
        </w:rPr>
        <w:t xml:space="preserve">Committee </w:t>
      </w:r>
      <w:bookmarkEnd w:id="7"/>
      <w:r>
        <w:rPr>
          <w:color w:val="005695"/>
          <w:spacing w:val="-7"/>
        </w:rPr>
        <w:t>Decisions</w:t>
      </w:r>
    </w:p>
    <w:p w:rsidR="00D1511D" w:rsidRDefault="003F0CB3">
      <w:pPr>
        <w:spacing w:before="493"/>
        <w:ind w:left="400"/>
        <w:rPr>
          <w:b/>
          <w:sz w:val="19"/>
        </w:rPr>
      </w:pPr>
      <w:r>
        <w:rPr>
          <w:b/>
          <w:color w:val="231F20"/>
          <w:sz w:val="19"/>
        </w:rPr>
        <w:t>41 COM 7B.24 Great Barrier Reef (Australia) (N 154)</w:t>
      </w:r>
    </w:p>
    <w:p w:rsidR="00D1511D" w:rsidRDefault="003F0CB3">
      <w:pPr>
        <w:spacing w:before="56"/>
        <w:ind w:left="400"/>
        <w:rPr>
          <w:sz w:val="19"/>
        </w:rPr>
      </w:pPr>
      <w:r>
        <w:rPr>
          <w:color w:val="231F20"/>
          <w:sz w:val="19"/>
        </w:rPr>
        <w:t>The World Heritage Committee,</w:t>
      </w:r>
    </w:p>
    <w:p w:rsidR="00D1511D" w:rsidRDefault="003F0CB3">
      <w:pPr>
        <w:pStyle w:val="ListParagraph"/>
        <w:numPr>
          <w:ilvl w:val="0"/>
          <w:numId w:val="33"/>
        </w:numPr>
        <w:tabs>
          <w:tab w:val="left" w:pos="760"/>
          <w:tab w:val="left" w:pos="761"/>
        </w:tabs>
        <w:spacing w:before="57"/>
        <w:ind w:hanging="361"/>
        <w:rPr>
          <w:sz w:val="19"/>
        </w:rPr>
      </w:pPr>
      <w:r>
        <w:rPr>
          <w:color w:val="231F20"/>
          <w:sz w:val="19"/>
        </w:rPr>
        <w:t>Having examined Document</w:t>
      </w:r>
      <w:r>
        <w:rPr>
          <w:color w:val="231F20"/>
          <w:spacing w:val="-4"/>
          <w:sz w:val="19"/>
        </w:rPr>
        <w:t xml:space="preserve"> </w:t>
      </w:r>
      <w:r>
        <w:rPr>
          <w:color w:val="231F20"/>
          <w:sz w:val="19"/>
        </w:rPr>
        <w:t>WHC/17/41.COM/7B.Add,</w:t>
      </w:r>
    </w:p>
    <w:p w:rsidR="00D1511D" w:rsidRDefault="003F0CB3">
      <w:pPr>
        <w:pStyle w:val="ListParagraph"/>
        <w:numPr>
          <w:ilvl w:val="0"/>
          <w:numId w:val="33"/>
        </w:numPr>
        <w:tabs>
          <w:tab w:val="left" w:pos="760"/>
          <w:tab w:val="left" w:pos="761"/>
        </w:tabs>
        <w:spacing w:before="57"/>
        <w:ind w:hanging="361"/>
        <w:rPr>
          <w:sz w:val="19"/>
        </w:rPr>
      </w:pPr>
      <w:r>
        <w:rPr>
          <w:color w:val="231F20"/>
          <w:sz w:val="19"/>
        </w:rPr>
        <w:t>Recalling Decision 39 COM 7B.7, adopted at its 39th session (Bonn,</w:t>
      </w:r>
      <w:r>
        <w:rPr>
          <w:color w:val="231F20"/>
          <w:spacing w:val="-1"/>
          <w:sz w:val="19"/>
        </w:rPr>
        <w:t xml:space="preserve"> </w:t>
      </w:r>
      <w:r>
        <w:rPr>
          <w:color w:val="231F20"/>
          <w:sz w:val="19"/>
        </w:rPr>
        <w:t>2015),</w:t>
      </w:r>
    </w:p>
    <w:p w:rsidR="00D1511D" w:rsidRDefault="003F0CB3">
      <w:pPr>
        <w:pStyle w:val="ListParagraph"/>
        <w:numPr>
          <w:ilvl w:val="0"/>
          <w:numId w:val="33"/>
        </w:numPr>
        <w:tabs>
          <w:tab w:val="left" w:pos="760"/>
          <w:tab w:val="left" w:pos="761"/>
        </w:tabs>
        <w:spacing w:before="57"/>
        <w:ind w:right="857"/>
        <w:rPr>
          <w:sz w:val="19"/>
        </w:rPr>
      </w:pPr>
      <w:r>
        <w:rPr>
          <w:color w:val="231F20"/>
          <w:sz w:val="19"/>
        </w:rPr>
        <w:t>Welcomes the progress made with the inception and ini</w:t>
      </w:r>
      <w:r>
        <w:rPr>
          <w:color w:val="231F20"/>
          <w:sz w:val="19"/>
        </w:rPr>
        <w:t xml:space="preserve">tial implementation of the Reef 2050 </w:t>
      </w:r>
      <w:r>
        <w:rPr>
          <w:color w:val="231F20"/>
          <w:spacing w:val="-5"/>
          <w:sz w:val="19"/>
        </w:rPr>
        <w:t xml:space="preserve">Long-Term </w:t>
      </w:r>
      <w:r>
        <w:rPr>
          <w:color w:val="231F20"/>
          <w:sz w:val="19"/>
        </w:rPr>
        <w:t xml:space="preserve">Sustainability Plan (2050 </w:t>
      </w:r>
      <w:r>
        <w:rPr>
          <w:color w:val="231F20"/>
          <w:spacing w:val="-5"/>
          <w:sz w:val="19"/>
        </w:rPr>
        <w:t xml:space="preserve">LTSP) </w:t>
      </w:r>
      <w:r>
        <w:rPr>
          <w:color w:val="231F20"/>
          <w:sz w:val="19"/>
        </w:rPr>
        <w:t>and the establishment of the Investment Framework, and expresses its appreciation for the significant efforts by all those involved in the implementation of the 2050</w:t>
      </w:r>
      <w:r>
        <w:rPr>
          <w:color w:val="231F20"/>
          <w:spacing w:val="-10"/>
          <w:sz w:val="19"/>
        </w:rPr>
        <w:t xml:space="preserve"> </w:t>
      </w:r>
      <w:r>
        <w:rPr>
          <w:color w:val="231F20"/>
          <w:spacing w:val="-5"/>
          <w:sz w:val="19"/>
        </w:rPr>
        <w:t>LTSP;</w:t>
      </w:r>
    </w:p>
    <w:p w:rsidR="00D1511D" w:rsidRDefault="003F0CB3">
      <w:pPr>
        <w:pStyle w:val="ListParagraph"/>
        <w:numPr>
          <w:ilvl w:val="0"/>
          <w:numId w:val="33"/>
        </w:numPr>
        <w:tabs>
          <w:tab w:val="left" w:pos="760"/>
          <w:tab w:val="left" w:pos="761"/>
        </w:tabs>
        <w:spacing w:before="56"/>
        <w:ind w:right="285"/>
        <w:rPr>
          <w:sz w:val="19"/>
        </w:rPr>
      </w:pPr>
      <w:r>
        <w:rPr>
          <w:color w:val="231F20"/>
          <w:sz w:val="19"/>
        </w:rPr>
        <w:t>Stron</w:t>
      </w:r>
      <w:r>
        <w:rPr>
          <w:color w:val="231F20"/>
          <w:sz w:val="19"/>
        </w:rPr>
        <w:t>gly</w:t>
      </w:r>
      <w:r>
        <w:rPr>
          <w:color w:val="231F20"/>
          <w:spacing w:val="-3"/>
          <w:sz w:val="19"/>
        </w:rPr>
        <w:t xml:space="preserve"> </w:t>
      </w:r>
      <w:r>
        <w:rPr>
          <w:color w:val="231F20"/>
          <w:sz w:val="19"/>
        </w:rPr>
        <w:t>encourages</w:t>
      </w:r>
      <w:r>
        <w:rPr>
          <w:color w:val="231F20"/>
          <w:spacing w:val="-2"/>
          <w:sz w:val="19"/>
        </w:rPr>
        <w:t xml:space="preserve"> </w:t>
      </w:r>
      <w:r>
        <w:rPr>
          <w:color w:val="231F20"/>
          <w:sz w:val="19"/>
        </w:rPr>
        <w:t>the</w:t>
      </w:r>
      <w:r>
        <w:rPr>
          <w:color w:val="231F20"/>
          <w:spacing w:val="-3"/>
          <w:sz w:val="19"/>
        </w:rPr>
        <w:t xml:space="preserve"> </w:t>
      </w:r>
      <w:r>
        <w:rPr>
          <w:color w:val="231F20"/>
          <w:sz w:val="19"/>
        </w:rPr>
        <w:t>State</w:t>
      </w:r>
      <w:r>
        <w:rPr>
          <w:color w:val="231F20"/>
          <w:spacing w:val="-2"/>
          <w:sz w:val="19"/>
        </w:rPr>
        <w:t xml:space="preserve"> </w:t>
      </w:r>
      <w:r>
        <w:rPr>
          <w:color w:val="231F20"/>
          <w:sz w:val="19"/>
        </w:rPr>
        <w:t>Party</w:t>
      </w:r>
      <w:r>
        <w:rPr>
          <w:color w:val="231F20"/>
          <w:spacing w:val="-3"/>
          <w:sz w:val="19"/>
        </w:rPr>
        <w:t xml:space="preserve"> </w:t>
      </w:r>
      <w:r>
        <w:rPr>
          <w:color w:val="231F20"/>
          <w:sz w:val="19"/>
        </w:rPr>
        <w:t>to</w:t>
      </w:r>
      <w:r>
        <w:rPr>
          <w:color w:val="231F20"/>
          <w:spacing w:val="-2"/>
          <w:sz w:val="19"/>
        </w:rPr>
        <w:t xml:space="preserve"> </w:t>
      </w:r>
      <w:r>
        <w:rPr>
          <w:color w:val="231F20"/>
          <w:sz w:val="19"/>
        </w:rPr>
        <w:t>accelerate</w:t>
      </w:r>
      <w:r>
        <w:rPr>
          <w:color w:val="231F20"/>
          <w:spacing w:val="-3"/>
          <w:sz w:val="19"/>
        </w:rPr>
        <w:t xml:space="preserve"> </w:t>
      </w:r>
      <w:r>
        <w:rPr>
          <w:color w:val="231F20"/>
          <w:sz w:val="19"/>
        </w:rPr>
        <w:t>efforts</w:t>
      </w:r>
      <w:r>
        <w:rPr>
          <w:color w:val="231F20"/>
          <w:spacing w:val="-2"/>
          <w:sz w:val="19"/>
        </w:rPr>
        <w:t xml:space="preserve"> </w:t>
      </w:r>
      <w:r>
        <w:rPr>
          <w:color w:val="231F20"/>
          <w:sz w:val="19"/>
        </w:rPr>
        <w:t>to</w:t>
      </w:r>
      <w:r>
        <w:rPr>
          <w:color w:val="231F20"/>
          <w:spacing w:val="-3"/>
          <w:sz w:val="19"/>
        </w:rPr>
        <w:t xml:space="preserve"> </w:t>
      </w:r>
      <w:r>
        <w:rPr>
          <w:color w:val="231F20"/>
          <w:sz w:val="19"/>
        </w:rPr>
        <w:t>ensure</w:t>
      </w:r>
      <w:r>
        <w:rPr>
          <w:color w:val="231F20"/>
          <w:spacing w:val="-2"/>
          <w:sz w:val="19"/>
        </w:rPr>
        <w:t xml:space="preserve"> </w:t>
      </w:r>
      <w:r>
        <w:rPr>
          <w:color w:val="231F20"/>
          <w:sz w:val="19"/>
        </w:rPr>
        <w:t>meeting</w:t>
      </w:r>
      <w:r>
        <w:rPr>
          <w:color w:val="231F20"/>
          <w:spacing w:val="-2"/>
          <w:sz w:val="19"/>
        </w:rPr>
        <w:t xml:space="preserve"> </w:t>
      </w:r>
      <w:r>
        <w:rPr>
          <w:color w:val="231F20"/>
          <w:sz w:val="19"/>
        </w:rPr>
        <w:t>the</w:t>
      </w:r>
      <w:r>
        <w:rPr>
          <w:color w:val="231F20"/>
          <w:spacing w:val="-3"/>
          <w:sz w:val="19"/>
        </w:rPr>
        <w:t xml:space="preserve"> </w:t>
      </w:r>
      <w:r>
        <w:rPr>
          <w:color w:val="231F20"/>
          <w:sz w:val="19"/>
        </w:rPr>
        <w:t>intermediate</w:t>
      </w:r>
      <w:r>
        <w:rPr>
          <w:color w:val="231F20"/>
          <w:spacing w:val="-2"/>
          <w:sz w:val="19"/>
        </w:rPr>
        <w:t xml:space="preserve"> </w:t>
      </w:r>
      <w:r>
        <w:rPr>
          <w:color w:val="231F20"/>
          <w:sz w:val="19"/>
        </w:rPr>
        <w:t>and</w:t>
      </w:r>
      <w:r>
        <w:rPr>
          <w:color w:val="231F20"/>
          <w:spacing w:val="-3"/>
          <w:sz w:val="19"/>
        </w:rPr>
        <w:t xml:space="preserve"> </w:t>
      </w:r>
      <w:r>
        <w:rPr>
          <w:color w:val="231F20"/>
          <w:sz w:val="19"/>
        </w:rPr>
        <w:t>long-term</w:t>
      </w:r>
      <w:r>
        <w:rPr>
          <w:color w:val="231F20"/>
          <w:spacing w:val="-2"/>
          <w:sz w:val="19"/>
        </w:rPr>
        <w:t xml:space="preserve"> </w:t>
      </w:r>
      <w:r>
        <w:rPr>
          <w:color w:val="231F20"/>
          <w:sz w:val="19"/>
        </w:rPr>
        <w:t>targets of the plan, which are essential to the overall resilience of the property, in particular regarding water</w:t>
      </w:r>
      <w:r>
        <w:rPr>
          <w:color w:val="231F20"/>
          <w:spacing w:val="-22"/>
          <w:sz w:val="19"/>
        </w:rPr>
        <w:t xml:space="preserve"> </w:t>
      </w:r>
      <w:r>
        <w:rPr>
          <w:color w:val="231F20"/>
          <w:sz w:val="19"/>
        </w:rPr>
        <w:t>quality;</w:t>
      </w:r>
    </w:p>
    <w:p w:rsidR="00D1511D" w:rsidRDefault="003F0CB3">
      <w:pPr>
        <w:pStyle w:val="ListParagraph"/>
        <w:numPr>
          <w:ilvl w:val="0"/>
          <w:numId w:val="33"/>
        </w:numPr>
        <w:tabs>
          <w:tab w:val="left" w:pos="760"/>
          <w:tab w:val="left" w:pos="761"/>
        </w:tabs>
        <w:spacing w:before="57"/>
        <w:ind w:hanging="361"/>
        <w:rPr>
          <w:sz w:val="19"/>
        </w:rPr>
      </w:pPr>
      <w:r>
        <w:rPr>
          <w:color w:val="231F20"/>
          <w:sz w:val="19"/>
        </w:rPr>
        <w:t xml:space="preserve">Notes with serious concern the </w:t>
      </w:r>
      <w:r>
        <w:rPr>
          <w:color w:val="231F20"/>
          <w:sz w:val="19"/>
        </w:rPr>
        <w:t>coral bleaching and mortality that affected the property in 2016 and</w:t>
      </w:r>
      <w:r>
        <w:rPr>
          <w:color w:val="231F20"/>
          <w:spacing w:val="-6"/>
          <w:sz w:val="19"/>
        </w:rPr>
        <w:t xml:space="preserve"> </w:t>
      </w:r>
      <w:r>
        <w:rPr>
          <w:color w:val="231F20"/>
          <w:sz w:val="19"/>
        </w:rPr>
        <w:t>2017;</w:t>
      </w:r>
    </w:p>
    <w:p w:rsidR="00D1511D" w:rsidRDefault="003F0CB3">
      <w:pPr>
        <w:pStyle w:val="ListParagraph"/>
        <w:numPr>
          <w:ilvl w:val="0"/>
          <w:numId w:val="33"/>
        </w:numPr>
        <w:tabs>
          <w:tab w:val="left" w:pos="760"/>
          <w:tab w:val="left" w:pos="761"/>
        </w:tabs>
        <w:spacing w:before="57"/>
        <w:ind w:right="266"/>
        <w:rPr>
          <w:sz w:val="19"/>
        </w:rPr>
      </w:pPr>
      <w:r>
        <w:rPr>
          <w:color w:val="231F20"/>
          <w:sz w:val="19"/>
        </w:rPr>
        <w:t xml:space="preserve">Reiterates its request to the State Party to submit to the </w:t>
      </w:r>
      <w:r>
        <w:rPr>
          <w:color w:val="231F20"/>
          <w:spacing w:val="-3"/>
          <w:sz w:val="19"/>
        </w:rPr>
        <w:t xml:space="preserve">World </w:t>
      </w:r>
      <w:r>
        <w:rPr>
          <w:color w:val="231F20"/>
          <w:sz w:val="19"/>
        </w:rPr>
        <w:t xml:space="preserve">Heritage Centre, by 1 December 2019, an overall report on the state of conservation of the property demonstrating the effective and sustained protection of the </w:t>
      </w:r>
      <w:r>
        <w:rPr>
          <w:color w:val="231F20"/>
          <w:spacing w:val="-3"/>
          <w:sz w:val="19"/>
        </w:rPr>
        <w:t xml:space="preserve">property’s </w:t>
      </w:r>
      <w:r>
        <w:rPr>
          <w:color w:val="231F20"/>
          <w:sz w:val="19"/>
        </w:rPr>
        <w:t xml:space="preserve">Outstanding Universal </w:t>
      </w:r>
      <w:r>
        <w:rPr>
          <w:color w:val="231F20"/>
          <w:spacing w:val="-4"/>
          <w:sz w:val="19"/>
        </w:rPr>
        <w:t xml:space="preserve">Value </w:t>
      </w:r>
      <w:r>
        <w:rPr>
          <w:color w:val="231F20"/>
          <w:sz w:val="19"/>
        </w:rPr>
        <w:t>and effective performance in meeting the targets establis</w:t>
      </w:r>
      <w:r>
        <w:rPr>
          <w:color w:val="231F20"/>
          <w:sz w:val="19"/>
        </w:rPr>
        <w:t xml:space="preserve">hed under the 2050 </w:t>
      </w:r>
      <w:r>
        <w:rPr>
          <w:color w:val="231F20"/>
          <w:spacing w:val="-12"/>
          <w:sz w:val="19"/>
        </w:rPr>
        <w:t xml:space="preserve">LTSP, </w:t>
      </w:r>
      <w:r>
        <w:rPr>
          <w:color w:val="231F20"/>
          <w:sz w:val="19"/>
        </w:rPr>
        <w:t xml:space="preserve">linked to the findings of 2014 and 2019 Great Barrier Reef Outlook Reports, for examination by </w:t>
      </w:r>
      <w:r>
        <w:rPr>
          <w:color w:val="231F20"/>
          <w:spacing w:val="-4"/>
          <w:sz w:val="19"/>
        </w:rPr>
        <w:t xml:space="preserve">the </w:t>
      </w:r>
      <w:r>
        <w:rPr>
          <w:color w:val="231F20"/>
          <w:spacing w:val="-3"/>
          <w:sz w:val="19"/>
        </w:rPr>
        <w:t xml:space="preserve">World </w:t>
      </w:r>
      <w:r>
        <w:rPr>
          <w:color w:val="231F20"/>
          <w:sz w:val="19"/>
        </w:rPr>
        <w:t>Heritage Committee at its 44th session in</w:t>
      </w:r>
      <w:r>
        <w:rPr>
          <w:color w:val="231F20"/>
          <w:spacing w:val="2"/>
          <w:sz w:val="19"/>
        </w:rPr>
        <w:t xml:space="preserve"> </w:t>
      </w:r>
      <w:r>
        <w:rPr>
          <w:color w:val="231F20"/>
          <w:sz w:val="19"/>
        </w:rPr>
        <w:t>2020.</w:t>
      </w:r>
    </w:p>
    <w:p w:rsidR="00D1511D" w:rsidRDefault="003F0CB3">
      <w:pPr>
        <w:spacing w:before="56"/>
        <w:ind w:left="400"/>
        <w:rPr>
          <w:b/>
          <w:sz w:val="19"/>
        </w:rPr>
      </w:pPr>
      <w:r>
        <w:rPr>
          <w:b/>
          <w:color w:val="231F20"/>
          <w:sz w:val="19"/>
        </w:rPr>
        <w:t>39 COM 7B.7 Great Barrier Reef (Australia) (N 154)</w:t>
      </w:r>
    </w:p>
    <w:p w:rsidR="00D1511D" w:rsidRDefault="003F0CB3">
      <w:pPr>
        <w:spacing w:before="57"/>
        <w:ind w:left="400"/>
        <w:rPr>
          <w:sz w:val="19"/>
        </w:rPr>
      </w:pPr>
      <w:r>
        <w:rPr>
          <w:color w:val="231F20"/>
          <w:sz w:val="19"/>
        </w:rPr>
        <w:t>The World Heritage Committe</w:t>
      </w:r>
      <w:r>
        <w:rPr>
          <w:color w:val="231F20"/>
          <w:sz w:val="19"/>
        </w:rPr>
        <w:t>e,</w:t>
      </w:r>
    </w:p>
    <w:p w:rsidR="00D1511D" w:rsidRDefault="003F0CB3">
      <w:pPr>
        <w:pStyle w:val="ListParagraph"/>
        <w:numPr>
          <w:ilvl w:val="0"/>
          <w:numId w:val="32"/>
        </w:numPr>
        <w:tabs>
          <w:tab w:val="left" w:pos="760"/>
          <w:tab w:val="left" w:pos="761"/>
        </w:tabs>
        <w:spacing w:before="57"/>
        <w:ind w:hanging="361"/>
        <w:rPr>
          <w:sz w:val="19"/>
        </w:rPr>
      </w:pPr>
      <w:r>
        <w:rPr>
          <w:color w:val="231F20"/>
          <w:sz w:val="19"/>
        </w:rPr>
        <w:t>Having examined Document</w:t>
      </w:r>
      <w:r>
        <w:rPr>
          <w:color w:val="231F20"/>
          <w:spacing w:val="-4"/>
          <w:sz w:val="19"/>
        </w:rPr>
        <w:t xml:space="preserve"> </w:t>
      </w:r>
      <w:r>
        <w:rPr>
          <w:color w:val="231F20"/>
          <w:sz w:val="19"/>
        </w:rPr>
        <w:t>WHC-15/39.COM/7B.Add,</w:t>
      </w:r>
    </w:p>
    <w:p w:rsidR="00D1511D" w:rsidRDefault="003F0CB3">
      <w:pPr>
        <w:pStyle w:val="ListParagraph"/>
        <w:numPr>
          <w:ilvl w:val="0"/>
          <w:numId w:val="32"/>
        </w:numPr>
        <w:tabs>
          <w:tab w:val="left" w:pos="760"/>
          <w:tab w:val="left" w:pos="761"/>
        </w:tabs>
        <w:spacing w:before="56"/>
        <w:ind w:right="240"/>
        <w:rPr>
          <w:sz w:val="19"/>
        </w:rPr>
      </w:pPr>
      <w:r>
        <w:rPr>
          <w:color w:val="231F20"/>
          <w:sz w:val="19"/>
        </w:rPr>
        <w:t>Recalling Decisions 36 COM 7B.8, 37 COM 7B.10, and 38 COM 7B.63, adopted at its 36th</w:t>
      </w:r>
      <w:r>
        <w:rPr>
          <w:color w:val="231F20"/>
          <w:spacing w:val="-32"/>
          <w:sz w:val="19"/>
        </w:rPr>
        <w:t xml:space="preserve"> </w:t>
      </w:r>
      <w:r>
        <w:rPr>
          <w:color w:val="231F20"/>
          <w:sz w:val="19"/>
        </w:rPr>
        <w:t xml:space="preserve">(Saint-Petersburg, 2012), 37th (Phnom </w:t>
      </w:r>
      <w:r>
        <w:rPr>
          <w:color w:val="231F20"/>
          <w:spacing w:val="-3"/>
          <w:sz w:val="19"/>
        </w:rPr>
        <w:t xml:space="preserve">Penh, </w:t>
      </w:r>
      <w:r>
        <w:rPr>
          <w:color w:val="231F20"/>
          <w:sz w:val="19"/>
        </w:rPr>
        <w:t>2013) and 38th (Doha, 2014) sessions</w:t>
      </w:r>
      <w:r>
        <w:rPr>
          <w:color w:val="231F20"/>
          <w:spacing w:val="-1"/>
          <w:sz w:val="19"/>
        </w:rPr>
        <w:t xml:space="preserve"> </w:t>
      </w:r>
      <w:r>
        <w:rPr>
          <w:color w:val="231F20"/>
          <w:sz w:val="19"/>
        </w:rPr>
        <w:t>respectively,</w:t>
      </w:r>
    </w:p>
    <w:p w:rsidR="00D1511D" w:rsidRDefault="003F0CB3">
      <w:pPr>
        <w:pStyle w:val="ListParagraph"/>
        <w:numPr>
          <w:ilvl w:val="0"/>
          <w:numId w:val="32"/>
        </w:numPr>
        <w:tabs>
          <w:tab w:val="left" w:pos="760"/>
          <w:tab w:val="left" w:pos="761"/>
        </w:tabs>
        <w:spacing w:before="57"/>
        <w:ind w:right="118"/>
        <w:rPr>
          <w:sz w:val="19"/>
        </w:rPr>
      </w:pPr>
      <w:r>
        <w:rPr>
          <w:color w:val="231F20"/>
          <w:sz w:val="19"/>
        </w:rPr>
        <w:t>Notes with concern the conclusion of the 2014 Great Barrier Reef Outlook Report that the overall Outlook for</w:t>
      </w:r>
      <w:r>
        <w:rPr>
          <w:color w:val="231F20"/>
          <w:spacing w:val="-29"/>
          <w:sz w:val="19"/>
        </w:rPr>
        <w:t xml:space="preserve"> </w:t>
      </w:r>
      <w:r>
        <w:rPr>
          <w:color w:val="231F20"/>
          <w:spacing w:val="-4"/>
          <w:sz w:val="19"/>
        </w:rPr>
        <w:t xml:space="preserve">the </w:t>
      </w:r>
      <w:r>
        <w:rPr>
          <w:color w:val="231F20"/>
          <w:sz w:val="19"/>
        </w:rPr>
        <w:t xml:space="preserve">property is </w:t>
      </w:r>
      <w:r>
        <w:rPr>
          <w:color w:val="231F20"/>
          <w:spacing w:val="-3"/>
          <w:sz w:val="19"/>
        </w:rPr>
        <w:t xml:space="preserve">poor, </w:t>
      </w:r>
      <w:r>
        <w:rPr>
          <w:color w:val="231F20"/>
          <w:sz w:val="19"/>
        </w:rPr>
        <w:t xml:space="preserve">and that climate change, poor water quality and impacts from coastal development are major threats to the </w:t>
      </w:r>
      <w:r>
        <w:rPr>
          <w:color w:val="231F20"/>
          <w:spacing w:val="-3"/>
          <w:sz w:val="19"/>
        </w:rPr>
        <w:t xml:space="preserve">property’s </w:t>
      </w:r>
      <w:r>
        <w:rPr>
          <w:color w:val="231F20"/>
          <w:sz w:val="19"/>
        </w:rPr>
        <w:t>health a</w:t>
      </w:r>
      <w:r>
        <w:rPr>
          <w:color w:val="231F20"/>
          <w:sz w:val="19"/>
        </w:rPr>
        <w:t>nd regrets that key habitats, species and ecosystem processes in the central and southern inshore areas have continued to deteriorate from the cumulative effects of these</w:t>
      </w:r>
      <w:r>
        <w:rPr>
          <w:color w:val="231F20"/>
          <w:spacing w:val="-5"/>
          <w:sz w:val="19"/>
        </w:rPr>
        <w:t xml:space="preserve"> </w:t>
      </w:r>
      <w:r>
        <w:rPr>
          <w:color w:val="231F20"/>
          <w:sz w:val="19"/>
        </w:rPr>
        <w:t>impacts;</w:t>
      </w:r>
    </w:p>
    <w:p w:rsidR="00D1511D" w:rsidRDefault="003F0CB3">
      <w:pPr>
        <w:pStyle w:val="ListParagraph"/>
        <w:numPr>
          <w:ilvl w:val="0"/>
          <w:numId w:val="32"/>
        </w:numPr>
        <w:tabs>
          <w:tab w:val="left" w:pos="760"/>
          <w:tab w:val="left" w:pos="761"/>
        </w:tabs>
        <w:spacing w:before="57"/>
        <w:ind w:right="245"/>
        <w:rPr>
          <w:sz w:val="19"/>
        </w:rPr>
      </w:pPr>
      <w:r>
        <w:rPr>
          <w:color w:val="231F20"/>
          <w:sz w:val="19"/>
        </w:rPr>
        <w:t xml:space="preserve">Welcomes the State </w:t>
      </w:r>
      <w:r>
        <w:rPr>
          <w:color w:val="231F20"/>
          <w:spacing w:val="-5"/>
          <w:sz w:val="19"/>
        </w:rPr>
        <w:t xml:space="preserve">Party’s </w:t>
      </w:r>
      <w:r>
        <w:rPr>
          <w:color w:val="231F20"/>
          <w:sz w:val="19"/>
        </w:rPr>
        <w:t>efforts, in consultation and partnership with sta</w:t>
      </w:r>
      <w:r>
        <w:rPr>
          <w:color w:val="231F20"/>
          <w:sz w:val="19"/>
        </w:rPr>
        <w:t xml:space="preserve">keholders, to establish the Reef 2050 </w:t>
      </w:r>
      <w:r>
        <w:rPr>
          <w:color w:val="231F20"/>
          <w:spacing w:val="-3"/>
          <w:sz w:val="19"/>
        </w:rPr>
        <w:t xml:space="preserve">Long-Term </w:t>
      </w:r>
      <w:r>
        <w:rPr>
          <w:color w:val="231F20"/>
          <w:sz w:val="19"/>
        </w:rPr>
        <w:t xml:space="preserve">Sustainability Plan (2050 </w:t>
      </w:r>
      <w:r>
        <w:rPr>
          <w:color w:val="231F20"/>
          <w:spacing w:val="-5"/>
          <w:sz w:val="19"/>
        </w:rPr>
        <w:t xml:space="preserve">LTSP) </w:t>
      </w:r>
      <w:r>
        <w:rPr>
          <w:color w:val="231F20"/>
          <w:sz w:val="19"/>
        </w:rPr>
        <w:t xml:space="preserve">that outlines an overarching vision for the future conservation of </w:t>
      </w:r>
      <w:r>
        <w:rPr>
          <w:color w:val="231F20"/>
          <w:spacing w:val="-4"/>
          <w:sz w:val="19"/>
        </w:rPr>
        <w:t xml:space="preserve">the </w:t>
      </w:r>
      <w:r>
        <w:rPr>
          <w:color w:val="231F20"/>
          <w:sz w:val="19"/>
        </w:rPr>
        <w:t>property over the next 35 years and, in</w:t>
      </w:r>
      <w:r>
        <w:rPr>
          <w:color w:val="231F20"/>
          <w:spacing w:val="-1"/>
          <w:sz w:val="19"/>
        </w:rPr>
        <w:t xml:space="preserve"> </w:t>
      </w:r>
      <w:r>
        <w:rPr>
          <w:color w:val="231F20"/>
          <w:sz w:val="19"/>
        </w:rPr>
        <w:t>particular:</w:t>
      </w:r>
    </w:p>
    <w:p w:rsidR="00D1511D" w:rsidRDefault="003F0CB3">
      <w:pPr>
        <w:pStyle w:val="ListParagraph"/>
        <w:numPr>
          <w:ilvl w:val="1"/>
          <w:numId w:val="32"/>
        </w:numPr>
        <w:tabs>
          <w:tab w:val="left" w:pos="1300"/>
        </w:tabs>
        <w:spacing w:before="56"/>
        <w:ind w:right="207" w:firstLine="0"/>
        <w:rPr>
          <w:sz w:val="19"/>
        </w:rPr>
      </w:pPr>
      <w:r>
        <w:rPr>
          <w:color w:val="231F20"/>
          <w:sz w:val="19"/>
        </w:rPr>
        <w:t>The</w:t>
      </w:r>
      <w:r>
        <w:rPr>
          <w:color w:val="231F20"/>
          <w:spacing w:val="-3"/>
          <w:sz w:val="19"/>
        </w:rPr>
        <w:t xml:space="preserve"> </w:t>
      </w:r>
      <w:r>
        <w:rPr>
          <w:color w:val="231F20"/>
          <w:sz w:val="19"/>
        </w:rPr>
        <w:t>establishment</w:t>
      </w:r>
      <w:r>
        <w:rPr>
          <w:color w:val="231F20"/>
          <w:spacing w:val="-3"/>
          <w:sz w:val="19"/>
        </w:rPr>
        <w:t xml:space="preserve"> </w:t>
      </w:r>
      <w:r>
        <w:rPr>
          <w:color w:val="231F20"/>
          <w:sz w:val="19"/>
        </w:rPr>
        <w:t>of</w:t>
      </w:r>
      <w:r>
        <w:rPr>
          <w:color w:val="231F20"/>
          <w:spacing w:val="-2"/>
          <w:sz w:val="19"/>
        </w:rPr>
        <w:t xml:space="preserve"> </w:t>
      </w:r>
      <w:r>
        <w:rPr>
          <w:color w:val="231F20"/>
          <w:sz w:val="19"/>
        </w:rPr>
        <w:t>an</w:t>
      </w:r>
      <w:r>
        <w:rPr>
          <w:color w:val="231F20"/>
          <w:spacing w:val="-3"/>
          <w:sz w:val="19"/>
        </w:rPr>
        <w:t xml:space="preserve"> </w:t>
      </w:r>
      <w:r>
        <w:rPr>
          <w:color w:val="231F20"/>
          <w:sz w:val="19"/>
        </w:rPr>
        <w:t>80%</w:t>
      </w:r>
      <w:r>
        <w:rPr>
          <w:color w:val="231F20"/>
          <w:spacing w:val="-3"/>
          <w:sz w:val="19"/>
        </w:rPr>
        <w:t xml:space="preserve"> </w:t>
      </w:r>
      <w:r>
        <w:rPr>
          <w:color w:val="231F20"/>
          <w:sz w:val="19"/>
        </w:rPr>
        <w:t>reduction</w:t>
      </w:r>
      <w:r>
        <w:rPr>
          <w:color w:val="231F20"/>
          <w:spacing w:val="-2"/>
          <w:sz w:val="19"/>
        </w:rPr>
        <w:t xml:space="preserve"> </w:t>
      </w:r>
      <w:r>
        <w:rPr>
          <w:color w:val="231F20"/>
          <w:sz w:val="19"/>
        </w:rPr>
        <w:t>in</w:t>
      </w:r>
      <w:r>
        <w:rPr>
          <w:color w:val="231F20"/>
          <w:spacing w:val="-3"/>
          <w:sz w:val="19"/>
        </w:rPr>
        <w:t xml:space="preserve"> </w:t>
      </w:r>
      <w:r>
        <w:rPr>
          <w:color w:val="231F20"/>
          <w:sz w:val="19"/>
        </w:rPr>
        <w:t>pollution</w:t>
      </w:r>
      <w:r>
        <w:rPr>
          <w:color w:val="231F20"/>
          <w:spacing w:val="-2"/>
          <w:sz w:val="19"/>
        </w:rPr>
        <w:t xml:space="preserve"> </w:t>
      </w:r>
      <w:r>
        <w:rPr>
          <w:color w:val="231F20"/>
          <w:sz w:val="19"/>
        </w:rPr>
        <w:t>run-off</w:t>
      </w:r>
      <w:r>
        <w:rPr>
          <w:color w:val="231F20"/>
          <w:spacing w:val="-3"/>
          <w:sz w:val="19"/>
        </w:rPr>
        <w:t xml:space="preserve"> </w:t>
      </w:r>
      <w:r>
        <w:rPr>
          <w:color w:val="231F20"/>
          <w:sz w:val="19"/>
        </w:rPr>
        <w:t>in</w:t>
      </w:r>
      <w:r>
        <w:rPr>
          <w:color w:val="231F20"/>
          <w:spacing w:val="-3"/>
          <w:sz w:val="19"/>
        </w:rPr>
        <w:t xml:space="preserve"> </w:t>
      </w:r>
      <w:r>
        <w:rPr>
          <w:color w:val="231F20"/>
          <w:sz w:val="19"/>
        </w:rPr>
        <w:t>the</w:t>
      </w:r>
      <w:r>
        <w:rPr>
          <w:color w:val="231F20"/>
          <w:spacing w:val="-2"/>
          <w:sz w:val="19"/>
        </w:rPr>
        <w:t xml:space="preserve"> </w:t>
      </w:r>
      <w:r>
        <w:rPr>
          <w:color w:val="231F20"/>
          <w:sz w:val="19"/>
        </w:rPr>
        <w:t>property</w:t>
      </w:r>
      <w:r>
        <w:rPr>
          <w:color w:val="231F20"/>
          <w:spacing w:val="-3"/>
          <w:sz w:val="19"/>
        </w:rPr>
        <w:t xml:space="preserve"> </w:t>
      </w:r>
      <w:r>
        <w:rPr>
          <w:color w:val="231F20"/>
          <w:sz w:val="19"/>
        </w:rPr>
        <w:t>by</w:t>
      </w:r>
      <w:r>
        <w:rPr>
          <w:color w:val="231F20"/>
          <w:spacing w:val="-3"/>
          <w:sz w:val="19"/>
        </w:rPr>
        <w:t xml:space="preserve"> </w:t>
      </w:r>
      <w:r>
        <w:rPr>
          <w:color w:val="231F20"/>
          <w:sz w:val="19"/>
        </w:rPr>
        <w:t>2025</w:t>
      </w:r>
      <w:r>
        <w:rPr>
          <w:color w:val="231F20"/>
          <w:spacing w:val="-2"/>
          <w:sz w:val="19"/>
        </w:rPr>
        <w:t xml:space="preserve"> </w:t>
      </w:r>
      <w:r>
        <w:rPr>
          <w:color w:val="231F20"/>
          <w:sz w:val="19"/>
        </w:rPr>
        <w:t>and</w:t>
      </w:r>
      <w:r>
        <w:rPr>
          <w:color w:val="231F20"/>
          <w:spacing w:val="-3"/>
          <w:sz w:val="19"/>
        </w:rPr>
        <w:t xml:space="preserve"> </w:t>
      </w:r>
      <w:r>
        <w:rPr>
          <w:color w:val="231F20"/>
          <w:sz w:val="19"/>
        </w:rPr>
        <w:t>the</w:t>
      </w:r>
      <w:r>
        <w:rPr>
          <w:color w:val="231F20"/>
          <w:spacing w:val="-2"/>
          <w:sz w:val="19"/>
        </w:rPr>
        <w:t xml:space="preserve"> </w:t>
      </w:r>
      <w:r>
        <w:rPr>
          <w:color w:val="231F20"/>
          <w:sz w:val="19"/>
        </w:rPr>
        <w:t>commitment of an initial additional investment of AUS 200 million dollars to accelerate progress in water quality improvements,</w:t>
      </w:r>
    </w:p>
    <w:p w:rsidR="00D1511D" w:rsidRDefault="003F0CB3">
      <w:pPr>
        <w:pStyle w:val="ListParagraph"/>
        <w:numPr>
          <w:ilvl w:val="1"/>
          <w:numId w:val="32"/>
        </w:numPr>
        <w:tabs>
          <w:tab w:val="left" w:pos="1318"/>
        </w:tabs>
        <w:spacing w:before="57"/>
        <w:ind w:right="161" w:firstLine="0"/>
        <w:rPr>
          <w:sz w:val="19"/>
        </w:rPr>
      </w:pPr>
      <w:r>
        <w:rPr>
          <w:color w:val="231F20"/>
          <w:sz w:val="19"/>
        </w:rPr>
        <w:t>The confirmation of protection of greenfield areas by restricting major new po</w:t>
      </w:r>
      <w:r>
        <w:rPr>
          <w:color w:val="231F20"/>
          <w:sz w:val="19"/>
        </w:rPr>
        <w:t xml:space="preserve">rt development in and adjoining the </w:t>
      </w:r>
      <w:r>
        <w:rPr>
          <w:color w:val="231F20"/>
          <w:spacing w:val="-3"/>
          <w:sz w:val="19"/>
        </w:rPr>
        <w:t xml:space="preserve">property, </w:t>
      </w:r>
      <w:r>
        <w:rPr>
          <w:color w:val="231F20"/>
          <w:sz w:val="19"/>
        </w:rPr>
        <w:t xml:space="preserve">thereby limiting capital dredging for the development of new or expansion of existing port facilities within the regulated port limits of the major ports of Gladstone, Hay </w:t>
      </w:r>
      <w:r>
        <w:rPr>
          <w:color w:val="231F20"/>
          <w:spacing w:val="-3"/>
          <w:sz w:val="19"/>
        </w:rPr>
        <w:t xml:space="preserve">Point/Mackay, </w:t>
      </w:r>
      <w:r>
        <w:rPr>
          <w:color w:val="231F20"/>
          <w:sz w:val="19"/>
        </w:rPr>
        <w:t xml:space="preserve">Abbott </w:t>
      </w:r>
      <w:r>
        <w:rPr>
          <w:color w:val="231F20"/>
          <w:spacing w:val="-3"/>
          <w:sz w:val="19"/>
        </w:rPr>
        <w:t xml:space="preserve">Point </w:t>
      </w:r>
      <w:r>
        <w:rPr>
          <w:color w:val="231F20"/>
          <w:sz w:val="19"/>
        </w:rPr>
        <w:t xml:space="preserve">and </w:t>
      </w:r>
      <w:r>
        <w:rPr>
          <w:color w:val="231F20"/>
          <w:spacing w:val="-3"/>
          <w:sz w:val="19"/>
        </w:rPr>
        <w:t>Townsvi</w:t>
      </w:r>
      <w:r>
        <w:rPr>
          <w:color w:val="231F20"/>
          <w:spacing w:val="-3"/>
          <w:sz w:val="19"/>
        </w:rPr>
        <w:t xml:space="preserve">lle, </w:t>
      </w:r>
      <w:r>
        <w:rPr>
          <w:color w:val="231F20"/>
          <w:sz w:val="19"/>
        </w:rPr>
        <w:t>excluding Fitzroy Delta, North Curtis Island and Keppel Bay from future port development and ensuring consistency with the 2003 Great Barrier Reef Zoning</w:t>
      </w:r>
      <w:r>
        <w:rPr>
          <w:color w:val="231F20"/>
          <w:spacing w:val="-5"/>
          <w:sz w:val="19"/>
        </w:rPr>
        <w:t xml:space="preserve"> </w:t>
      </w:r>
      <w:r>
        <w:rPr>
          <w:color w:val="231F20"/>
          <w:sz w:val="19"/>
        </w:rPr>
        <w:t>Plan,</w:t>
      </w:r>
    </w:p>
    <w:p w:rsidR="00D1511D" w:rsidRDefault="003F0CB3">
      <w:pPr>
        <w:pStyle w:val="ListParagraph"/>
        <w:numPr>
          <w:ilvl w:val="1"/>
          <w:numId w:val="32"/>
        </w:numPr>
        <w:tabs>
          <w:tab w:val="left" w:pos="1299"/>
        </w:tabs>
        <w:spacing w:before="57"/>
        <w:ind w:right="358" w:firstLine="0"/>
        <w:rPr>
          <w:sz w:val="19"/>
        </w:rPr>
      </w:pPr>
      <w:r>
        <w:rPr>
          <w:color w:val="231F20"/>
          <w:sz w:val="19"/>
        </w:rPr>
        <w:t>The commitment toward a 5-yearly evaluation of the plan performance and adaptation of its a</w:t>
      </w:r>
      <w:r>
        <w:rPr>
          <w:color w:val="231F20"/>
          <w:sz w:val="19"/>
        </w:rPr>
        <w:t>ctions</w:t>
      </w:r>
      <w:r>
        <w:rPr>
          <w:color w:val="231F20"/>
          <w:spacing w:val="-28"/>
          <w:sz w:val="19"/>
        </w:rPr>
        <w:t xml:space="preserve"> </w:t>
      </w:r>
      <w:r>
        <w:rPr>
          <w:color w:val="231F20"/>
          <w:spacing w:val="-5"/>
          <w:sz w:val="19"/>
        </w:rPr>
        <w:t xml:space="preserve">and </w:t>
      </w:r>
      <w:r>
        <w:rPr>
          <w:color w:val="231F20"/>
          <w:sz w:val="19"/>
        </w:rPr>
        <w:t>targets on the basis of the results of future Great Barrier Reef Outlook</w:t>
      </w:r>
      <w:r>
        <w:rPr>
          <w:color w:val="231F20"/>
          <w:spacing w:val="-5"/>
          <w:sz w:val="19"/>
        </w:rPr>
        <w:t xml:space="preserve"> </w:t>
      </w:r>
      <w:r>
        <w:rPr>
          <w:color w:val="231F20"/>
          <w:sz w:val="19"/>
        </w:rPr>
        <w:t>reports;</w:t>
      </w:r>
    </w:p>
    <w:p w:rsidR="00D1511D" w:rsidRDefault="003F0CB3">
      <w:pPr>
        <w:pStyle w:val="ListParagraph"/>
        <w:numPr>
          <w:ilvl w:val="0"/>
          <w:numId w:val="32"/>
        </w:numPr>
        <w:tabs>
          <w:tab w:val="left" w:pos="760"/>
          <w:tab w:val="left" w:pos="761"/>
        </w:tabs>
        <w:spacing w:before="57"/>
        <w:ind w:right="443"/>
        <w:rPr>
          <w:sz w:val="19"/>
        </w:rPr>
      </w:pPr>
      <w:r>
        <w:rPr>
          <w:color w:val="231F20"/>
          <w:sz w:val="19"/>
        </w:rPr>
        <w:t xml:space="preserve">Also welcomes the State </w:t>
      </w:r>
      <w:r>
        <w:rPr>
          <w:color w:val="231F20"/>
          <w:spacing w:val="-5"/>
          <w:sz w:val="19"/>
        </w:rPr>
        <w:t xml:space="preserve">Party’s </w:t>
      </w:r>
      <w:r>
        <w:rPr>
          <w:color w:val="231F20"/>
          <w:sz w:val="19"/>
        </w:rPr>
        <w:t xml:space="preserve">decision to reconsider the approval to dispose capital dredge material inside </w:t>
      </w:r>
      <w:r>
        <w:rPr>
          <w:color w:val="231F20"/>
          <w:spacing w:val="-4"/>
          <w:sz w:val="19"/>
        </w:rPr>
        <w:t xml:space="preserve">the </w:t>
      </w:r>
      <w:r>
        <w:rPr>
          <w:color w:val="231F20"/>
          <w:sz w:val="19"/>
        </w:rPr>
        <w:t xml:space="preserve">property from the proposed Abbot </w:t>
      </w:r>
      <w:r>
        <w:rPr>
          <w:color w:val="231F20"/>
          <w:spacing w:val="-3"/>
          <w:sz w:val="19"/>
        </w:rPr>
        <w:t xml:space="preserve">Point </w:t>
      </w:r>
      <w:r>
        <w:rPr>
          <w:color w:val="231F20"/>
          <w:sz w:val="19"/>
        </w:rPr>
        <w:t>developmen</w:t>
      </w:r>
      <w:r>
        <w:rPr>
          <w:color w:val="231F20"/>
          <w:sz w:val="19"/>
        </w:rPr>
        <w:t>t and the commitment to establish a permanent ban on dumping of dredged material from all capital dredging projects within the</w:t>
      </w:r>
      <w:r>
        <w:rPr>
          <w:color w:val="231F20"/>
          <w:spacing w:val="-2"/>
          <w:sz w:val="19"/>
        </w:rPr>
        <w:t xml:space="preserve"> </w:t>
      </w:r>
      <w:r>
        <w:rPr>
          <w:color w:val="231F20"/>
          <w:sz w:val="19"/>
        </w:rPr>
        <w:t>property;</w:t>
      </w:r>
    </w:p>
    <w:p w:rsidR="00D1511D" w:rsidRDefault="003F0CB3">
      <w:pPr>
        <w:pStyle w:val="ListParagraph"/>
        <w:numPr>
          <w:ilvl w:val="0"/>
          <w:numId w:val="32"/>
        </w:numPr>
        <w:tabs>
          <w:tab w:val="left" w:pos="760"/>
          <w:tab w:val="left" w:pos="761"/>
        </w:tabs>
        <w:spacing w:before="56"/>
        <w:ind w:right="257"/>
        <w:rPr>
          <w:sz w:val="19"/>
        </w:rPr>
      </w:pPr>
      <w:r>
        <w:rPr>
          <w:color w:val="231F20"/>
          <w:sz w:val="19"/>
        </w:rPr>
        <w:t xml:space="preserve">Considers that the effective implementation of the 2050 </w:t>
      </w:r>
      <w:r>
        <w:rPr>
          <w:color w:val="231F20"/>
          <w:spacing w:val="-12"/>
          <w:sz w:val="19"/>
        </w:rPr>
        <w:t xml:space="preserve">LTSP, </w:t>
      </w:r>
      <w:r>
        <w:rPr>
          <w:color w:val="231F20"/>
          <w:sz w:val="19"/>
        </w:rPr>
        <w:t>supported by clear oversight and accountability, research</w:t>
      </w:r>
      <w:r>
        <w:rPr>
          <w:color w:val="231F20"/>
          <w:sz w:val="19"/>
        </w:rPr>
        <w:t xml:space="preserve">, monitoring and adequate and sustained financing, is essential to respond to the current and potential threats to the </w:t>
      </w:r>
      <w:r>
        <w:rPr>
          <w:color w:val="231F20"/>
          <w:spacing w:val="-3"/>
          <w:sz w:val="19"/>
        </w:rPr>
        <w:t xml:space="preserve">property’s </w:t>
      </w:r>
      <w:r>
        <w:rPr>
          <w:color w:val="231F20"/>
          <w:sz w:val="19"/>
        </w:rPr>
        <w:t xml:space="preserve">Outstanding Universal </w:t>
      </w:r>
      <w:r>
        <w:rPr>
          <w:color w:val="231F20"/>
          <w:spacing w:val="-3"/>
          <w:sz w:val="19"/>
        </w:rPr>
        <w:t xml:space="preserve">Value, </w:t>
      </w:r>
      <w:r>
        <w:rPr>
          <w:color w:val="231F20"/>
          <w:sz w:val="19"/>
        </w:rPr>
        <w:t xml:space="preserve">and requests the State Party to rigorously implement all of its commitments of the 2050 </w:t>
      </w:r>
      <w:r>
        <w:rPr>
          <w:color w:val="231F20"/>
          <w:spacing w:val="-12"/>
          <w:sz w:val="19"/>
        </w:rPr>
        <w:t xml:space="preserve">LTSP, </w:t>
      </w:r>
      <w:r>
        <w:rPr>
          <w:color w:val="231F20"/>
          <w:sz w:val="19"/>
        </w:rPr>
        <w:t>inc</w:t>
      </w:r>
      <w:r>
        <w:rPr>
          <w:color w:val="231F20"/>
          <w:sz w:val="19"/>
        </w:rPr>
        <w:t>luding where necessary through their inclusion in legislation, in order to halt</w:t>
      </w:r>
      <w:r>
        <w:rPr>
          <w:color w:val="231F20"/>
          <w:spacing w:val="-3"/>
          <w:sz w:val="19"/>
        </w:rPr>
        <w:t xml:space="preserve"> </w:t>
      </w:r>
      <w:r>
        <w:rPr>
          <w:color w:val="231F20"/>
          <w:sz w:val="19"/>
        </w:rPr>
        <w:t>the</w:t>
      </w:r>
      <w:r>
        <w:rPr>
          <w:color w:val="231F20"/>
          <w:spacing w:val="-2"/>
          <w:sz w:val="19"/>
        </w:rPr>
        <w:t xml:space="preserve"> </w:t>
      </w:r>
      <w:r>
        <w:rPr>
          <w:color w:val="231F20"/>
          <w:sz w:val="19"/>
        </w:rPr>
        <w:t>current</w:t>
      </w:r>
      <w:r>
        <w:rPr>
          <w:color w:val="231F20"/>
          <w:spacing w:val="-3"/>
          <w:sz w:val="19"/>
        </w:rPr>
        <w:t xml:space="preserve"> </w:t>
      </w:r>
      <w:r>
        <w:rPr>
          <w:color w:val="231F20"/>
          <w:sz w:val="19"/>
        </w:rPr>
        <w:t>documented</w:t>
      </w:r>
      <w:r>
        <w:rPr>
          <w:color w:val="231F20"/>
          <w:spacing w:val="-2"/>
          <w:sz w:val="19"/>
        </w:rPr>
        <w:t xml:space="preserve"> </w:t>
      </w:r>
      <w:r>
        <w:rPr>
          <w:color w:val="231F20"/>
          <w:sz w:val="19"/>
        </w:rPr>
        <w:t>declines</w:t>
      </w:r>
      <w:r>
        <w:rPr>
          <w:color w:val="231F20"/>
          <w:spacing w:val="-2"/>
          <w:sz w:val="19"/>
        </w:rPr>
        <w:t xml:space="preserve"> </w:t>
      </w:r>
      <w:r>
        <w:rPr>
          <w:color w:val="231F20"/>
          <w:sz w:val="19"/>
        </w:rPr>
        <w:t>in</w:t>
      </w:r>
      <w:r>
        <w:rPr>
          <w:color w:val="231F20"/>
          <w:spacing w:val="-3"/>
          <w:sz w:val="19"/>
        </w:rPr>
        <w:t xml:space="preserve"> </w:t>
      </w:r>
      <w:r>
        <w:rPr>
          <w:color w:val="231F20"/>
          <w:sz w:val="19"/>
        </w:rPr>
        <w:t>the</w:t>
      </w:r>
      <w:r>
        <w:rPr>
          <w:color w:val="231F20"/>
          <w:spacing w:val="-2"/>
          <w:sz w:val="19"/>
        </w:rPr>
        <w:t xml:space="preserve"> </w:t>
      </w:r>
      <w:r>
        <w:rPr>
          <w:color w:val="231F20"/>
          <w:sz w:val="19"/>
        </w:rPr>
        <w:t>property,</w:t>
      </w:r>
      <w:r>
        <w:rPr>
          <w:color w:val="231F20"/>
          <w:spacing w:val="-3"/>
          <w:sz w:val="19"/>
        </w:rPr>
        <w:t xml:space="preserve"> </w:t>
      </w:r>
      <w:r>
        <w:rPr>
          <w:color w:val="231F20"/>
          <w:sz w:val="19"/>
        </w:rPr>
        <w:t>create</w:t>
      </w:r>
      <w:r>
        <w:rPr>
          <w:color w:val="231F20"/>
          <w:spacing w:val="-2"/>
          <w:sz w:val="19"/>
        </w:rPr>
        <w:t xml:space="preserve"> </w:t>
      </w:r>
      <w:r>
        <w:rPr>
          <w:color w:val="231F20"/>
          <w:sz w:val="19"/>
        </w:rPr>
        <w:t>the</w:t>
      </w:r>
      <w:r>
        <w:rPr>
          <w:color w:val="231F20"/>
          <w:spacing w:val="-2"/>
          <w:sz w:val="19"/>
        </w:rPr>
        <w:t xml:space="preserve"> </w:t>
      </w:r>
      <w:r>
        <w:rPr>
          <w:color w:val="231F20"/>
          <w:sz w:val="19"/>
        </w:rPr>
        <w:t>conditions</w:t>
      </w:r>
      <w:r>
        <w:rPr>
          <w:color w:val="231F20"/>
          <w:spacing w:val="-3"/>
          <w:sz w:val="19"/>
        </w:rPr>
        <w:t xml:space="preserve"> </w:t>
      </w:r>
      <w:r>
        <w:rPr>
          <w:color w:val="231F20"/>
          <w:sz w:val="19"/>
        </w:rPr>
        <w:t>for</w:t>
      </w:r>
      <w:r>
        <w:rPr>
          <w:color w:val="231F20"/>
          <w:spacing w:val="-2"/>
          <w:sz w:val="19"/>
        </w:rPr>
        <w:t xml:space="preserve"> </w:t>
      </w:r>
      <w:r>
        <w:rPr>
          <w:color w:val="231F20"/>
          <w:sz w:val="19"/>
        </w:rPr>
        <w:t>sustained</w:t>
      </w:r>
      <w:r>
        <w:rPr>
          <w:color w:val="231F20"/>
          <w:spacing w:val="-3"/>
          <w:sz w:val="19"/>
        </w:rPr>
        <w:t xml:space="preserve"> </w:t>
      </w:r>
      <w:r>
        <w:rPr>
          <w:color w:val="231F20"/>
          <w:sz w:val="19"/>
        </w:rPr>
        <w:t>recovery</w:t>
      </w:r>
      <w:r>
        <w:rPr>
          <w:color w:val="231F20"/>
          <w:spacing w:val="-2"/>
          <w:sz w:val="19"/>
        </w:rPr>
        <w:t xml:space="preserve"> </w:t>
      </w:r>
      <w:r>
        <w:rPr>
          <w:color w:val="231F20"/>
          <w:sz w:val="19"/>
        </w:rPr>
        <w:t>and</w:t>
      </w:r>
      <w:r>
        <w:rPr>
          <w:color w:val="231F20"/>
          <w:spacing w:val="-2"/>
          <w:sz w:val="19"/>
        </w:rPr>
        <w:t xml:space="preserve"> </w:t>
      </w:r>
      <w:r>
        <w:rPr>
          <w:color w:val="231F20"/>
          <w:sz w:val="19"/>
        </w:rPr>
        <w:t>to</w:t>
      </w:r>
      <w:r>
        <w:rPr>
          <w:color w:val="231F20"/>
          <w:spacing w:val="-3"/>
          <w:sz w:val="19"/>
        </w:rPr>
        <w:t xml:space="preserve"> </w:t>
      </w:r>
      <w:r>
        <w:rPr>
          <w:color w:val="231F20"/>
          <w:sz w:val="19"/>
        </w:rPr>
        <w:t xml:space="preserve">enhance the </w:t>
      </w:r>
      <w:r>
        <w:rPr>
          <w:color w:val="231F20"/>
          <w:spacing w:val="-3"/>
          <w:sz w:val="19"/>
        </w:rPr>
        <w:t>property’s</w:t>
      </w:r>
      <w:r>
        <w:rPr>
          <w:color w:val="231F20"/>
          <w:sz w:val="19"/>
        </w:rPr>
        <w:t xml:space="preserve"> resilience;</w:t>
      </w:r>
    </w:p>
    <w:p w:rsidR="00D1511D" w:rsidRDefault="003F0CB3">
      <w:pPr>
        <w:pStyle w:val="ListParagraph"/>
        <w:numPr>
          <w:ilvl w:val="0"/>
          <w:numId w:val="32"/>
        </w:numPr>
        <w:tabs>
          <w:tab w:val="left" w:pos="760"/>
          <w:tab w:val="left" w:pos="761"/>
        </w:tabs>
        <w:spacing w:before="57"/>
        <w:ind w:hanging="361"/>
        <w:rPr>
          <w:sz w:val="19"/>
        </w:rPr>
      </w:pPr>
      <w:r>
        <w:rPr>
          <w:color w:val="231F20"/>
          <w:spacing w:val="-5"/>
          <w:sz w:val="19"/>
        </w:rPr>
        <w:t xml:space="preserve">Takes </w:t>
      </w:r>
      <w:r>
        <w:rPr>
          <w:color w:val="231F20"/>
          <w:sz w:val="19"/>
        </w:rPr>
        <w:t>note of the State Party commitment to establish an investment framework in 2015 and also considers</w:t>
      </w:r>
      <w:r>
        <w:rPr>
          <w:color w:val="231F20"/>
          <w:spacing w:val="-3"/>
          <w:sz w:val="19"/>
        </w:rPr>
        <w:t xml:space="preserve"> </w:t>
      </w:r>
      <w:r>
        <w:rPr>
          <w:color w:val="231F20"/>
          <w:sz w:val="19"/>
        </w:rPr>
        <w:t>that</w:t>
      </w:r>
    </w:p>
    <w:p w:rsidR="00D1511D" w:rsidRDefault="00D1511D">
      <w:pPr>
        <w:pStyle w:val="BodyText"/>
        <w:rPr>
          <w:sz w:val="24"/>
        </w:rPr>
      </w:pPr>
    </w:p>
    <w:p w:rsidR="00D1511D" w:rsidRDefault="00D1511D">
      <w:pPr>
        <w:pStyle w:val="BodyText"/>
        <w:rPr>
          <w:sz w:val="24"/>
        </w:rPr>
      </w:pPr>
    </w:p>
    <w:p w:rsidR="00D1511D" w:rsidRDefault="00D1511D">
      <w:pPr>
        <w:pStyle w:val="BodyText"/>
        <w:spacing w:before="5"/>
        <w:rPr>
          <w:sz w:val="31"/>
        </w:rPr>
      </w:pPr>
    </w:p>
    <w:p w:rsidR="00D1511D" w:rsidRDefault="003F0CB3">
      <w:pPr>
        <w:ind w:left="117"/>
        <w:rPr>
          <w:rFonts w:ascii="Myriad Pro"/>
          <w:sz w:val="16"/>
        </w:rPr>
      </w:pPr>
      <w:r>
        <w:rPr>
          <w:rFonts w:ascii="Myriad Pro"/>
          <w:color w:val="231F20"/>
          <w:sz w:val="16"/>
        </w:rPr>
        <w:t xml:space="preserve">58 / </w:t>
      </w:r>
      <w:r>
        <w:rPr>
          <w:rFonts w:ascii="Myriad Pro"/>
          <w:color w:val="005695"/>
          <w:sz w:val="16"/>
        </w:rPr>
        <w:t xml:space="preserve">State Party Report on the state of conservation of the </w:t>
      </w:r>
      <w:r>
        <w:rPr>
          <w:rFonts w:ascii="Myriad Pro"/>
          <w:b/>
          <w:color w:val="005695"/>
          <w:sz w:val="16"/>
        </w:rPr>
        <w:t xml:space="preserve">Great Barrier Reef World Heritage Area (Australia) </w:t>
      </w:r>
      <w:r>
        <w:rPr>
          <w:rFonts w:ascii="Myriad Pro"/>
          <w:color w:val="005695"/>
          <w:sz w:val="16"/>
        </w:rPr>
        <w:t>2019</w:t>
      </w:r>
    </w:p>
    <w:p w:rsidR="00D1511D" w:rsidRDefault="00D1511D">
      <w:pPr>
        <w:rPr>
          <w:rFonts w:ascii="Myriad Pro"/>
          <w:sz w:val="16"/>
        </w:rPr>
        <w:sectPr w:rsidR="00D1511D">
          <w:pgSz w:w="11910" w:h="16840"/>
          <w:pgMar w:top="880" w:right="1300" w:bottom="0" w:left="130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5"/>
        <w:rPr>
          <w:rFonts w:ascii="Myriad Pro"/>
        </w:rPr>
      </w:pPr>
    </w:p>
    <w:p w:rsidR="00D1511D" w:rsidRDefault="003F0CB3">
      <w:pPr>
        <w:spacing w:before="99"/>
        <w:ind w:left="756" w:right="206"/>
        <w:rPr>
          <w:sz w:val="19"/>
        </w:rPr>
      </w:pPr>
      <w:r>
        <w:rPr>
          <w:color w:val="231F20"/>
          <w:sz w:val="19"/>
        </w:rPr>
        <w:t>this is an essential requirement for the effective implementation of the 2050 LTSP, that should be established as a matter of priority;</w:t>
      </w:r>
    </w:p>
    <w:p w:rsidR="00D1511D" w:rsidRDefault="003F0CB3">
      <w:pPr>
        <w:pStyle w:val="ListParagraph"/>
        <w:numPr>
          <w:ilvl w:val="0"/>
          <w:numId w:val="32"/>
        </w:numPr>
        <w:tabs>
          <w:tab w:val="left" w:pos="756"/>
          <w:tab w:val="left" w:pos="757"/>
        </w:tabs>
        <w:spacing w:before="57"/>
        <w:ind w:left="756" w:right="165"/>
        <w:rPr>
          <w:sz w:val="19"/>
        </w:rPr>
      </w:pPr>
      <w:r>
        <w:rPr>
          <w:color w:val="231F20"/>
          <w:sz w:val="19"/>
        </w:rPr>
        <w:t>Also requests the State Party to submit to</w:t>
      </w:r>
      <w:r>
        <w:rPr>
          <w:color w:val="231F20"/>
          <w:sz w:val="19"/>
        </w:rPr>
        <w:t xml:space="preserve"> the </w:t>
      </w:r>
      <w:r>
        <w:rPr>
          <w:color w:val="231F20"/>
          <w:spacing w:val="-3"/>
          <w:sz w:val="19"/>
        </w:rPr>
        <w:t xml:space="preserve">World </w:t>
      </w:r>
      <w:r>
        <w:rPr>
          <w:color w:val="231F20"/>
          <w:sz w:val="19"/>
        </w:rPr>
        <w:t xml:space="preserve">Heritage Centre, by 1 December 2016, an update on </w:t>
      </w:r>
      <w:r>
        <w:rPr>
          <w:color w:val="231F20"/>
          <w:spacing w:val="-3"/>
          <w:sz w:val="19"/>
        </w:rPr>
        <w:t xml:space="preserve">progress </w:t>
      </w:r>
      <w:r>
        <w:rPr>
          <w:color w:val="231F20"/>
          <w:sz w:val="19"/>
        </w:rPr>
        <w:t xml:space="preserve">with implementation of the 2050 </w:t>
      </w:r>
      <w:r>
        <w:rPr>
          <w:color w:val="231F20"/>
          <w:spacing w:val="-6"/>
          <w:sz w:val="19"/>
        </w:rPr>
        <w:t xml:space="preserve">LTSP </w:t>
      </w:r>
      <w:r>
        <w:rPr>
          <w:color w:val="231F20"/>
          <w:sz w:val="19"/>
        </w:rPr>
        <w:t xml:space="preserve">to confirm that the inception of the plan has been effective, and the Investment Strategy has been established, for examination by the </w:t>
      </w:r>
      <w:r>
        <w:rPr>
          <w:color w:val="231F20"/>
          <w:spacing w:val="-3"/>
          <w:sz w:val="19"/>
        </w:rPr>
        <w:t xml:space="preserve">World </w:t>
      </w:r>
      <w:r>
        <w:rPr>
          <w:color w:val="231F20"/>
          <w:sz w:val="19"/>
        </w:rPr>
        <w:t>Heritage</w:t>
      </w:r>
      <w:r>
        <w:rPr>
          <w:color w:val="231F20"/>
          <w:sz w:val="19"/>
        </w:rPr>
        <w:t xml:space="preserve"> Centre and IUCN, and if in their assessment the anticipated progress is not being made, for consideration at the subsequent session of the </w:t>
      </w:r>
      <w:r>
        <w:rPr>
          <w:color w:val="231F20"/>
          <w:spacing w:val="-3"/>
          <w:sz w:val="19"/>
        </w:rPr>
        <w:t xml:space="preserve">World </w:t>
      </w:r>
      <w:r>
        <w:rPr>
          <w:color w:val="231F20"/>
          <w:sz w:val="19"/>
        </w:rPr>
        <w:t>Heritage Committee in</w:t>
      </w:r>
      <w:r>
        <w:rPr>
          <w:color w:val="231F20"/>
          <w:spacing w:val="2"/>
          <w:sz w:val="19"/>
        </w:rPr>
        <w:t xml:space="preserve"> </w:t>
      </w:r>
      <w:r>
        <w:rPr>
          <w:color w:val="231F20"/>
          <w:sz w:val="19"/>
        </w:rPr>
        <w:t>2017;</w:t>
      </w:r>
    </w:p>
    <w:p w:rsidR="00D1511D" w:rsidRDefault="003F0CB3">
      <w:pPr>
        <w:pStyle w:val="ListParagraph"/>
        <w:numPr>
          <w:ilvl w:val="0"/>
          <w:numId w:val="32"/>
        </w:numPr>
        <w:tabs>
          <w:tab w:val="left" w:pos="756"/>
          <w:tab w:val="left" w:pos="757"/>
        </w:tabs>
        <w:spacing w:before="56"/>
        <w:ind w:left="756" w:right="261"/>
        <w:rPr>
          <w:sz w:val="19"/>
        </w:rPr>
      </w:pPr>
      <w:r>
        <w:rPr>
          <w:color w:val="231F20"/>
          <w:sz w:val="19"/>
        </w:rPr>
        <w:t xml:space="preserve">Further requests the State Party to submit to the </w:t>
      </w:r>
      <w:r>
        <w:rPr>
          <w:color w:val="231F20"/>
          <w:spacing w:val="-3"/>
          <w:sz w:val="19"/>
        </w:rPr>
        <w:t xml:space="preserve">World </w:t>
      </w:r>
      <w:r>
        <w:rPr>
          <w:color w:val="231F20"/>
          <w:sz w:val="19"/>
        </w:rPr>
        <w:t>Heritage Centre, by 1 December 2019, an overall state</w:t>
      </w:r>
      <w:r>
        <w:rPr>
          <w:color w:val="231F20"/>
          <w:spacing w:val="-33"/>
          <w:sz w:val="19"/>
        </w:rPr>
        <w:t xml:space="preserve"> </w:t>
      </w:r>
      <w:r>
        <w:rPr>
          <w:color w:val="231F20"/>
          <w:spacing w:val="-6"/>
          <w:sz w:val="19"/>
        </w:rPr>
        <w:t xml:space="preserve">of </w:t>
      </w:r>
      <w:r>
        <w:rPr>
          <w:color w:val="231F20"/>
          <w:sz w:val="19"/>
        </w:rPr>
        <w:t xml:space="preserve">conservation report, including a 1-page summary, on the state of conservation of the property demonstrating effective and sustained protection </w:t>
      </w:r>
      <w:r>
        <w:rPr>
          <w:color w:val="231F20"/>
          <w:sz w:val="19"/>
        </w:rPr>
        <w:t xml:space="preserve">of the </w:t>
      </w:r>
      <w:r>
        <w:rPr>
          <w:color w:val="231F20"/>
          <w:spacing w:val="-3"/>
          <w:sz w:val="19"/>
        </w:rPr>
        <w:t xml:space="preserve">property’s </w:t>
      </w:r>
      <w:r>
        <w:rPr>
          <w:color w:val="231F20"/>
          <w:sz w:val="19"/>
        </w:rPr>
        <w:t xml:space="preserve">Outstanding Universal </w:t>
      </w:r>
      <w:r>
        <w:rPr>
          <w:color w:val="231F20"/>
          <w:spacing w:val="-4"/>
          <w:sz w:val="19"/>
        </w:rPr>
        <w:t xml:space="preserve">Value </w:t>
      </w:r>
      <w:r>
        <w:rPr>
          <w:color w:val="231F20"/>
          <w:sz w:val="19"/>
        </w:rPr>
        <w:t xml:space="preserve">and effective performance in meeting the targets established under the 2050 </w:t>
      </w:r>
      <w:r>
        <w:rPr>
          <w:color w:val="231F20"/>
          <w:spacing w:val="-12"/>
          <w:sz w:val="19"/>
        </w:rPr>
        <w:t xml:space="preserve">LTSP, </w:t>
      </w:r>
      <w:r>
        <w:rPr>
          <w:color w:val="231F20"/>
          <w:sz w:val="19"/>
        </w:rPr>
        <w:t xml:space="preserve">linked to the findings of the 2014 and anticipated 2019 Great Barrier Reef Outlook Reports, for examination by the </w:t>
      </w:r>
      <w:r>
        <w:rPr>
          <w:color w:val="231F20"/>
          <w:spacing w:val="-3"/>
          <w:sz w:val="19"/>
        </w:rPr>
        <w:t xml:space="preserve">World </w:t>
      </w:r>
      <w:r>
        <w:rPr>
          <w:color w:val="231F20"/>
          <w:sz w:val="19"/>
        </w:rPr>
        <w:t>Heritag</w:t>
      </w:r>
      <w:r>
        <w:rPr>
          <w:color w:val="231F20"/>
          <w:sz w:val="19"/>
        </w:rPr>
        <w:t>e Committee at its 44th session in 2020.</w:t>
      </w: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rPr>
          <w:sz w:val="24"/>
        </w:rPr>
      </w:pPr>
    </w:p>
    <w:p w:rsidR="00D1511D" w:rsidRDefault="00D1511D">
      <w:pPr>
        <w:pStyle w:val="BodyText"/>
        <w:spacing w:before="11"/>
        <w:rPr>
          <w:sz w:val="27"/>
        </w:rPr>
      </w:pPr>
    </w:p>
    <w:p w:rsidR="00D1511D" w:rsidRDefault="003F0CB3">
      <w:pPr>
        <w:ind w:right="115"/>
        <w:jc w:val="right"/>
        <w:rPr>
          <w:rFonts w:ascii="Myriad Pro"/>
          <w:sz w:val="16"/>
        </w:rPr>
      </w:pPr>
      <w:r>
        <w:rPr>
          <w:rFonts w:ascii="Myriad Pro"/>
          <w:color w:val="231F20"/>
          <w:sz w:val="16"/>
        </w:rPr>
        <w:t>59</w:t>
      </w:r>
    </w:p>
    <w:p w:rsidR="00D1511D" w:rsidRDefault="00D1511D">
      <w:pPr>
        <w:jc w:val="right"/>
        <w:rPr>
          <w:rFonts w:ascii="Myriad Pro"/>
          <w:sz w:val="16"/>
        </w:rPr>
        <w:sectPr w:rsidR="00D1511D">
          <w:pgSz w:w="11910" w:h="16840"/>
          <w:pgMar w:top="880" w:right="1300" w:bottom="0" w:left="1300" w:header="260" w:footer="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3F0CB3">
      <w:pPr>
        <w:pStyle w:val="Heading1"/>
        <w:spacing w:before="283" w:line="237" w:lineRule="auto"/>
        <w:ind w:right="170" w:hanging="1"/>
      </w:pPr>
      <w:r>
        <w:rPr>
          <w:color w:val="005695"/>
          <w:spacing w:val="-5"/>
        </w:rPr>
        <w:t xml:space="preserve">Appendix </w:t>
      </w:r>
      <w:r>
        <w:rPr>
          <w:color w:val="005695"/>
          <w:spacing w:val="-4"/>
        </w:rPr>
        <w:t xml:space="preserve">D: </w:t>
      </w:r>
      <w:r>
        <w:rPr>
          <w:color w:val="005695"/>
          <w:spacing w:val="-5"/>
        </w:rPr>
        <w:t xml:space="preserve">Summary </w:t>
      </w:r>
      <w:r>
        <w:rPr>
          <w:color w:val="005695"/>
          <w:spacing w:val="-4"/>
        </w:rPr>
        <w:t xml:space="preserve">of </w:t>
      </w:r>
      <w:r>
        <w:rPr>
          <w:color w:val="005695"/>
          <w:spacing w:val="-5"/>
        </w:rPr>
        <w:t xml:space="preserve">heritage </w:t>
      </w:r>
      <w:r>
        <w:rPr>
          <w:color w:val="005695"/>
          <w:spacing w:val="-6"/>
        </w:rPr>
        <w:t xml:space="preserve">attributes </w:t>
      </w:r>
      <w:r>
        <w:rPr>
          <w:color w:val="005695"/>
          <w:spacing w:val="-5"/>
        </w:rPr>
        <w:t xml:space="preserve">from the </w:t>
      </w:r>
      <w:r>
        <w:rPr>
          <w:color w:val="005695"/>
          <w:spacing w:val="-21"/>
        </w:rPr>
        <w:t xml:space="preserve">2019 </w:t>
      </w:r>
      <w:r>
        <w:rPr>
          <w:color w:val="005695"/>
          <w:spacing w:val="-5"/>
        </w:rPr>
        <w:t xml:space="preserve">Outlook </w:t>
      </w:r>
      <w:r>
        <w:rPr>
          <w:color w:val="005695"/>
        </w:rPr>
        <w:t xml:space="preserve">Report </w:t>
      </w:r>
      <w:r>
        <w:rPr>
          <w:color w:val="005695"/>
          <w:spacing w:val="-5"/>
        </w:rPr>
        <w:t xml:space="preserve">and </w:t>
      </w:r>
      <w:r>
        <w:rPr>
          <w:color w:val="005695"/>
          <w:spacing w:val="-6"/>
        </w:rPr>
        <w:t xml:space="preserve">Complementary </w:t>
      </w:r>
      <w:r>
        <w:rPr>
          <w:color w:val="005695"/>
          <w:spacing w:val="-7"/>
        </w:rPr>
        <w:t xml:space="preserve">assessments- </w:t>
      </w:r>
      <w:r>
        <w:rPr>
          <w:color w:val="005695"/>
          <w:spacing w:val="-6"/>
        </w:rPr>
        <w:t xml:space="preserve">linking </w:t>
      </w:r>
      <w:r>
        <w:rPr>
          <w:color w:val="005695"/>
          <w:spacing w:val="-5"/>
        </w:rPr>
        <w:t xml:space="preserve">the Outlook </w:t>
      </w:r>
      <w:r>
        <w:rPr>
          <w:color w:val="005695"/>
        </w:rPr>
        <w:t xml:space="preserve">Report </w:t>
      </w:r>
      <w:r>
        <w:rPr>
          <w:color w:val="005695"/>
          <w:spacing w:val="-5"/>
        </w:rPr>
        <w:t xml:space="preserve">and the </w:t>
      </w:r>
      <w:r>
        <w:rPr>
          <w:color w:val="005695"/>
          <w:spacing w:val="-6"/>
        </w:rPr>
        <w:t xml:space="preserve">Great </w:t>
      </w:r>
      <w:r>
        <w:rPr>
          <w:color w:val="005695"/>
          <w:spacing w:val="-5"/>
        </w:rPr>
        <w:t xml:space="preserve">Barrier </w:t>
      </w:r>
      <w:r>
        <w:rPr>
          <w:color w:val="005695"/>
          <w:spacing w:val="-4"/>
        </w:rPr>
        <w:t xml:space="preserve">Reef’s </w:t>
      </w:r>
      <w:r>
        <w:rPr>
          <w:color w:val="005695"/>
          <w:spacing w:val="-6"/>
        </w:rPr>
        <w:t xml:space="preserve">outstanding </w:t>
      </w:r>
      <w:r>
        <w:rPr>
          <w:color w:val="005695"/>
          <w:spacing w:val="-7"/>
        </w:rPr>
        <w:t>universal</w:t>
      </w:r>
      <w:r>
        <w:rPr>
          <w:color w:val="005695"/>
          <w:spacing w:val="32"/>
        </w:rPr>
        <w:t xml:space="preserve"> </w:t>
      </w:r>
      <w:r>
        <w:rPr>
          <w:color w:val="005695"/>
          <w:spacing w:val="-7"/>
        </w:rPr>
        <w:t>value</w:t>
      </w:r>
    </w:p>
    <w:p w:rsidR="00D1511D" w:rsidRDefault="00D1511D">
      <w:pPr>
        <w:pStyle w:val="BodyText"/>
        <w:rPr>
          <w:rFonts w:ascii="Myriad Pro"/>
        </w:rPr>
      </w:pPr>
    </w:p>
    <w:p w:rsidR="00D1511D" w:rsidRDefault="003F0CB3">
      <w:pPr>
        <w:pStyle w:val="BodyText"/>
        <w:spacing w:before="10"/>
        <w:rPr>
          <w:rFonts w:ascii="Myriad Pro"/>
          <w:sz w:val="22"/>
        </w:rPr>
      </w:pPr>
      <w:r>
        <w:pict>
          <v:group id="_x0000_s1213" alt="This figure shows a summary of heritage attributes from the 2019 Outlook Report and complementary assessments linking the outlook report to the Great Barrier Reefs outstanding universal value. " style="position:absolute;margin-left:85.05pt;margin-top:15.7pt;width:439.4pt;height:494.65pt;z-index:-251602944;mso-wrap-distance-left:0;mso-wrap-distance-right:0;mso-position-horizontal-relative:page" coordorigin="1701,314" coordsize="8788,9893">
            <v:rect id="_x0000_s1214" alt="This figure shows a summary of heritage attributes from the 2019 Outlook Report and complementary assessments linking the outlook report to the Great Barrier Reefs outstanding universal value. " style="position:absolute;left:1700;top:313;width:8788;height:9893" fillcolor="#d2bfce" stroked="f"/>
            <v:shape id="_x0000_s1215" type="#_x0000_t75" alt="This figure shows a summary of heritage attributes from the 2019 Outlook Report and complementary assessments linking the outlook report to the Great Barrier Reefs outstanding universal value. " style="position:absolute;left:2010;top:749;width:355;height:186">
              <v:imagedata r:id="rId115" o:title=""/>
            </v:shape>
            <v:shape id="_x0000_s1216" alt="This figure shows a summary of heritage attributes from the 2019 Outlook Report and complementary assessments linking the outlook report to the Great Barrier Reefs outstanding universal value. " style="position:absolute;left:2646;top:741;width:187;height:199" coordorigin="2646,742" coordsize="187,199" o:spt="100" adj="0,,0" path="m2740,742r-15,l2712,744r-23,11l2679,762r-16,18l2657,790r-9,24l2646,828r,28l2648,868r9,24l2663,903r16,17l2689,927r23,10l2725,940r15,l2750,940r10,-2l2770,936r9,-4l2790,927r10,-7l2814,905r-84,l2722,903r-13,-7l2704,891r-8,-12l2693,873r-4,-16l2688,850r,-17l2689,825r4,-15l2696,803r8,-12l2709,786r13,-7l2730,777r83,l2800,762r-10,-7l2779,749r-9,-3l2760,744r-10,-2l2740,742xm2813,777r-64,l2757,779r13,7l2775,791r8,12l2786,810r4,15l2791,833r,17l2790,857r-4,16l2783,879r-8,12l2770,896r-13,7l2749,905r65,l2816,903r6,-11l2831,868r2,-12l2833,828r-2,-14l2822,790r-6,-10l2813,777xe" fillcolor="#83397d" stroked="f">
              <v:stroke joinstyle="round"/>
              <v:formulas/>
              <v:path arrowok="t" o:connecttype="segments"/>
            </v:shape>
            <v:shape id="_x0000_s1217" alt="This figure shows a summary of heritage attributes from the 2019 Outlook Report and complementary assessments linking the outlook report to the Great Barrier Reefs outstanding universal value. " style="position:absolute;left:2844;top:798;width:136;height:138" coordorigin="2844,798" coordsize="136,138" o:spt="100" adj="0,,0" path="m2884,798r-40,l2891,936r42,l2948,892r-35,l2884,798xm2979,798r-37,l2913,892r35,l2979,798xe" fillcolor="#83397d" stroked="f">
              <v:stroke joinstyle="round"/>
              <v:formulas/>
              <v:path arrowok="t" o:connecttype="segments"/>
            </v:shape>
            <v:shape id="_x0000_s1218" alt="This figure shows a summary of heritage attributes from the 2019 Outlook Report and complementary assessments linking the outlook report to the Great Barrier Reefs outstanding universal value. " style="position:absolute;left:2988;top:794;width:138;height:145" coordorigin="2988,795" coordsize="138,145" o:spt="100" adj="0,,0" path="m3070,795r-22,l3039,797r-18,7l3014,809r-12,13l2997,830r-7,17l2988,857r,21l2990,888r7,17l3001,913r12,13l3021,931r17,6l3048,939r11,l3070,939r10,-2l3090,933r8,-4l3106,922r7,-8l3115,911r-66,l3041,908r-11,-11l3027,888r-1,-12l3125,876r1,-10l3125,855r-1,-3l3026,852r,-2l3027,847r2,-7l3030,837r5,-6l3038,828r8,-4l3051,823r62,l3105,812r-7,-6l3080,797r-10,-2xm3123,893r-33,l3088,898r-3,4l3074,909r-7,2l3115,911r3,-6l3123,893xm3113,823r-46,l3074,826r9,10l3086,843r1,9l3124,852r-4,-16l3116,827r-3,-4xe" fillcolor="#83397d" stroked="f">
              <v:stroke joinstyle="round"/>
              <v:formulas/>
              <v:path arrowok="t" o:connecttype="segments"/>
            </v:shape>
            <v:shape id="_x0000_s1219" alt="This figure shows a summary of heritage attributes from the 2019 Outlook Report and complementary assessments linking the outlook report to the Great Barrier Reefs outstanding universal value. " style="position:absolute;left:3147;top:794;width:89;height:141" coordorigin="3147,795" coordsize="89,141" o:spt="100" adj="0,,0" path="m3183,798r-36,l3147,936r38,l3185,868r1,-6l3188,851r2,-4l3196,839r4,-3l3210,831r5,-1l3236,830r,-6l3183,824r,-26xm3236,830r-11,l3227,830r5,l3234,831r2,l3236,830xm3230,795r-7,l3218,795r-9,3l3205,800r-8,5l3194,809r-6,7l3186,820r-2,4l3236,824r,-28l3233,795r-3,xe" fillcolor="#83397d" stroked="f">
              <v:stroke joinstyle="round"/>
              <v:formulas/>
              <v:path arrowok="t" o:connecttype="segments"/>
            </v:shape>
            <v:shape id="_x0000_s1220" alt="This figure shows a summary of heritage attributes from the 2019 Outlook Report and complementary assessments linking the outlook report to the Great Barrier Reefs outstanding universal value. " style="position:absolute;left:3244;top:794;width:134;height:145" coordorigin="3245,795" coordsize="134,145" o:spt="100" adj="0,,0" path="m3372,820r-57,l3318,820r6,1l3327,822r4,3l3333,827r2,4l3336,835r,7l3335,845r-5,5l3327,851r-9,2l3313,854r-11,1l3297,856r-11,2l3280,859r-11,3l3264,864r-9,6l3252,874r-6,10l3245,890r,15l3246,912r5,10l3254,926r9,7l3268,935r11,3l3285,939r15,l3308,938r17,-5l3332,929r6,-7l3375,922r-1,-5l3374,914r-71,l3300,914r-6,-1l3291,912r-4,-3l3286,908r-3,-5l3282,900r,-7l3283,890r3,-4l3287,884r4,-3l3294,880r5,-2l3302,877r3,l3308,876r3,l3317,875r3,-1l3325,873r3,l3333,871r2,-1l3336,869r38,l3374,825r-2,-5xm3375,922r-37,l3338,925r,2l3339,931r1,3l3340,936r39,l3377,933r,l3376,929r-1,-7xm3374,869r-38,l3336,886r,2l3335,895r-1,3l3330,905r-3,3l3319,913r-6,1l3374,914r,-45xm3320,795r-14,l3298,796r-15,3l3277,801r-12,7l3260,813r-8,12l3250,832r-1,9l3287,841r,-8l3290,828r8,-6l3304,820r68,l3372,819r-7,-10l3360,805r-12,-6l3342,797r-15,-2l3320,795xe" fillcolor="#83397d" stroked="f">
              <v:stroke joinstyle="round"/>
              <v:formulas/>
              <v:path arrowok="t" o:connecttype="segments"/>
            </v:shape>
            <v:shape id="_x0000_s1221" type="#_x0000_t75" alt="This figure shows a summary of heritage attributes from the 2019 Outlook Report and complementary assessments linking the outlook report to the Great Barrier Reefs outstanding universal value. " style="position:absolute;left:3404;top:746;width:3687;height:242">
              <v:imagedata r:id="rId116" o:title=""/>
            </v:shape>
            <v:shape id="_x0000_s1222" type="#_x0000_t75" alt="This figure shows a summary of heritage attributes from the 2019 Outlook Report and complementary assessments linking the outlook report to the Great Barrier Reefs outstanding universal value. " style="position:absolute;left:2005;top:1111;width:5387;height:522">
              <v:imagedata r:id="rId117" o:title=""/>
            </v:shape>
            <v:rect id="_x0000_s1223" alt="This figure shows a summary of heritage attributes from the 2019 Outlook Report and complementary assessments linking the outlook report to the Great Barrier Reefs outstanding universal value. " style="position:absolute;left:7497;top:2061;width:13;height:16" fillcolor="black" stroked="f"/>
            <v:shape id="_x0000_s1224" type="#_x0000_t75" alt="This figure shows a summary of heritage attributes from the 2019 Outlook Report and complementary assessments linking the outlook report to the Great Barrier Reefs outstanding universal value. " style="position:absolute;left:2007;top:3400;width:5488;height:1664">
              <v:imagedata r:id="rId118" o:title=""/>
            </v:shape>
            <v:shape id="_x0000_s1225" type="#_x0000_t75" alt="This figure shows a summary of heritage attributes from the 2019 Outlook Report and complementary assessments linking the outlook report to the Great Barrier Reefs outstanding universal value. " style="position:absolute;left:2005;top:5209;width:7434;height:712">
              <v:imagedata r:id="rId119" o:title=""/>
            </v:shape>
            <v:shape id="_x0000_s1226" type="#_x0000_t75" alt="This figure shows a summary of heritage attributes from the 2019 Outlook Report and complementary assessments linking the outlook report to the Great Barrier Reefs outstanding universal value. " style="position:absolute;left:2007;top:6066;width:5604;height:1094">
              <v:imagedata r:id="rId120" o:title=""/>
            </v:shape>
            <v:shape id="_x0000_s1227" type="#_x0000_t75" alt="This figure shows a summary of heritage attributes from the 2019 Outlook Report and complementary assessments linking the outlook report to the Great Barrier Reefs outstanding universal value. " style="position:absolute;left:2005;top:1110;width:8483;height:2144">
              <v:imagedata r:id="rId121" o:title=""/>
            </v:shape>
            <v:rect id="_x0000_s1228" alt="This figure shows a summary of heritage attributes from the 2019 Outlook Report and complementary assessments linking the outlook report to the Great Barrier Reefs outstanding universal value. " style="position:absolute;left:9138;top:8355;width:10;height:107" fillcolor="black" stroked="f"/>
            <v:shape id="_x0000_s1229" type="#_x0000_t75" alt="This figure shows a summary of heritage attributes from the 2019 Outlook Report and complementary assessments linking the outlook report to the Great Barrier Reefs outstanding universal value. " style="position:absolute;left:2004;top:8353;width:7124;height:712">
              <v:imagedata r:id="rId122" o:title=""/>
            </v:shape>
            <v:shape id="_x0000_s1230" type="#_x0000_t75" alt="This figure shows a summary of heritage attributes from the 2019 Outlook Report and complementary assessments linking the outlook report to the Great Barrier Reefs outstanding universal value. " style="position:absolute;left:2010;top:6092;width:8478;height:2115">
              <v:imagedata r:id="rId123" o:title=""/>
            </v:shape>
            <v:shape id="_x0000_s1231" type="#_x0000_t75" alt="This figure shows a summary of heritage attributes from the 2019 Outlook Report and complementary assessments linking the outlook report to the Great Barrier Reefs outstanding universal value. " style="position:absolute;left:2004;top:9211;width:7443;height:519">
              <v:imagedata r:id="rId124" o:title=""/>
            </v:shape>
            <v:shape id="_x0000_s1232" type="#_x0000_t75" alt="This figure shows a summary of heritage attributes from the 2019 Outlook Report and complementary assessments linking the outlook report to the Great Barrier Reefs outstanding universal value. " style="position:absolute;left:7883;top:3379;width:2606;height:1294">
              <v:imagedata r:id="rId125" o:title=""/>
            </v:shape>
            <w10:wrap type="topAndBottom" anchorx="page"/>
          </v:group>
        </w:pict>
      </w: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3"/>
        <w:rPr>
          <w:rFonts w:ascii="Myriad Pro"/>
          <w:sz w:val="22"/>
        </w:rPr>
      </w:pPr>
    </w:p>
    <w:p w:rsidR="00D1511D" w:rsidRDefault="003F0CB3">
      <w:pPr>
        <w:spacing w:before="106"/>
        <w:ind w:left="117"/>
        <w:rPr>
          <w:rFonts w:ascii="Myriad Pro"/>
          <w:sz w:val="16"/>
        </w:rPr>
      </w:pPr>
      <w:r>
        <w:rPr>
          <w:rFonts w:ascii="Myriad Pro"/>
          <w:color w:val="231F20"/>
          <w:sz w:val="16"/>
        </w:rPr>
        <w:t xml:space="preserve">60 / </w:t>
      </w:r>
      <w:r>
        <w:rPr>
          <w:rFonts w:ascii="Myriad Pro"/>
          <w:color w:val="005695"/>
          <w:sz w:val="16"/>
        </w:rPr>
        <w:t xml:space="preserve">State Party Report on the state of conservation of the </w:t>
      </w:r>
      <w:r>
        <w:rPr>
          <w:rFonts w:ascii="Myriad Pro"/>
          <w:b/>
          <w:color w:val="005695"/>
          <w:sz w:val="16"/>
        </w:rPr>
        <w:t xml:space="preserve">Great Barrier Reef World Heritage Area (Australia) </w:t>
      </w:r>
      <w:r>
        <w:rPr>
          <w:rFonts w:ascii="Myriad Pro"/>
          <w:color w:val="005695"/>
          <w:sz w:val="16"/>
        </w:rPr>
        <w:t>2019</w:t>
      </w:r>
    </w:p>
    <w:p w:rsidR="00D1511D" w:rsidRDefault="00D1511D">
      <w:pPr>
        <w:rPr>
          <w:rFonts w:ascii="Myriad Pro"/>
          <w:sz w:val="16"/>
        </w:rPr>
        <w:sectPr w:rsidR="00D1511D">
          <w:pgSz w:w="11910" w:h="16840"/>
          <w:pgMar w:top="880" w:right="1300" w:bottom="0" w:left="1300" w:header="260" w:footer="0" w:gutter="0"/>
          <w:cols w:space="720"/>
        </w:sectPr>
      </w:pPr>
    </w:p>
    <w:p w:rsidR="00D1511D" w:rsidRDefault="003F0CB3">
      <w:pPr>
        <w:pStyle w:val="BodyText"/>
        <w:rPr>
          <w:rFonts w:ascii="Myriad Pro"/>
        </w:rPr>
      </w:pPr>
      <w:r>
        <w:rPr>
          <w:noProof/>
        </w:rPr>
        <w:lastRenderedPageBreak/>
        <w:drawing>
          <wp:anchor distT="0" distB="0" distL="0" distR="0" simplePos="0" relativeHeight="251718656" behindDoc="0" locked="0" layoutInCell="1" allowOverlap="1">
            <wp:simplePos x="0" y="0"/>
            <wp:positionH relativeFrom="page">
              <wp:posOffset>1125380</wp:posOffset>
            </wp:positionH>
            <wp:positionV relativeFrom="page">
              <wp:posOffset>5218850</wp:posOffset>
            </wp:positionV>
            <wp:extent cx="194305" cy="604837"/>
            <wp:effectExtent l="0" t="0" r="0" b="0"/>
            <wp:wrapNone/>
            <wp:docPr id="1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2.png"/>
                    <pic:cNvPicPr/>
                  </pic:nvPicPr>
                  <pic:blipFill>
                    <a:blip r:embed="rId126" cstate="print"/>
                    <a:stretch>
                      <a:fillRect/>
                    </a:stretch>
                  </pic:blipFill>
                  <pic:spPr>
                    <a:xfrm>
                      <a:off x="0" y="0"/>
                      <a:ext cx="194305" cy="604837"/>
                    </a:xfrm>
                    <a:prstGeom prst="rect">
                      <a:avLst/>
                    </a:prstGeom>
                  </pic:spPr>
                </pic:pic>
              </a:graphicData>
            </a:graphic>
          </wp:anchor>
        </w:drawing>
      </w:r>
      <w:r>
        <w:rPr>
          <w:noProof/>
        </w:rPr>
        <w:drawing>
          <wp:anchor distT="0" distB="0" distL="0" distR="0" simplePos="0" relativeHeight="251719680" behindDoc="0" locked="0" layoutInCell="1" allowOverlap="1">
            <wp:simplePos x="0" y="0"/>
            <wp:positionH relativeFrom="page">
              <wp:posOffset>1437845</wp:posOffset>
            </wp:positionH>
            <wp:positionV relativeFrom="page">
              <wp:posOffset>5216874</wp:posOffset>
            </wp:positionV>
            <wp:extent cx="1011549" cy="628650"/>
            <wp:effectExtent l="0" t="0" r="0" b="0"/>
            <wp:wrapNone/>
            <wp:docPr id="1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3.png"/>
                    <pic:cNvPicPr/>
                  </pic:nvPicPr>
                  <pic:blipFill>
                    <a:blip r:embed="rId127" cstate="print"/>
                    <a:stretch>
                      <a:fillRect/>
                    </a:stretch>
                  </pic:blipFill>
                  <pic:spPr>
                    <a:xfrm>
                      <a:off x="0" y="0"/>
                      <a:ext cx="1011549" cy="628650"/>
                    </a:xfrm>
                    <a:prstGeom prst="rect">
                      <a:avLst/>
                    </a:prstGeom>
                  </pic:spPr>
                </pic:pic>
              </a:graphicData>
            </a:graphic>
          </wp:anchor>
        </w:drawing>
      </w:r>
      <w:r>
        <w:rPr>
          <w:noProof/>
        </w:rPr>
        <w:drawing>
          <wp:anchor distT="0" distB="0" distL="0" distR="0" simplePos="0" relativeHeight="246369280" behindDoc="1" locked="0" layoutInCell="1" allowOverlap="1">
            <wp:simplePos x="0" y="0"/>
            <wp:positionH relativeFrom="page">
              <wp:posOffset>1125380</wp:posOffset>
            </wp:positionH>
            <wp:positionV relativeFrom="page">
              <wp:posOffset>6260058</wp:posOffset>
            </wp:positionV>
            <wp:extent cx="244195" cy="604837"/>
            <wp:effectExtent l="0" t="0" r="0" b="0"/>
            <wp:wrapNone/>
            <wp:docPr id="1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4.png"/>
                    <pic:cNvPicPr/>
                  </pic:nvPicPr>
                  <pic:blipFill>
                    <a:blip r:embed="rId128" cstate="print"/>
                    <a:stretch>
                      <a:fillRect/>
                    </a:stretch>
                  </pic:blipFill>
                  <pic:spPr>
                    <a:xfrm>
                      <a:off x="0" y="0"/>
                      <a:ext cx="244195" cy="604837"/>
                    </a:xfrm>
                    <a:prstGeom prst="rect">
                      <a:avLst/>
                    </a:prstGeom>
                  </pic:spPr>
                </pic:pic>
              </a:graphicData>
            </a:graphic>
          </wp:anchor>
        </w:drawing>
      </w: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5"/>
        <w:rPr>
          <w:rFonts w:ascii="Myriad Pro"/>
          <w:sz w:val="19"/>
        </w:rPr>
      </w:pPr>
    </w:p>
    <w:p w:rsidR="00D1511D" w:rsidRDefault="003F0CB3">
      <w:pPr>
        <w:pStyle w:val="Heading4"/>
        <w:spacing w:before="101" w:line="266" w:lineRule="auto"/>
        <w:ind w:left="400" w:right="628"/>
      </w:pPr>
      <w:r>
        <w:rPr>
          <w:color w:val="58595B"/>
        </w:rPr>
        <w:t>Complementary assessments - linking the Outlook Report to the great Barrier reef's outstanding universal value</w:t>
      </w:r>
    </w:p>
    <w:p w:rsidR="00D1511D" w:rsidRDefault="00D1511D">
      <w:pPr>
        <w:pStyle w:val="BodyText"/>
        <w:rPr>
          <w:rFonts w:ascii="Myriad Pro"/>
        </w:rPr>
      </w:pPr>
    </w:p>
    <w:p w:rsidR="00D1511D" w:rsidRDefault="00D1511D">
      <w:pPr>
        <w:pStyle w:val="BodyText"/>
        <w:rPr>
          <w:rFonts w:ascii="Myriad Pro"/>
        </w:rPr>
      </w:pPr>
    </w:p>
    <w:p w:rsidR="00D1511D" w:rsidRDefault="003F0CB3">
      <w:pPr>
        <w:pStyle w:val="BodyText"/>
        <w:spacing w:before="10"/>
        <w:rPr>
          <w:rFonts w:ascii="Myriad Pro"/>
          <w:sz w:val="24"/>
        </w:rPr>
      </w:pPr>
      <w:r>
        <w:rPr>
          <w:noProof/>
        </w:rPr>
        <w:drawing>
          <wp:anchor distT="0" distB="0" distL="0" distR="0" simplePos="0" relativeHeight="55" behindDoc="0" locked="0" layoutInCell="1" allowOverlap="1">
            <wp:simplePos x="0" y="0"/>
            <wp:positionH relativeFrom="page">
              <wp:posOffset>1077696</wp:posOffset>
            </wp:positionH>
            <wp:positionV relativeFrom="paragraph">
              <wp:posOffset>214179</wp:posOffset>
            </wp:positionV>
            <wp:extent cx="5604182" cy="357187"/>
            <wp:effectExtent l="0" t="0" r="0" b="0"/>
            <wp:wrapTopAndBottom/>
            <wp:docPr id="2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5.png"/>
                    <pic:cNvPicPr/>
                  </pic:nvPicPr>
                  <pic:blipFill>
                    <a:blip r:embed="rId129" cstate="print"/>
                    <a:stretch>
                      <a:fillRect/>
                    </a:stretch>
                  </pic:blipFill>
                  <pic:spPr>
                    <a:xfrm>
                      <a:off x="0" y="0"/>
                      <a:ext cx="5604182" cy="357187"/>
                    </a:xfrm>
                    <a:prstGeom prst="rect">
                      <a:avLst/>
                    </a:prstGeom>
                  </pic:spPr>
                </pic:pic>
              </a:graphicData>
            </a:graphic>
          </wp:anchor>
        </w:drawing>
      </w:r>
      <w:r>
        <w:pict>
          <v:group id="_x0000_s1210" alt="" style="position:absolute;margin-left:84.85pt;margin-top:62.55pt;width:434.8pt;height:68.65pt;z-index:-251600896;mso-wrap-distance-left:0;mso-wrap-distance-right:0;mso-position-horizontal-relative:page;mso-position-vertical-relative:text" coordorigin="1697,1251" coordsize="8696,1373">
            <v:rect id="_x0000_s1211" alt="" style="position:absolute;left:10244;top:1556;width:14;height:17" fillcolor="black" stroked="f"/>
            <v:shape id="_x0000_s1212" type="#_x0000_t75" alt="" style="position:absolute;left:1697;top:1250;width:8696;height:1373">
              <v:imagedata r:id="rId130" o:title=""/>
            </v:shape>
            <w10:wrap type="topAndBottom" anchorx="page"/>
          </v:group>
        </w:pict>
      </w:r>
      <w:r>
        <w:pict>
          <v:group id="_x0000_s1185" alt="This table shows Complementary assessments that link to the Outlook Report to the Great Barrier Reef’s outstanding universal value." style="position:absolute;margin-left:84.9pt;margin-top:148.4pt;width:439.3pt;height:186.8pt;z-index:-251599872;mso-wrap-distance-left:0;mso-wrap-distance-right:0;mso-position-horizontal-relative:page;mso-position-vertical-relative:text" coordorigin="1698,2968" coordsize="8786,3736">
            <v:rect id="_x0000_s1186" alt="This table shows Complementary assessments that link to the Outlook Report to the Great Barrier Reef’s outstanding universal value." style="position:absolute;left:1697;top:2967;width:2680;height:414" fillcolor="#395b8c" stroked="f"/>
            <v:rect id="_x0000_s1187" alt="This table shows Complementary assessments that link to the Outlook Report to the Great Barrier Reef’s outstanding universal value." style="position:absolute;left:4377;top:2967;width:6106;height:414" fillcolor="#395b8c" stroked="f"/>
            <v:rect id="_x0000_s1188" alt="This table shows Complementary assessments that link to the Outlook Report to the Great Barrier Reef’s outstanding universal value." style="position:absolute;left:1697;top:3381;width:2680;height:1195" fillcolor="#cfd4d5" stroked="f"/>
            <v:rect id="_x0000_s1189" alt="This table shows Complementary assessments that link to the Outlook Report to the Great Barrier Reef’s outstanding universal value." style="position:absolute;left:4377;top:3381;width:6106;height:1195" fillcolor="#cfd4d5" stroked="f"/>
            <v:line id="_x0000_s1190" alt="This table shows Complementary assessments that link to the Outlook Report to the Great Barrier Reef’s outstanding universal value." style="position:absolute" from="1698,3381" to="4378,3381" strokeweight=".06244mm"/>
            <v:line id="_x0000_s1191" alt="This table shows Complementary assessments that link to the Outlook Report to the Great Barrier Reef’s outstanding universal value." style="position:absolute" from="4378,3381" to="10484,3381" strokeweight=".06244mm"/>
            <v:line id="_x0000_s1192" alt="This table shows Complementary assessments that link to the Outlook Report to the Great Barrier Reef’s outstanding universal value." style="position:absolute" from="1698,4575" to="4378,4575" strokeweight=".06244mm"/>
            <v:line id="_x0000_s1193" alt="This table shows Complementary assessments that link to the Outlook Report to the Great Barrier Reef’s outstanding universal value." style="position:absolute" from="4378,4575" to="10484,4575" strokeweight=".06244mm"/>
            <v:shape id="_x0000_s1194" type="#_x0000_t75" alt="This table shows Complementary assessments that link to the Outlook Report to the Great Barrier Reef’s outstanding universal value." style="position:absolute;left:1774;top:3036;width:1424;height:302">
              <v:imagedata r:id="rId131" o:title=""/>
            </v:shape>
            <v:shape id="_x0000_s1195" type="#_x0000_t75" alt="This table shows Complementary assessments that link to the Outlook Report to the Great Barrier Reef’s outstanding universal value." style="position:absolute;left:4449;top:3038;width:2519;height:301">
              <v:imagedata r:id="rId132" o:title=""/>
            </v:shape>
            <v:shape id="_x0000_s1196" type="#_x0000_t75" alt="This table shows Complementary assessments that link to the Outlook Report to the Great Barrier Reef’s outstanding universal value." style="position:absolute;left:4444;top:3449;width:5481;height:1085">
              <v:imagedata r:id="rId133" o:title=""/>
            </v:shape>
            <v:shape id="_x0000_s1197" type="#_x0000_t75" alt="This table shows Complementary assessments that link to the Outlook Report to the Great Barrier Reef’s outstanding universal value." style="position:absolute;left:4455;top:4643;width:182;height:1234">
              <v:imagedata r:id="rId134" o:title=""/>
            </v:shape>
            <v:shape id="_x0000_s1198" alt="This table shows Complementary assessments that link to the Outlook Report to the Great Barrier Reef’s outstanding universal value." style="position:absolute;left:4641;top:5745;width:32;height:132" coordorigin="4642,5746" coordsize="32,132" path="m4651,5746r-9,l4648,5757r5,10l4659,5789r1,11l4660,5824r-1,11l4653,5856r-4,11l4642,5877r9,l4673,5806r,-6l4654,5751r-3,-5xe" fillcolor="black" stroked="f">
              <v:path arrowok="t"/>
            </v:shape>
            <v:line id="_x0000_s1199" alt="This table shows Complementary assessments that link to the Outlook Report to the Great Barrier Reef’s outstanding universal value." style="position:absolute" from="1698,6702" to="4378,6702" strokeweight=".06244mm"/>
            <v:line id="_x0000_s1200" alt="This table shows Complementary assessments that link to the Outlook Report to the Great Barrier Reef’s outstanding universal value." style="position:absolute" from="4378,6702" to="10484,6702" strokeweight=".06244mm"/>
            <v:shape id="_x0000_s1201" type="#_x0000_t75" alt="This table shows Complementary assessments that link to the Outlook Report to the Great Barrier Reef’s outstanding universal value." style="position:absolute;left:4802;top:4643;width:5358;height:2017">
              <v:imagedata r:id="rId135" o:title=""/>
            </v:shape>
            <v:shape id="_x0000_s1202" alt="This table shows Complementary assessments that link to the Outlook Report to the Great Barrier Reef’s outstanding universal value." style="position:absolute;left:4455;top:6136;width:32;height:132" coordorigin="4455,6136" coordsize="32,132" path="m4487,6136r-9,l4470,6146r-5,11l4457,6179r-2,11l4455,6208r1,6l4478,6268r9,l4480,6257r-5,-11l4470,6225r-2,-11l4468,6190r2,-11l4475,6158r5,-11l4487,6136xe" fillcolor="black" stroked="f">
              <v:path arrowok="t"/>
            </v:shape>
            <v:shape id="_x0000_s1203" alt="This table shows Complementary assessments that link to the Outlook Report to the Great Barrier Reef’s outstanding universal value." style="position:absolute;left:4497;top:6139;width:39;height:101" coordorigin="4498,6139" coordsize="39,101" path="m4536,6139r-9,l4526,6143r-1,3l4501,6158r-3,l4498,6168r26,l4524,6240r12,l4536,6139xe" fillcolor="black" stroked="f">
              <v:path arrowok="t"/>
            </v:shape>
            <v:shape id="_x0000_s1204" alt="This table shows Complementary assessments that link to the Outlook Report to the Great Barrier Reef’s outstanding universal value." style="position:absolute;left:4576;top:6139;width:39;height:101" coordorigin="4577,6139" coordsize="39,101" path="m4615,6139r-9,l4605,6143r-1,3l4580,6158r-3,l4577,6168r26,l4603,6240r12,l4615,6139xe" fillcolor="black" stroked="f">
              <v:path arrowok="t"/>
            </v:shape>
            <v:shape id="_x0000_s1205" alt="This table shows Complementary assessments that link to the Outlook Report to the Great Barrier Reef’s outstanding universal value." style="position:absolute;left:4641;top:6136;width:32;height:132" coordorigin="4642,6136" coordsize="32,132" path="m4651,6136r-9,l4648,6147r5,11l4659,6179r1,11l4660,6214r-1,11l4653,6246r-4,11l4642,6268r9,l4673,6196r,-6l4654,6142r-3,-6xe" fillcolor="black" stroked="f">
              <v:path arrowok="t"/>
            </v:shape>
            <v:shape id="_x0000_s1206" alt="This table shows Complementary assessments that link to the Outlook Report to the Great Barrier Reef’s outstanding universal value." style="position:absolute;left:4455;top:6526;width:32;height:132" coordorigin="4455,6527" coordsize="32,132" path="m4487,6527r-9,l4470,6537r-5,10l4457,6570r-2,10l4455,6598r1,6l4478,6658r9,l4480,6647r-5,-10l4470,6615r-2,-11l4468,6580r2,-11l4475,6548r5,-10l4487,6527xe" fillcolor="black" stroked="f">
              <v:path arrowok="t"/>
            </v:shape>
            <v:shape id="_x0000_s1207" alt="This table shows Complementary assessments that link to the Outlook Report to the Great Barrier Reef’s outstanding universal value." style="position:absolute;left:4497;top:6529;width:39;height:101" coordorigin="4498,6530" coordsize="39,101" path="m4536,6530r-9,l4526,6534r-1,3l4501,6549r-3,l4498,6558r26,l4524,6630r12,l4536,6530xe" fillcolor="black" stroked="f">
              <v:path arrowok="t"/>
            </v:shape>
            <v:shape id="_x0000_s1208" alt="This table shows Complementary assessments that link to the Outlook Report to the Great Barrier Reef’s outstanding universal value." style="position:absolute;left:4567;top:6529;width:67;height:101" coordorigin="4568,6530" coordsize="67,101" o:spt="100" adj="0,,0" path="m4628,6541r-23,l4607,6541r5,2l4614,6544r4,3l4619,6549r2,4l4621,6556r1,6l4621,6565r-2,6l4617,6573r-4,5l4610,6580r-6,4l4600,6587r-4,2l4592,6591r-3,3l4583,6598r-3,3l4575,6607r-2,4l4569,6619r-1,5l4568,6630r65,l4633,6620r-51,l4582,6617r1,-3l4587,6609r2,-2l4595,6603r2,-2l4604,6597r6,-4l4613,6591r3,-2l4622,6585r3,-3l4629,6577r2,-3l4634,6567r,-4l4634,6553r-1,-3l4630,6543r-2,-2xm4607,6530r-9,l4593,6531r-9,3l4581,6537r-6,6l4573,6547r-2,9l4570,6559r,3l4571,6565r12,l4583,6560r,-1l4584,6553r1,-2l4589,6546r2,-2l4596,6541r3,l4628,6541r,-1l4622,6535r-3,-2l4611,6531r-4,-1xe" fillcolor="black" stroked="f">
              <v:stroke joinstyle="round"/>
              <v:formulas/>
              <v:path arrowok="t" o:connecttype="segments"/>
            </v:shape>
            <v:shape id="_x0000_s1209" alt="This table shows Complementary assessments that link to the Outlook Report to the Great Barrier Reef’s outstanding universal value." style="position:absolute;left:4641;top:6526;width:32;height:132" coordorigin="4642,6527" coordsize="32,132" path="m4651,6527r-9,l4648,6538r5,10l4659,6570r1,11l4660,6605r-1,11l4653,6637r-4,11l4642,6658r9,l4673,6587r,-6l4654,6532r-3,-5xe" fillcolor="black" stroked="f">
              <v:path arrowok="t"/>
            </v:shape>
            <w10:wrap type="topAndBottom" anchorx="page"/>
          </v:group>
        </w:pict>
      </w:r>
    </w:p>
    <w:p w:rsidR="00D1511D" w:rsidRDefault="00D1511D">
      <w:pPr>
        <w:pStyle w:val="BodyText"/>
        <w:spacing w:before="6"/>
        <w:rPr>
          <w:rFonts w:ascii="Myriad Pro"/>
          <w:sz w:val="23"/>
        </w:rPr>
      </w:pPr>
    </w:p>
    <w:p w:rsidR="00D1511D" w:rsidRDefault="00D1511D">
      <w:pPr>
        <w:pStyle w:val="BodyText"/>
        <w:rPr>
          <w:rFonts w:ascii="Myriad Pro"/>
          <w:sz w:val="23"/>
        </w:rPr>
      </w:pPr>
    </w:p>
    <w:p w:rsidR="00D1511D" w:rsidRDefault="00D1511D">
      <w:pPr>
        <w:pStyle w:val="BodyText"/>
        <w:spacing w:before="9"/>
        <w:rPr>
          <w:rFonts w:ascii="Myriad Pro"/>
          <w:sz w:val="5"/>
        </w:rPr>
      </w:pPr>
    </w:p>
    <w:p w:rsidR="00D1511D" w:rsidRDefault="003F0CB3">
      <w:pPr>
        <w:pStyle w:val="BodyText"/>
        <w:ind w:left="395"/>
        <w:rPr>
          <w:rFonts w:ascii="Myriad Pro"/>
        </w:rPr>
      </w:pPr>
      <w:r>
        <w:rPr>
          <w:rFonts w:ascii="Myriad Pro"/>
        </w:rPr>
      </w:r>
      <w:r>
        <w:rPr>
          <w:rFonts w:ascii="Myriad Pro"/>
        </w:rPr>
        <w:pict>
          <v:group id="_x0000_s1159" alt="This table shows Complementary assessments that link to the Outlook Report to the Great Barrier Reef’s outstanding universal value." style="width:439.3pt;height:204.7pt;mso-position-horizontal-relative:char;mso-position-vertical-relative:line" coordsize="8786,4094">
            <v:line id="_x0000_s1160" alt="This table shows Complementary assessments that link to the Outlook Report to the Great Barrier Reef’s outstanding universal value." style="position:absolute" from="0,1053" to="2680,1053" strokeweight=".06244mm"/>
            <v:line id="_x0000_s1161" alt="This table shows Complementary assessments that link to the Outlook Report to the Great Barrier Reef’s outstanding universal value." style="position:absolute" from="2680,1053" to="8786,1053" strokeweight=".06244mm"/>
            <v:shape id="_x0000_s1162" type="#_x0000_t75" alt="This table shows Complementary assessments that link to the Outlook Report to the Great Barrier Reef’s outstanding universal value." style="position:absolute;left:572;width:1990;height:982">
              <v:imagedata r:id="rId136" o:title=""/>
            </v:shape>
            <v:shape id="_x0000_s1163" type="#_x0000_t75" alt="This table shows Complementary assessments that link to the Outlook Report to the Great Barrier Reef’s outstanding universal value." style="position:absolute;left:2757;top:32;width:139;height:132">
              <v:imagedata r:id="rId137" o:title=""/>
            </v:shape>
            <v:shape id="_x0000_s1164" type="#_x0000_t75" alt="This table shows Complementary assessments that link to the Outlook Report to the Great Barrier Reef’s outstanding universal value." style="position:absolute;left:3106;top:33;width:5462;height:665">
              <v:imagedata r:id="rId138" o:title=""/>
            </v:shape>
            <v:shape id="_x0000_s1165" type="#_x0000_t75" alt="This table shows Complementary assessments that link to the Outlook Report to the Great Barrier Reef’s outstanding universal value." style="position:absolute;left:2757;top:423;width:139;height:132">
              <v:imagedata r:id="rId139" o:title=""/>
            </v:shape>
            <v:shape id="_x0000_s1166" type="#_x0000_t75" alt="This table shows Complementary assessments that link to the Outlook Report to the Great Barrier Reef’s outstanding universal value." style="position:absolute;left:2757;top:813;width:139;height:132">
              <v:imagedata r:id="rId140" o:title=""/>
            </v:shape>
            <v:shape id="_x0000_s1167" type="#_x0000_t75" alt="This table shows Complementary assessments that link to the Outlook Report to the Great Barrier Reef’s outstanding universal value." style="position:absolute;left:3116;top:815;width:3802;height:131">
              <v:imagedata r:id="rId141" o:title=""/>
            </v:shape>
            <v:line id="_x0000_s1168" alt="This table shows Complementary assessments that link to the Outlook Report to the Great Barrier Reef’s outstanding universal value." style="position:absolute" from="0,2828" to="2680,2828" strokeweight=".06244mm"/>
            <v:line id="_x0000_s1169" alt="This table shows Complementary assessments that link to the Outlook Report to the Great Barrier Reef’s outstanding universal value." style="position:absolute" from="2680,2828" to="8786,2828" strokeweight=".06244mm"/>
            <v:shape id="_x0000_s1170" type="#_x0000_t75" alt="This table shows Complementary assessments that link to the Outlook Report to the Great Barrier Reef’s outstanding universal value." style="position:absolute;left:74;top:1124;width:307;height:1634">
              <v:imagedata r:id="rId142" o:title=""/>
            </v:shape>
            <v:shape id="_x0000_s1171" type="#_x0000_t75" alt="This table shows Complementary assessments that link to the Outlook Report to the Great Barrier Reef’s outstanding universal value." style="position:absolute;left:568;top:1122;width:1502;height:1636">
              <v:imagedata r:id="rId143" o:title=""/>
            </v:shape>
            <v:shape id="_x0000_s1172" type="#_x0000_t75" alt="This table shows Complementary assessments that link to the Outlook Report to the Great Barrier Reef’s outstanding universal value." style="position:absolute;left:2757;top:1802;width:139;height:132">
              <v:imagedata r:id="rId144" o:title=""/>
            </v:shape>
            <v:shape id="_x0000_s1173" type="#_x0000_t75" alt="This table shows Complementary assessments that link to the Outlook Report to the Great Barrier Reef’s outstanding universal value." style="position:absolute;left:3105;top:1802;width:3015;height:304">
              <v:imagedata r:id="rId145" o:title=""/>
            </v:shape>
            <v:shape id="_x0000_s1174" type="#_x0000_t75" alt="This table shows Complementary assessments that link to the Outlook Report to the Great Barrier Reef’s outstanding universal value." style="position:absolute;left:6133;top:1804;width:2324;height:131">
              <v:imagedata r:id="rId146" o:title=""/>
            </v:shape>
            <v:line id="_x0000_s1175" alt="This table shows Complementary assessments that link to the Outlook Report to the Great Barrier Reef’s outstanding universal value." style="position:absolute" from="0,4092" to="2680,4092" strokeweight=".06244mm"/>
            <v:line id="_x0000_s1176" alt="This table shows Complementary assessments that link to the Outlook Report to the Great Barrier Reef’s outstanding universal value." style="position:absolute" from="2680,4092" to="8786,4092" strokeweight=".06244mm"/>
            <v:shape id="_x0000_s1177" type="#_x0000_t75" alt="This table shows Complementary assessments that link to the Outlook Report to the Great Barrier Reef’s outstanding universal value." style="position:absolute;left:74;top:2899;width:385;height:1124">
              <v:imagedata r:id="rId147" o:title=""/>
            </v:shape>
            <v:shape id="_x0000_s1178" type="#_x0000_t75" alt="This table shows Complementary assessments that link to the Outlook Report to the Great Barrier Reef’s outstanding universal value." style="position:absolute;left:568;top:2895;width:1920;height:1154">
              <v:imagedata r:id="rId148" o:title=""/>
            </v:shape>
            <v:shape id="_x0000_s1179" alt="This table shows Complementary assessments that link to the Outlook Report to the Great Barrier Reef’s outstanding universal value." style="position:absolute;left:2757;top:3321;width:32;height:132" coordorigin="2757,3321" coordsize="32,132" path="m2789,3321r-9,l2772,3331r-5,11l2759,3364r-2,11l2757,3393r1,6l2780,3453r9,l2782,3442r-5,-11l2772,3410r-2,-11l2770,3375r2,-11l2777,3343r5,-11l2789,3321xe" fillcolor="black" stroked="f">
              <v:path arrowok="t"/>
            </v:shape>
            <v:shape id="_x0000_s1180" alt="This table shows Complementary assessments that link to the Outlook Report to the Great Barrier Reef’s outstanding universal value." style="position:absolute;left:2799;top:3324;width:39;height:101" coordorigin="2800,3325" coordsize="39,101" path="m2838,3325r-9,l2828,3328r-1,3l2803,3343r-3,l2800,3353r26,l2826,3425r12,l2838,3325xe" fillcolor="black" stroked="f">
              <v:path arrowok="t"/>
            </v:shape>
            <v:shape id="_x0000_s1181" alt="This table shows Complementary assessments that link to the Outlook Report to the Great Barrier Reef’s outstanding universal value." style="position:absolute;left:2870;top:3324;width:69;height:103" coordorigin="2871,3324" coordsize="69,103" o:spt="100" adj="0,,0" path="m2883,3394r-12,l2871,3400r,4l2874,3412r3,3l2882,3421r4,2l2894,3426r5,1l2909,3427r4,-1l2922,3423r3,-2l2932,3416r,l2897,3416r-5,-2l2885,3406r-2,-6l2883,3394xm2932,3377r-25,l2910,3378r5,1l2918,3381r3,3l2923,3386r2,5l2926,3394r,6l2925,3402r-2,5l2921,3409r-4,4l2915,3414r-5,2l2907,3416r25,l2934,3413r4,-8l2939,3401r,-11l2937,3385r-5,-8xm2897,3368r,10l2899,3377r3,l2932,3377r-1,-1l2927,3373r-7,-1l2920,3371r4,-1l2927,3368r-29,l2898,3368r-1,xm2930,3335r-21,l2913,3336r7,6l2922,3346r,8l2921,3356r-2,4l2918,3362r-4,3l2912,3366r-5,1l2905,3368r22,l2928,3367r5,-7l2934,3356r,-10l2934,3343r-4,-7l2930,3335xm2908,3324r-9,l2894,3325r-7,4l2883,3331r-5,5l2876,3340r-2,8l2873,3352r,5l2885,3357r,-3l2885,3351r2,-5l2888,3344r3,-4l2893,3338r5,-2l2901,3335r29,l2928,3333r-5,-4l2920,3327r-8,-2l2908,3324xe" fillcolor="black" stroked="f">
              <v:stroke joinstyle="round"/>
              <v:formulas/>
              <v:path arrowok="t" o:connecttype="segments"/>
            </v:shape>
            <v:shape id="_x0000_s1182" alt="This table shows Complementary assessments that link to the Outlook Report to the Great Barrier Reef’s outstanding universal value." style="position:absolute;left:2943;top:3321;width:32;height:132" coordorigin="2944,3321" coordsize="32,132" path="m2953,3321r-9,l2951,3332r4,11l2961,3364r1,12l2962,3399r-1,11l2955,3432r-4,10l2944,3453r9,l2975,3381r,-5l2956,3327r-3,-6xe" fillcolor="black" stroked="f">
              <v:path arrowok="t"/>
            </v:shape>
            <v:shape id="_x0000_s1183" type="#_x0000_t75" alt="This table shows Complementary assessments that link to the Outlook Report to the Great Barrier Reef’s outstanding universal value." style="position:absolute;left:3110;top:3321;width:5375;height:304">
              <v:imagedata r:id="rId149" o:title=""/>
            </v:shape>
            <v:shape id="_x0000_s1184" alt="This table shows Complementary assessments that link to the Outlook Report to the Great Barrier Reef’s outstanding universal value." style="position:absolute;left:8501;top:3409;width:16;height:37" coordorigin="8501,3409" coordsize="16,37" path="m8517,3409r-16,l8501,3425r8,l8510,3427r-9,12l8501,3446r6,-2l8511,3441r5,-7l8517,3429r,-20xe" fillcolor="black" stroked="f">
              <v:path arrowok="t"/>
            </v:shape>
            <w10:anchorlock/>
          </v:group>
        </w:pict>
      </w: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spacing w:before="10"/>
        <w:rPr>
          <w:rFonts w:ascii="Myriad Pro"/>
          <w:sz w:val="24"/>
        </w:rPr>
      </w:pPr>
    </w:p>
    <w:p w:rsidR="00D1511D" w:rsidRDefault="003F0CB3">
      <w:pPr>
        <w:spacing w:before="101"/>
        <w:ind w:right="115"/>
        <w:jc w:val="right"/>
        <w:rPr>
          <w:rFonts w:ascii="Myriad Pro"/>
          <w:sz w:val="16"/>
        </w:rPr>
      </w:pPr>
      <w:r>
        <w:rPr>
          <w:rFonts w:ascii="Myriad Pro"/>
          <w:color w:val="231F20"/>
          <w:sz w:val="16"/>
        </w:rPr>
        <w:t>61</w:t>
      </w:r>
    </w:p>
    <w:p w:rsidR="00D1511D" w:rsidRDefault="00D1511D">
      <w:pPr>
        <w:jc w:val="right"/>
        <w:rPr>
          <w:rFonts w:ascii="Myriad Pro"/>
          <w:sz w:val="16"/>
        </w:rPr>
        <w:sectPr w:rsidR="00D1511D">
          <w:pgSz w:w="11910" w:h="16840"/>
          <w:pgMar w:top="880" w:right="1300" w:bottom="0" w:left="1300" w:header="260" w:footer="0" w:gutter="0"/>
          <w:cols w:space="720"/>
        </w:sectPr>
      </w:pPr>
    </w:p>
    <w:p w:rsidR="00D1511D" w:rsidRDefault="00D1511D">
      <w:pPr>
        <w:pStyle w:val="BodyText"/>
        <w:rPr>
          <w:rFonts w:ascii="Myriad Pro"/>
        </w:rPr>
      </w:pPr>
    </w:p>
    <w:p w:rsidR="00D1511D" w:rsidRDefault="00D1511D">
      <w:pPr>
        <w:pStyle w:val="BodyText"/>
        <w:spacing w:before="2"/>
        <w:rPr>
          <w:rFonts w:ascii="Myriad Pro"/>
          <w:sz w:val="12"/>
        </w:rPr>
      </w:pPr>
    </w:p>
    <w:p w:rsidR="00D1511D" w:rsidRDefault="003F0CB3">
      <w:pPr>
        <w:pStyle w:val="BodyText"/>
        <w:ind w:left="397"/>
        <w:rPr>
          <w:rFonts w:ascii="Myriad Pro"/>
        </w:rPr>
      </w:pPr>
      <w:r>
        <w:rPr>
          <w:rFonts w:ascii="Myriad Pro"/>
        </w:rPr>
      </w:r>
      <w:r>
        <w:rPr>
          <w:rFonts w:ascii="Myriad Pro"/>
        </w:rPr>
        <w:pict>
          <v:group id="_x0000_s1153" alt="This table shows Complementary assessments that link to the Outlook Report to the Great Barrier Reef’s outstanding universal value." style="width:439.5pt;height:78.3pt;mso-position-horizontal-relative:char;mso-position-vertical-relative:line" coordsize="8790,1566">
            <v:rect id="_x0000_s1154" alt="This table shows Complementary assessments that link to the Outlook Report to the Great Barrier Reef’s outstanding universal value." style="position:absolute;width:2681;height:414" fillcolor="#395b8c" stroked="f"/>
            <v:rect id="_x0000_s1155" alt="This table shows Complementary assessments that link to the Outlook Report to the Great Barrier Reef’s outstanding universal value." style="position:absolute;left:2680;width:6109;height:414" fillcolor="#395b8c" stroked="f"/>
            <v:line id="_x0000_s1156" alt="This table shows Complementary assessments that link to the Outlook Report to the Great Barrier Reef’s outstanding universal value." style="position:absolute" from="0,413" to="2681,413" strokeweight=".06244mm"/>
            <v:line id="_x0000_s1157" alt="This table shows Complementary assessments that link to the Outlook Report to the Great Barrier Reef’s outstanding universal value." style="position:absolute" from="2681,413" to="8789,413" strokeweight=".06244mm"/>
            <v:shape id="_x0000_s1158" type="#_x0000_t202" alt="This table shows Complementary assessments that link to the Outlook Report to the Great Barrier Reef’s outstanding universal value." style="position:absolute;top:415;width:8790;height:1151;mso-wrap-style:square;v-text-anchor:top" fillcolor="#cfd4d5" stroked="f">
              <v:textbox inset="0,0,0,0">
                <w:txbxContent>
                  <w:p w:rsidR="00D1511D" w:rsidRDefault="003F0CB3">
                    <w:pPr>
                      <w:spacing w:before="102"/>
                      <w:ind w:left="2757"/>
                      <w:rPr>
                        <w:rFonts w:ascii="Arial"/>
                        <w:b/>
                        <w:sz w:val="14"/>
                      </w:rPr>
                    </w:pPr>
                    <w:r>
                      <w:rPr>
                        <w:rFonts w:ascii="Arial"/>
                        <w:b/>
                        <w:color w:val="030303"/>
                        <w:sz w:val="14"/>
                      </w:rPr>
                      <w:t>Major stages of the Earth's evolutionary history (viii)</w:t>
                    </w:r>
                  </w:p>
                  <w:p w:rsidR="00D1511D" w:rsidRDefault="003F0CB3">
                    <w:pPr>
                      <w:spacing w:before="65" w:line="254" w:lineRule="auto"/>
                      <w:ind w:left="3108" w:right="178" w:hanging="359"/>
                      <w:rPr>
                        <w:rFonts w:ascii="Arial"/>
                        <w:i/>
                        <w:sz w:val="14"/>
                      </w:rPr>
                    </w:pPr>
                    <w:r>
                      <w:rPr>
                        <w:rFonts w:ascii="Arial"/>
                        <w:i/>
                        <w:color w:val="131313"/>
                        <w:sz w:val="14"/>
                      </w:rPr>
                      <w:t xml:space="preserve">(viii)  be outstanding examples </w:t>
                    </w:r>
                    <w:proofErr w:type="gramStart"/>
                    <w:r>
                      <w:rPr>
                        <w:rFonts w:ascii="Arial"/>
                        <w:i/>
                        <w:color w:val="131313"/>
                        <w:sz w:val="14"/>
                      </w:rPr>
                      <w:t xml:space="preserve">representing  </w:t>
                    </w:r>
                    <w:r>
                      <w:rPr>
                        <w:rFonts w:ascii="Arial"/>
                        <w:i/>
                        <w:color w:val="030303"/>
                        <w:sz w:val="14"/>
                      </w:rPr>
                      <w:t>major</w:t>
                    </w:r>
                    <w:proofErr w:type="gramEnd"/>
                    <w:r>
                      <w:rPr>
                        <w:rFonts w:ascii="Arial"/>
                        <w:i/>
                        <w:color w:val="030303"/>
                        <w:sz w:val="14"/>
                      </w:rPr>
                      <w:t xml:space="preserve"> </w:t>
                    </w:r>
                    <w:r>
                      <w:rPr>
                        <w:rFonts w:ascii="Arial"/>
                        <w:i/>
                        <w:color w:val="131313"/>
                        <w:sz w:val="14"/>
                      </w:rPr>
                      <w:t xml:space="preserve">stages of </w:t>
                    </w:r>
                    <w:r>
                      <w:rPr>
                        <w:rFonts w:ascii="Arial"/>
                        <w:i/>
                        <w:color w:val="030303"/>
                        <w:spacing w:val="-3"/>
                        <w:sz w:val="14"/>
                      </w:rPr>
                      <w:t>Earth</w:t>
                    </w:r>
                    <w:r>
                      <w:rPr>
                        <w:rFonts w:ascii="Arial"/>
                        <w:i/>
                        <w:color w:val="363636"/>
                        <w:spacing w:val="-3"/>
                        <w:sz w:val="14"/>
                      </w:rPr>
                      <w:t>'</w:t>
                    </w:r>
                    <w:r>
                      <w:rPr>
                        <w:rFonts w:ascii="Arial"/>
                        <w:i/>
                        <w:color w:val="131313"/>
                        <w:spacing w:val="-3"/>
                        <w:sz w:val="14"/>
                      </w:rPr>
                      <w:t xml:space="preserve">s </w:t>
                    </w:r>
                    <w:r>
                      <w:rPr>
                        <w:rFonts w:ascii="Arial"/>
                        <w:i/>
                        <w:color w:val="131313"/>
                        <w:sz w:val="14"/>
                      </w:rPr>
                      <w:t xml:space="preserve">history, </w:t>
                    </w:r>
                    <w:r>
                      <w:rPr>
                        <w:rFonts w:ascii="Arial"/>
                        <w:i/>
                        <w:color w:val="030303"/>
                        <w:sz w:val="14"/>
                      </w:rPr>
                      <w:t>including the</w:t>
                    </w:r>
                    <w:r>
                      <w:rPr>
                        <w:rFonts w:ascii="Arial"/>
                        <w:i/>
                        <w:color w:val="131313"/>
                        <w:sz w:val="14"/>
                      </w:rPr>
                      <w:t xml:space="preserve"> record of </w:t>
                    </w:r>
                    <w:r>
                      <w:rPr>
                        <w:rFonts w:ascii="Arial"/>
                        <w:i/>
                        <w:color w:val="030303"/>
                        <w:sz w:val="14"/>
                      </w:rPr>
                      <w:t xml:space="preserve">life, </w:t>
                    </w:r>
                    <w:r>
                      <w:rPr>
                        <w:rFonts w:ascii="Arial"/>
                        <w:i/>
                        <w:color w:val="131313"/>
                        <w:sz w:val="14"/>
                      </w:rPr>
                      <w:t>significant ongo</w:t>
                    </w:r>
                    <w:r>
                      <w:rPr>
                        <w:rFonts w:ascii="Arial"/>
                        <w:i/>
                        <w:color w:val="131313"/>
                        <w:sz w:val="14"/>
                      </w:rPr>
                      <w:t xml:space="preserve">ing geological </w:t>
                    </w:r>
                    <w:r>
                      <w:rPr>
                        <w:rFonts w:ascii="Arial"/>
                        <w:i/>
                        <w:color w:val="030303"/>
                        <w:sz w:val="14"/>
                      </w:rPr>
                      <w:t xml:space="preserve">processes in </w:t>
                    </w:r>
                    <w:r>
                      <w:rPr>
                        <w:rFonts w:ascii="Arial"/>
                        <w:i/>
                        <w:color w:val="131313"/>
                        <w:sz w:val="14"/>
                      </w:rPr>
                      <w:t xml:space="preserve">the development of </w:t>
                    </w:r>
                    <w:r>
                      <w:rPr>
                        <w:rFonts w:ascii="Arial"/>
                        <w:i/>
                        <w:color w:val="030303"/>
                        <w:sz w:val="14"/>
                      </w:rPr>
                      <w:t>landforms,</w:t>
                    </w:r>
                    <w:r>
                      <w:rPr>
                        <w:rFonts w:ascii="Arial"/>
                        <w:i/>
                        <w:color w:val="131313"/>
                        <w:sz w:val="14"/>
                      </w:rPr>
                      <w:t xml:space="preserve"> or significant geomorphic or physiographic</w:t>
                    </w:r>
                    <w:r>
                      <w:rPr>
                        <w:rFonts w:ascii="Arial"/>
                        <w:i/>
                        <w:color w:val="131313"/>
                        <w:spacing w:val="30"/>
                        <w:sz w:val="14"/>
                      </w:rPr>
                      <w:t xml:space="preserve"> </w:t>
                    </w:r>
                    <w:r>
                      <w:rPr>
                        <w:rFonts w:ascii="Arial"/>
                        <w:i/>
                        <w:color w:val="030303"/>
                        <w:sz w:val="14"/>
                      </w:rPr>
                      <w:t>features</w:t>
                    </w:r>
                  </w:p>
                  <w:p w:rsidR="00D1511D" w:rsidRDefault="003F0CB3">
                    <w:pPr>
                      <w:tabs>
                        <w:tab w:val="left" w:pos="3111"/>
                      </w:tabs>
                      <w:spacing w:before="50"/>
                      <w:ind w:left="2756"/>
                      <w:rPr>
                        <w:rFonts w:ascii="Arial"/>
                        <w:i/>
                        <w:sz w:val="14"/>
                      </w:rPr>
                    </w:pPr>
                    <w:r>
                      <w:rPr>
                        <w:rFonts w:ascii="Arial"/>
                        <w:i/>
                        <w:color w:val="131313"/>
                        <w:sz w:val="14"/>
                      </w:rPr>
                      <w:t>[</w:t>
                    </w:r>
                    <w:proofErr w:type="spellStart"/>
                    <w:r>
                      <w:rPr>
                        <w:rFonts w:ascii="Arial"/>
                        <w:i/>
                        <w:color w:val="131313"/>
                        <w:sz w:val="14"/>
                      </w:rPr>
                      <w:t>i</w:t>
                    </w:r>
                    <w:proofErr w:type="spellEnd"/>
                    <w:r>
                      <w:rPr>
                        <w:rFonts w:ascii="Arial"/>
                        <w:i/>
                        <w:color w:val="131313"/>
                        <w:sz w:val="14"/>
                      </w:rPr>
                      <w:t>]</w:t>
                    </w:r>
                    <w:r>
                      <w:rPr>
                        <w:rFonts w:ascii="Arial"/>
                        <w:i/>
                        <w:color w:val="131313"/>
                        <w:sz w:val="14"/>
                      </w:rPr>
                      <w:tab/>
                      <w:t xml:space="preserve">outstanding examples representing </w:t>
                    </w:r>
                    <w:r>
                      <w:rPr>
                        <w:rFonts w:ascii="Arial"/>
                        <w:i/>
                        <w:color w:val="030303"/>
                        <w:sz w:val="14"/>
                      </w:rPr>
                      <w:t xml:space="preserve">the </w:t>
                    </w:r>
                    <w:r>
                      <w:rPr>
                        <w:rFonts w:ascii="Arial"/>
                        <w:i/>
                        <w:color w:val="131313"/>
                        <w:sz w:val="14"/>
                      </w:rPr>
                      <w:t xml:space="preserve">major stages of </w:t>
                    </w:r>
                    <w:r>
                      <w:rPr>
                        <w:rFonts w:ascii="Arial"/>
                        <w:i/>
                        <w:color w:val="030303"/>
                        <w:sz w:val="14"/>
                      </w:rPr>
                      <w:t xml:space="preserve">the </w:t>
                    </w:r>
                    <w:r>
                      <w:rPr>
                        <w:rFonts w:ascii="Arial"/>
                        <w:i/>
                        <w:color w:val="030303"/>
                        <w:spacing w:val="-3"/>
                        <w:sz w:val="14"/>
                      </w:rPr>
                      <w:t>Earth</w:t>
                    </w:r>
                    <w:r>
                      <w:rPr>
                        <w:rFonts w:ascii="Arial"/>
                        <w:i/>
                        <w:color w:val="363636"/>
                        <w:spacing w:val="-3"/>
                        <w:sz w:val="14"/>
                      </w:rPr>
                      <w:t>'</w:t>
                    </w:r>
                    <w:r>
                      <w:rPr>
                        <w:rFonts w:ascii="Arial"/>
                        <w:i/>
                        <w:color w:val="131313"/>
                        <w:spacing w:val="-3"/>
                        <w:sz w:val="14"/>
                      </w:rPr>
                      <w:t xml:space="preserve">s </w:t>
                    </w:r>
                    <w:r>
                      <w:rPr>
                        <w:rFonts w:ascii="Arial"/>
                        <w:i/>
                        <w:color w:val="131313"/>
                        <w:sz w:val="14"/>
                      </w:rPr>
                      <w:t>evolutionary</w:t>
                    </w:r>
                    <w:r>
                      <w:rPr>
                        <w:rFonts w:ascii="Arial"/>
                        <w:i/>
                        <w:color w:val="131313"/>
                        <w:spacing w:val="9"/>
                        <w:sz w:val="14"/>
                      </w:rPr>
                      <w:t xml:space="preserve"> </w:t>
                    </w:r>
                    <w:r>
                      <w:rPr>
                        <w:rFonts w:ascii="Arial"/>
                        <w:i/>
                        <w:color w:val="030303"/>
                        <w:sz w:val="14"/>
                      </w:rPr>
                      <w:t>history</w:t>
                    </w:r>
                  </w:p>
                </w:txbxContent>
              </v:textbox>
            </v:shape>
            <w10:anchorlock/>
          </v:group>
        </w:pict>
      </w:r>
    </w:p>
    <w:p w:rsidR="00D1511D" w:rsidRDefault="00D1511D">
      <w:pPr>
        <w:rPr>
          <w:rFonts w:ascii="Myriad Pro"/>
        </w:rPr>
        <w:sectPr w:rsidR="00D1511D">
          <w:headerReference w:type="default" r:id="rId150"/>
          <w:pgSz w:w="11910" w:h="16840"/>
          <w:pgMar w:top="1580" w:right="1300" w:bottom="0" w:left="1300" w:header="0" w:footer="0" w:gutter="0"/>
          <w:cols w:space="720"/>
        </w:sectPr>
      </w:pPr>
    </w:p>
    <w:p w:rsidR="00D1511D" w:rsidRDefault="00D1511D">
      <w:pPr>
        <w:pStyle w:val="BodyText"/>
        <w:rPr>
          <w:rFonts w:ascii="Myriad Pro"/>
          <w:sz w:val="16"/>
        </w:rPr>
      </w:pPr>
    </w:p>
    <w:p w:rsidR="00D1511D" w:rsidRDefault="00D1511D">
      <w:pPr>
        <w:pStyle w:val="BodyText"/>
        <w:spacing w:before="4"/>
        <w:rPr>
          <w:rFonts w:ascii="Myriad Pro"/>
          <w:sz w:val="19"/>
        </w:rPr>
      </w:pPr>
    </w:p>
    <w:p w:rsidR="00D1511D" w:rsidRDefault="003F0CB3">
      <w:pPr>
        <w:spacing w:before="1"/>
        <w:ind w:left="473"/>
        <w:rPr>
          <w:rFonts w:ascii="Arial"/>
          <w:sz w:val="14"/>
        </w:rPr>
      </w:pPr>
      <w:r>
        <w:rPr>
          <w:rFonts w:ascii="Arial"/>
          <w:color w:val="131313"/>
          <w:spacing w:val="-4"/>
          <w:w w:val="105"/>
          <w:sz w:val="14"/>
        </w:rPr>
        <w:t>3.4</w:t>
      </w:r>
      <w:r>
        <w:rPr>
          <w:rFonts w:ascii="Arial"/>
          <w:color w:val="363636"/>
          <w:spacing w:val="-4"/>
          <w:w w:val="105"/>
          <w:sz w:val="14"/>
        </w:rPr>
        <w:t>.</w:t>
      </w:r>
      <w:r>
        <w:rPr>
          <w:rFonts w:ascii="Arial"/>
          <w:color w:val="131313"/>
          <w:spacing w:val="-4"/>
          <w:w w:val="105"/>
          <w:sz w:val="14"/>
        </w:rPr>
        <w:t>8</w:t>
      </w:r>
    </w:p>
    <w:p w:rsidR="00D1511D" w:rsidRDefault="003F0CB3">
      <w:pPr>
        <w:spacing w:before="7"/>
        <w:ind w:left="477"/>
        <w:rPr>
          <w:rFonts w:ascii="Arial"/>
          <w:sz w:val="14"/>
        </w:rPr>
      </w:pPr>
      <w:r>
        <w:rPr>
          <w:rFonts w:ascii="Arial"/>
          <w:color w:val="030303"/>
          <w:sz w:val="14"/>
        </w:rPr>
        <w:t>4.2.3</w:t>
      </w:r>
    </w:p>
    <w:p w:rsidR="00D1511D" w:rsidRDefault="00D1511D">
      <w:pPr>
        <w:pStyle w:val="BodyText"/>
        <w:rPr>
          <w:rFonts w:ascii="Arial"/>
          <w:sz w:val="16"/>
        </w:rPr>
      </w:pPr>
    </w:p>
    <w:p w:rsidR="00D1511D" w:rsidRDefault="00D1511D">
      <w:pPr>
        <w:pStyle w:val="BodyText"/>
        <w:rPr>
          <w:rFonts w:ascii="Arial"/>
          <w:sz w:val="16"/>
        </w:rPr>
      </w:pPr>
    </w:p>
    <w:p w:rsidR="00D1511D" w:rsidRDefault="00D1511D">
      <w:pPr>
        <w:pStyle w:val="BodyText"/>
        <w:rPr>
          <w:rFonts w:ascii="Arial"/>
          <w:sz w:val="16"/>
        </w:rPr>
      </w:pPr>
    </w:p>
    <w:p w:rsidR="00D1511D" w:rsidRDefault="003F0CB3">
      <w:pPr>
        <w:spacing w:before="118"/>
        <w:ind w:left="473"/>
        <w:rPr>
          <w:rFonts w:ascii="Arial"/>
          <w:sz w:val="14"/>
        </w:rPr>
      </w:pPr>
      <w:r>
        <w:rPr>
          <w:rFonts w:ascii="Arial"/>
          <w:color w:val="131313"/>
          <w:spacing w:val="-4"/>
          <w:w w:val="105"/>
          <w:sz w:val="14"/>
        </w:rPr>
        <w:t>3.2</w:t>
      </w:r>
      <w:r>
        <w:rPr>
          <w:rFonts w:ascii="Arial"/>
          <w:color w:val="363636"/>
          <w:spacing w:val="-4"/>
          <w:w w:val="105"/>
          <w:sz w:val="14"/>
        </w:rPr>
        <w:t>.</w:t>
      </w:r>
      <w:r>
        <w:rPr>
          <w:rFonts w:ascii="Arial"/>
          <w:color w:val="030303"/>
          <w:spacing w:val="-4"/>
          <w:w w:val="105"/>
          <w:sz w:val="14"/>
        </w:rPr>
        <w:t>1</w:t>
      </w:r>
    </w:p>
    <w:p w:rsidR="00D1511D" w:rsidRDefault="003F0CB3">
      <w:pPr>
        <w:spacing w:before="7"/>
        <w:ind w:left="473"/>
        <w:rPr>
          <w:rFonts w:ascii="Arial"/>
          <w:sz w:val="14"/>
        </w:rPr>
      </w:pPr>
      <w:r>
        <w:rPr>
          <w:rFonts w:ascii="Arial"/>
          <w:color w:val="131313"/>
          <w:sz w:val="14"/>
        </w:rPr>
        <w:t>3.2.2</w:t>
      </w:r>
    </w:p>
    <w:p w:rsidR="00D1511D" w:rsidRDefault="003F0CB3">
      <w:pPr>
        <w:spacing w:before="12"/>
        <w:ind w:left="473"/>
        <w:rPr>
          <w:rFonts w:ascii="Arial"/>
          <w:sz w:val="14"/>
        </w:rPr>
      </w:pPr>
      <w:r>
        <w:rPr>
          <w:rFonts w:ascii="Arial"/>
          <w:color w:val="131313"/>
          <w:spacing w:val="-4"/>
          <w:w w:val="105"/>
          <w:sz w:val="14"/>
        </w:rPr>
        <w:t>3.2</w:t>
      </w:r>
      <w:r>
        <w:rPr>
          <w:rFonts w:ascii="Arial"/>
          <w:color w:val="363636"/>
          <w:spacing w:val="-4"/>
          <w:w w:val="105"/>
          <w:sz w:val="14"/>
        </w:rPr>
        <w:t>.</w:t>
      </w:r>
      <w:r>
        <w:rPr>
          <w:rFonts w:ascii="Arial"/>
          <w:color w:val="131313"/>
          <w:spacing w:val="-4"/>
          <w:w w:val="105"/>
          <w:sz w:val="14"/>
        </w:rPr>
        <w:t>3</w:t>
      </w:r>
    </w:p>
    <w:p w:rsidR="00D1511D" w:rsidRDefault="003F0CB3">
      <w:pPr>
        <w:spacing w:before="8"/>
        <w:ind w:left="473"/>
        <w:rPr>
          <w:rFonts w:ascii="Arial"/>
          <w:sz w:val="14"/>
        </w:rPr>
      </w:pPr>
      <w:r>
        <w:rPr>
          <w:rFonts w:ascii="Arial"/>
          <w:color w:val="131313"/>
          <w:sz w:val="14"/>
        </w:rPr>
        <w:t>3.2.4</w:t>
      </w:r>
    </w:p>
    <w:p w:rsidR="00D1511D" w:rsidRDefault="003F0CB3">
      <w:pPr>
        <w:spacing w:before="12"/>
        <w:ind w:left="473"/>
        <w:rPr>
          <w:rFonts w:ascii="Arial"/>
          <w:sz w:val="14"/>
        </w:rPr>
      </w:pPr>
      <w:r>
        <w:rPr>
          <w:rFonts w:ascii="Arial"/>
          <w:color w:val="131313"/>
          <w:spacing w:val="-4"/>
          <w:w w:val="105"/>
          <w:sz w:val="14"/>
        </w:rPr>
        <w:t>3.2</w:t>
      </w:r>
      <w:r>
        <w:rPr>
          <w:rFonts w:ascii="Arial"/>
          <w:color w:val="363636"/>
          <w:spacing w:val="-4"/>
          <w:w w:val="105"/>
          <w:sz w:val="14"/>
        </w:rPr>
        <w:t>.</w:t>
      </w:r>
      <w:r>
        <w:rPr>
          <w:rFonts w:ascii="Arial"/>
          <w:color w:val="030303"/>
          <w:spacing w:val="-4"/>
          <w:w w:val="105"/>
          <w:sz w:val="14"/>
        </w:rPr>
        <w:t>5</w:t>
      </w:r>
    </w:p>
    <w:p w:rsidR="00D1511D" w:rsidRDefault="003F0CB3">
      <w:pPr>
        <w:spacing w:before="7"/>
        <w:ind w:left="473"/>
        <w:rPr>
          <w:rFonts w:ascii="Arial"/>
          <w:sz w:val="14"/>
        </w:rPr>
      </w:pPr>
      <w:r>
        <w:rPr>
          <w:rFonts w:ascii="Arial"/>
          <w:color w:val="131313"/>
          <w:spacing w:val="-4"/>
          <w:w w:val="105"/>
          <w:sz w:val="14"/>
        </w:rPr>
        <w:t>3.2</w:t>
      </w:r>
      <w:r>
        <w:rPr>
          <w:rFonts w:ascii="Arial"/>
          <w:color w:val="363636"/>
          <w:spacing w:val="-4"/>
          <w:w w:val="105"/>
          <w:sz w:val="14"/>
        </w:rPr>
        <w:t>.</w:t>
      </w:r>
      <w:r>
        <w:rPr>
          <w:rFonts w:ascii="Arial"/>
          <w:color w:val="131313"/>
          <w:spacing w:val="-4"/>
          <w:w w:val="105"/>
          <w:sz w:val="14"/>
        </w:rPr>
        <w:t>6</w:t>
      </w:r>
    </w:p>
    <w:p w:rsidR="00D1511D" w:rsidRDefault="003F0CB3">
      <w:pPr>
        <w:spacing w:before="12"/>
        <w:ind w:left="473"/>
        <w:rPr>
          <w:rFonts w:ascii="Arial"/>
          <w:sz w:val="14"/>
        </w:rPr>
      </w:pPr>
      <w:r>
        <w:rPr>
          <w:rFonts w:ascii="Arial"/>
          <w:color w:val="131313"/>
          <w:spacing w:val="-3"/>
          <w:w w:val="105"/>
          <w:sz w:val="14"/>
        </w:rPr>
        <w:t>3</w:t>
      </w:r>
      <w:r>
        <w:rPr>
          <w:rFonts w:ascii="Arial"/>
          <w:color w:val="363636"/>
          <w:spacing w:val="-3"/>
          <w:w w:val="105"/>
          <w:sz w:val="14"/>
        </w:rPr>
        <w:t>.</w:t>
      </w:r>
      <w:r>
        <w:rPr>
          <w:rFonts w:ascii="Arial"/>
          <w:color w:val="131313"/>
          <w:spacing w:val="-3"/>
          <w:w w:val="105"/>
          <w:sz w:val="14"/>
        </w:rPr>
        <w:t>2.7</w:t>
      </w:r>
    </w:p>
    <w:p w:rsidR="00D1511D" w:rsidRDefault="003F0CB3">
      <w:pPr>
        <w:spacing w:before="7"/>
        <w:ind w:left="473"/>
        <w:rPr>
          <w:rFonts w:ascii="Arial"/>
          <w:sz w:val="14"/>
        </w:rPr>
      </w:pPr>
      <w:r>
        <w:rPr>
          <w:rFonts w:ascii="Arial"/>
          <w:color w:val="131313"/>
          <w:sz w:val="14"/>
        </w:rPr>
        <w:t>3.3.2</w:t>
      </w:r>
    </w:p>
    <w:p w:rsidR="00D1511D" w:rsidRDefault="003F0CB3">
      <w:pPr>
        <w:spacing w:before="7"/>
        <w:ind w:left="473"/>
        <w:rPr>
          <w:rFonts w:ascii="Arial"/>
          <w:sz w:val="14"/>
        </w:rPr>
      </w:pPr>
      <w:r>
        <w:rPr>
          <w:rFonts w:ascii="Arial"/>
          <w:color w:val="131313"/>
          <w:sz w:val="14"/>
        </w:rPr>
        <w:t>3.3.3</w:t>
      </w:r>
    </w:p>
    <w:p w:rsidR="00D1511D" w:rsidRDefault="003F0CB3">
      <w:pPr>
        <w:spacing w:before="12"/>
        <w:ind w:left="473"/>
        <w:rPr>
          <w:rFonts w:ascii="Arial"/>
          <w:sz w:val="14"/>
        </w:rPr>
      </w:pPr>
      <w:r>
        <w:rPr>
          <w:rFonts w:ascii="Arial"/>
          <w:color w:val="131313"/>
          <w:sz w:val="14"/>
        </w:rPr>
        <w:t>3.4.8</w:t>
      </w:r>
    </w:p>
    <w:p w:rsidR="00D1511D" w:rsidRDefault="003F0CB3">
      <w:pPr>
        <w:pStyle w:val="BodyText"/>
        <w:rPr>
          <w:rFonts w:ascii="Arial"/>
          <w:sz w:val="16"/>
        </w:rPr>
      </w:pPr>
      <w:r>
        <w:br w:type="column"/>
      </w:r>
    </w:p>
    <w:p w:rsidR="00D1511D" w:rsidRDefault="00D1511D">
      <w:pPr>
        <w:pStyle w:val="BodyText"/>
        <w:spacing w:before="10"/>
        <w:rPr>
          <w:rFonts w:ascii="Arial"/>
        </w:rPr>
      </w:pPr>
    </w:p>
    <w:p w:rsidR="00D1511D" w:rsidRDefault="003F0CB3">
      <w:pPr>
        <w:spacing w:before="1"/>
        <w:ind w:left="135"/>
        <w:rPr>
          <w:rFonts w:ascii="Arial"/>
          <w:sz w:val="14"/>
        </w:rPr>
      </w:pPr>
      <w:r>
        <w:rPr>
          <w:rFonts w:ascii="Arial"/>
          <w:color w:val="030303"/>
          <w:sz w:val="14"/>
        </w:rPr>
        <w:t xml:space="preserve">Reef </w:t>
      </w:r>
      <w:r>
        <w:rPr>
          <w:rFonts w:ascii="Arial"/>
          <w:color w:val="131313"/>
          <w:sz w:val="14"/>
        </w:rPr>
        <w:t>building</w:t>
      </w:r>
    </w:p>
    <w:p w:rsidR="00D1511D" w:rsidRDefault="003F0CB3">
      <w:pPr>
        <w:spacing w:before="2" w:line="256" w:lineRule="auto"/>
        <w:ind w:left="132" w:firstLine="4"/>
        <w:rPr>
          <w:rFonts w:ascii="Arial"/>
          <w:sz w:val="14"/>
        </w:rPr>
      </w:pPr>
      <w:r>
        <w:rPr>
          <w:rFonts w:ascii="Arial"/>
          <w:color w:val="030303"/>
          <w:sz w:val="14"/>
        </w:rPr>
        <w:t xml:space="preserve">Major </w:t>
      </w:r>
      <w:r>
        <w:rPr>
          <w:rFonts w:ascii="Arial"/>
          <w:color w:val="131313"/>
          <w:sz w:val="14"/>
        </w:rPr>
        <w:t xml:space="preserve">stages of </w:t>
      </w:r>
      <w:r>
        <w:rPr>
          <w:rFonts w:ascii="Arial"/>
          <w:color w:val="030303"/>
          <w:sz w:val="14"/>
        </w:rPr>
        <w:t>the Earth's evolutionary history</w:t>
      </w:r>
    </w:p>
    <w:p w:rsidR="00D1511D" w:rsidRDefault="00D1511D">
      <w:pPr>
        <w:pStyle w:val="BodyText"/>
        <w:rPr>
          <w:rFonts w:ascii="Arial"/>
          <w:sz w:val="16"/>
        </w:rPr>
      </w:pPr>
    </w:p>
    <w:p w:rsidR="00D1511D" w:rsidRDefault="00D1511D">
      <w:pPr>
        <w:pStyle w:val="BodyText"/>
        <w:rPr>
          <w:rFonts w:ascii="Arial"/>
          <w:sz w:val="16"/>
        </w:rPr>
      </w:pPr>
    </w:p>
    <w:p w:rsidR="00D1511D" w:rsidRDefault="003F0CB3">
      <w:pPr>
        <w:spacing w:before="124"/>
        <w:ind w:left="135"/>
        <w:rPr>
          <w:rFonts w:ascii="Arial"/>
          <w:sz w:val="14"/>
        </w:rPr>
      </w:pPr>
      <w:r>
        <w:rPr>
          <w:rFonts w:ascii="Arial"/>
          <w:color w:val="131313"/>
          <w:sz w:val="14"/>
        </w:rPr>
        <w:t>Currents</w:t>
      </w:r>
    </w:p>
    <w:p w:rsidR="00D1511D" w:rsidRDefault="003F0CB3">
      <w:pPr>
        <w:spacing w:before="7" w:line="254" w:lineRule="auto"/>
        <w:ind w:left="130" w:right="261" w:firstLine="4"/>
        <w:rPr>
          <w:rFonts w:ascii="Arial"/>
          <w:sz w:val="14"/>
        </w:rPr>
      </w:pPr>
      <w:r>
        <w:rPr>
          <w:rFonts w:ascii="Arial"/>
          <w:color w:val="131313"/>
          <w:sz w:val="14"/>
        </w:rPr>
        <w:t xml:space="preserve">Cyclones and wind </w:t>
      </w:r>
      <w:r>
        <w:rPr>
          <w:rFonts w:ascii="Arial"/>
          <w:color w:val="030303"/>
          <w:sz w:val="14"/>
        </w:rPr>
        <w:t xml:space="preserve">Freshwater </w:t>
      </w:r>
      <w:r>
        <w:rPr>
          <w:rFonts w:ascii="Arial"/>
          <w:color w:val="131313"/>
          <w:sz w:val="14"/>
        </w:rPr>
        <w:t>inflow Sediment exposure Sea</w:t>
      </w:r>
      <w:r>
        <w:rPr>
          <w:rFonts w:ascii="Arial"/>
          <w:color w:val="131313"/>
          <w:spacing w:val="-6"/>
          <w:sz w:val="14"/>
        </w:rPr>
        <w:t xml:space="preserve"> </w:t>
      </w:r>
      <w:r>
        <w:rPr>
          <w:rFonts w:ascii="Arial"/>
          <w:color w:val="030303"/>
          <w:sz w:val="14"/>
        </w:rPr>
        <w:t>level</w:t>
      </w:r>
    </w:p>
    <w:p w:rsidR="00D1511D" w:rsidRDefault="003F0CB3">
      <w:pPr>
        <w:spacing w:line="256" w:lineRule="auto"/>
        <w:ind w:left="136" w:right="634" w:hanging="6"/>
        <w:rPr>
          <w:rFonts w:ascii="Arial"/>
          <w:sz w:val="14"/>
        </w:rPr>
      </w:pPr>
      <w:r>
        <w:rPr>
          <w:rFonts w:ascii="Arial"/>
          <w:color w:val="131313"/>
          <w:sz w:val="14"/>
        </w:rPr>
        <w:t xml:space="preserve">Sea </w:t>
      </w:r>
      <w:r>
        <w:rPr>
          <w:rFonts w:ascii="Arial"/>
          <w:color w:val="030303"/>
          <w:sz w:val="14"/>
        </w:rPr>
        <w:t>temperature Light</w:t>
      </w:r>
    </w:p>
    <w:p w:rsidR="00D1511D" w:rsidRDefault="003F0CB3">
      <w:pPr>
        <w:spacing w:line="249" w:lineRule="auto"/>
        <w:ind w:left="130" w:right="518" w:hanging="1"/>
        <w:rPr>
          <w:rFonts w:ascii="Arial"/>
          <w:sz w:val="14"/>
        </w:rPr>
      </w:pPr>
      <w:r>
        <w:rPr>
          <w:rFonts w:ascii="Arial"/>
          <w:color w:val="131313"/>
          <w:sz w:val="14"/>
        </w:rPr>
        <w:t xml:space="preserve">Ocean </w:t>
      </w:r>
      <w:r>
        <w:rPr>
          <w:rFonts w:ascii="Arial"/>
          <w:color w:val="030303"/>
          <w:sz w:val="14"/>
        </w:rPr>
        <w:t xml:space="preserve">pH </w:t>
      </w:r>
      <w:r>
        <w:rPr>
          <w:rFonts w:ascii="Arial"/>
          <w:color w:val="131313"/>
          <w:sz w:val="14"/>
        </w:rPr>
        <w:t>(acidity) Salinity</w:t>
      </w:r>
    </w:p>
    <w:p w:rsidR="00D1511D" w:rsidRDefault="003F0CB3">
      <w:pPr>
        <w:spacing w:before="3"/>
        <w:ind w:left="135"/>
        <w:rPr>
          <w:rFonts w:ascii="Arial"/>
          <w:sz w:val="14"/>
        </w:rPr>
      </w:pPr>
      <w:r>
        <w:rPr>
          <w:rFonts w:ascii="Arial"/>
          <w:color w:val="030303"/>
          <w:sz w:val="14"/>
        </w:rPr>
        <w:t>Reef building</w:t>
      </w:r>
    </w:p>
    <w:p w:rsidR="00D1511D" w:rsidRDefault="003F0CB3">
      <w:pPr>
        <w:pStyle w:val="ListParagraph"/>
        <w:numPr>
          <w:ilvl w:val="0"/>
          <w:numId w:val="2"/>
        </w:numPr>
        <w:tabs>
          <w:tab w:val="left" w:pos="807"/>
        </w:tabs>
        <w:spacing w:before="7"/>
        <w:rPr>
          <w:rFonts w:ascii="Arial"/>
          <w:sz w:val="14"/>
        </w:rPr>
      </w:pPr>
      <w:r>
        <w:rPr>
          <w:rFonts w:ascii="Arial"/>
          <w:color w:val="131313"/>
          <w:spacing w:val="-1"/>
          <w:w w:val="101"/>
          <w:sz w:val="14"/>
        </w:rPr>
        <w:br w:type="column"/>
      </w:r>
      <w:r>
        <w:rPr>
          <w:rFonts w:ascii="Arial"/>
          <w:color w:val="131313"/>
          <w:sz w:val="14"/>
        </w:rPr>
        <w:t xml:space="preserve">Globally outstanding example of an ecosystem </w:t>
      </w:r>
      <w:r>
        <w:rPr>
          <w:rFonts w:ascii="Arial"/>
          <w:color w:val="030303"/>
          <w:sz w:val="14"/>
        </w:rPr>
        <w:t xml:space="preserve">that has </w:t>
      </w:r>
      <w:r>
        <w:rPr>
          <w:rFonts w:ascii="Arial"/>
          <w:color w:val="131313"/>
          <w:sz w:val="14"/>
        </w:rPr>
        <w:t>evolved over</w:t>
      </w:r>
      <w:r>
        <w:rPr>
          <w:rFonts w:ascii="Arial"/>
          <w:color w:val="131313"/>
          <w:spacing w:val="1"/>
          <w:sz w:val="14"/>
        </w:rPr>
        <w:t xml:space="preserve"> </w:t>
      </w:r>
      <w:r>
        <w:rPr>
          <w:rFonts w:ascii="Arial"/>
          <w:color w:val="030303"/>
          <w:sz w:val="14"/>
        </w:rPr>
        <w:t>millennia</w:t>
      </w:r>
    </w:p>
    <w:p w:rsidR="00D1511D" w:rsidRDefault="003F0CB3">
      <w:pPr>
        <w:pStyle w:val="ListParagraph"/>
        <w:numPr>
          <w:ilvl w:val="0"/>
          <w:numId w:val="2"/>
        </w:numPr>
        <w:tabs>
          <w:tab w:val="left" w:pos="810"/>
        </w:tabs>
        <w:spacing w:before="60" w:line="249" w:lineRule="auto"/>
        <w:ind w:left="809" w:right="301" w:hanging="355"/>
        <w:rPr>
          <w:rFonts w:ascii="Arial"/>
          <w:sz w:val="14"/>
        </w:rPr>
      </w:pPr>
      <w:r>
        <w:pict>
          <v:shape id="_x0000_s1152" alt="" style="position:absolute;left:0;text-align:left;margin-left:0;margin-top:711.65pt;width:439.5pt;height:.1pt;z-index:251725824;mso-wrap-edited:f;mso-width-percent:0;mso-height-percent:0;mso-position-horizontal-relative:page;mso-width-percent:0;mso-height-percent:0" coordsize="8790,1270" o:spt="100" adj="0,,0" path="m1700,-14440r2681,m4381,-14440r6108,e" filled="f" strokeweight=".06244mm">
            <v:stroke joinstyle="round"/>
            <v:formulas/>
            <v:path arrowok="t" o:connecttype="custom" o:connectlocs="1079500,0;2781935,0;2781935,0;6660515,0" o:connectangles="0,0,0,0"/>
            <w10:wrap anchorx="page"/>
          </v:shape>
        </w:pict>
      </w:r>
      <w:r>
        <w:rPr>
          <w:rFonts w:ascii="Arial"/>
          <w:color w:val="131313"/>
          <w:sz w:val="14"/>
        </w:rPr>
        <w:t xml:space="preserve">Area </w:t>
      </w:r>
      <w:r>
        <w:rPr>
          <w:rFonts w:ascii="Arial"/>
          <w:color w:val="030303"/>
          <w:sz w:val="14"/>
        </w:rPr>
        <w:t xml:space="preserve">has </w:t>
      </w:r>
      <w:r>
        <w:rPr>
          <w:rFonts w:ascii="Arial"/>
          <w:color w:val="131313"/>
          <w:sz w:val="14"/>
        </w:rPr>
        <w:t xml:space="preserve">been exposed </w:t>
      </w:r>
      <w:r>
        <w:rPr>
          <w:rFonts w:ascii="Arial"/>
          <w:color w:val="030303"/>
          <w:sz w:val="14"/>
        </w:rPr>
        <w:t xml:space="preserve">and </w:t>
      </w:r>
      <w:r>
        <w:rPr>
          <w:rFonts w:ascii="Arial"/>
          <w:color w:val="131313"/>
          <w:sz w:val="14"/>
        </w:rPr>
        <w:t xml:space="preserve">flooded by at </w:t>
      </w:r>
      <w:r>
        <w:rPr>
          <w:rFonts w:ascii="Arial"/>
          <w:color w:val="030303"/>
          <w:sz w:val="14"/>
        </w:rPr>
        <w:t xml:space="preserve">least </w:t>
      </w:r>
      <w:r>
        <w:rPr>
          <w:rFonts w:ascii="Arial"/>
          <w:color w:val="131313"/>
          <w:sz w:val="14"/>
        </w:rPr>
        <w:t>four glacial and interglacial cycles</w:t>
      </w:r>
      <w:r>
        <w:rPr>
          <w:rFonts w:ascii="Arial"/>
          <w:color w:val="363636"/>
          <w:sz w:val="14"/>
        </w:rPr>
        <w:t xml:space="preserve">, </w:t>
      </w:r>
      <w:r>
        <w:rPr>
          <w:rFonts w:ascii="Arial"/>
          <w:color w:val="131313"/>
          <w:sz w:val="14"/>
        </w:rPr>
        <w:t xml:space="preserve">and over </w:t>
      </w:r>
      <w:r>
        <w:rPr>
          <w:rFonts w:ascii="Arial"/>
          <w:color w:val="030303"/>
          <w:sz w:val="14"/>
        </w:rPr>
        <w:t xml:space="preserve">the </w:t>
      </w:r>
      <w:r>
        <w:rPr>
          <w:rFonts w:ascii="Arial"/>
          <w:color w:val="131313"/>
          <w:sz w:val="14"/>
        </w:rPr>
        <w:t xml:space="preserve">past </w:t>
      </w:r>
      <w:r>
        <w:rPr>
          <w:rFonts w:ascii="Arial"/>
          <w:color w:val="030303"/>
          <w:sz w:val="14"/>
        </w:rPr>
        <w:t>18</w:t>
      </w:r>
      <w:r>
        <w:rPr>
          <w:rFonts w:ascii="Arial"/>
          <w:color w:val="363636"/>
          <w:sz w:val="14"/>
        </w:rPr>
        <w:t>,</w:t>
      </w:r>
      <w:r>
        <w:rPr>
          <w:rFonts w:ascii="Arial"/>
          <w:color w:val="030303"/>
          <w:sz w:val="14"/>
        </w:rPr>
        <w:t xml:space="preserve">000 </w:t>
      </w:r>
      <w:r>
        <w:rPr>
          <w:rFonts w:ascii="Arial"/>
          <w:color w:val="131313"/>
          <w:sz w:val="14"/>
        </w:rPr>
        <w:t xml:space="preserve">years </w:t>
      </w:r>
      <w:r>
        <w:rPr>
          <w:rFonts w:ascii="Arial"/>
          <w:color w:val="030303"/>
          <w:sz w:val="14"/>
        </w:rPr>
        <w:t xml:space="preserve">reefs have </w:t>
      </w:r>
      <w:r>
        <w:rPr>
          <w:rFonts w:ascii="Arial"/>
          <w:color w:val="131313"/>
          <w:sz w:val="14"/>
        </w:rPr>
        <w:t>grown on the continental</w:t>
      </w:r>
      <w:r>
        <w:rPr>
          <w:rFonts w:ascii="Arial"/>
          <w:color w:val="131313"/>
          <w:spacing w:val="1"/>
          <w:sz w:val="14"/>
        </w:rPr>
        <w:t xml:space="preserve"> </w:t>
      </w:r>
      <w:r>
        <w:rPr>
          <w:rFonts w:ascii="Arial"/>
          <w:color w:val="131313"/>
          <w:sz w:val="14"/>
        </w:rPr>
        <w:t>shelf</w:t>
      </w:r>
    </w:p>
    <w:p w:rsidR="00D1511D" w:rsidRDefault="003F0CB3">
      <w:pPr>
        <w:pStyle w:val="ListParagraph"/>
        <w:numPr>
          <w:ilvl w:val="0"/>
          <w:numId w:val="2"/>
        </w:numPr>
        <w:tabs>
          <w:tab w:val="left" w:pos="807"/>
        </w:tabs>
        <w:spacing w:before="54" w:line="256" w:lineRule="auto"/>
        <w:ind w:left="808" w:right="231" w:hanging="355"/>
        <w:rPr>
          <w:rFonts w:ascii="Arial"/>
          <w:sz w:val="14"/>
        </w:rPr>
      </w:pPr>
      <w:r>
        <w:rPr>
          <w:rFonts w:ascii="Arial"/>
          <w:color w:val="030303"/>
          <w:sz w:val="14"/>
        </w:rPr>
        <w:t xml:space="preserve">Today, the </w:t>
      </w:r>
      <w:r>
        <w:rPr>
          <w:rFonts w:ascii="Arial"/>
          <w:color w:val="131313"/>
          <w:sz w:val="14"/>
        </w:rPr>
        <w:t xml:space="preserve">Great </w:t>
      </w:r>
      <w:r>
        <w:rPr>
          <w:rFonts w:ascii="Arial"/>
          <w:color w:val="030303"/>
          <w:sz w:val="14"/>
        </w:rPr>
        <w:t xml:space="preserve">Barrier Reef forms the </w:t>
      </w:r>
      <w:r>
        <w:rPr>
          <w:rFonts w:ascii="Arial"/>
          <w:color w:val="131313"/>
          <w:sz w:val="14"/>
        </w:rPr>
        <w:t xml:space="preserve">world's </w:t>
      </w:r>
      <w:r>
        <w:rPr>
          <w:rFonts w:ascii="Arial"/>
          <w:color w:val="030303"/>
          <w:sz w:val="14"/>
        </w:rPr>
        <w:t xml:space="preserve">largest </w:t>
      </w:r>
      <w:r>
        <w:rPr>
          <w:rFonts w:ascii="Arial"/>
          <w:color w:val="131313"/>
          <w:sz w:val="14"/>
        </w:rPr>
        <w:t xml:space="preserve">coral </w:t>
      </w:r>
      <w:r>
        <w:rPr>
          <w:rFonts w:ascii="Arial"/>
          <w:color w:val="030303"/>
          <w:sz w:val="14"/>
        </w:rPr>
        <w:t xml:space="preserve">reef </w:t>
      </w:r>
      <w:r>
        <w:rPr>
          <w:rFonts w:ascii="Arial"/>
          <w:color w:val="131313"/>
          <w:sz w:val="14"/>
        </w:rPr>
        <w:t xml:space="preserve">ecosystem </w:t>
      </w:r>
      <w:r>
        <w:rPr>
          <w:rFonts w:ascii="Arial"/>
          <w:color w:val="363636"/>
          <w:sz w:val="14"/>
        </w:rPr>
        <w:t>..</w:t>
      </w:r>
      <w:r>
        <w:rPr>
          <w:rFonts w:ascii="Arial"/>
          <w:color w:val="030303"/>
          <w:sz w:val="14"/>
        </w:rPr>
        <w:t>. Including</w:t>
      </w:r>
      <w:r>
        <w:rPr>
          <w:rFonts w:ascii="Arial"/>
          <w:color w:val="131313"/>
          <w:sz w:val="14"/>
        </w:rPr>
        <w:t xml:space="preserve"> examples of all stages of reef</w:t>
      </w:r>
      <w:r>
        <w:rPr>
          <w:rFonts w:ascii="Arial"/>
          <w:color w:val="131313"/>
          <w:spacing w:val="13"/>
          <w:sz w:val="14"/>
        </w:rPr>
        <w:t xml:space="preserve"> </w:t>
      </w:r>
      <w:r>
        <w:rPr>
          <w:rFonts w:ascii="Arial"/>
          <w:color w:val="131313"/>
          <w:sz w:val="14"/>
        </w:rPr>
        <w:t>development</w:t>
      </w:r>
    </w:p>
    <w:p w:rsidR="00D1511D" w:rsidRDefault="003F0CB3">
      <w:pPr>
        <w:pStyle w:val="ListParagraph"/>
        <w:numPr>
          <w:ilvl w:val="0"/>
          <w:numId w:val="2"/>
        </w:numPr>
        <w:tabs>
          <w:tab w:val="left" w:pos="809"/>
        </w:tabs>
        <w:spacing w:before="45" w:line="256" w:lineRule="auto"/>
        <w:ind w:left="808" w:right="210" w:hanging="354"/>
        <w:rPr>
          <w:rFonts w:ascii="Arial"/>
          <w:sz w:val="14"/>
        </w:rPr>
      </w:pPr>
      <w:r>
        <w:pict>
          <v:shape id="_x0000_s1151" alt="" style="position:absolute;left:0;text-align:left;margin-left:0;margin-top:742.75pt;width:439.5pt;height:.1pt;z-index:251726848;mso-wrap-edited:f;mso-width-percent:0;mso-height-percent:0;mso-position-horizontal-relative:page;mso-width-percent:0;mso-height-percent:0" coordsize="8790,1270" o:spt="100" adj="0,,0" path="m1700,-14440r2681,m4381,-14440r6108,e" filled="f" strokeweight=".06244mm">
            <v:stroke joinstyle="round"/>
            <v:formulas/>
            <v:path arrowok="t" o:connecttype="custom" o:connectlocs="1079500,0;2781935,0;2781935,0;6660515,0" o:connectangles="0,0,0,0"/>
            <w10:wrap anchorx="page"/>
          </v:shape>
        </w:pict>
      </w:r>
      <w:r>
        <w:rPr>
          <w:rFonts w:ascii="Arial"/>
          <w:color w:val="030303"/>
          <w:sz w:val="14"/>
        </w:rPr>
        <w:t xml:space="preserve">Processes </w:t>
      </w:r>
      <w:r>
        <w:rPr>
          <w:rFonts w:ascii="Arial"/>
          <w:color w:val="131313"/>
          <w:sz w:val="14"/>
        </w:rPr>
        <w:t xml:space="preserve">of </w:t>
      </w:r>
      <w:r>
        <w:rPr>
          <w:rFonts w:ascii="Arial"/>
          <w:b/>
          <w:color w:val="030303"/>
          <w:sz w:val="14"/>
        </w:rPr>
        <w:t xml:space="preserve">geological </w:t>
      </w:r>
      <w:r>
        <w:rPr>
          <w:rFonts w:ascii="Arial"/>
          <w:color w:val="131313"/>
          <w:sz w:val="14"/>
        </w:rPr>
        <w:t xml:space="preserve">and </w:t>
      </w:r>
      <w:r>
        <w:rPr>
          <w:rFonts w:ascii="Arial"/>
          <w:b/>
          <w:color w:val="030303"/>
          <w:sz w:val="14"/>
        </w:rPr>
        <w:t xml:space="preserve">geomorphological evolution </w:t>
      </w:r>
      <w:r>
        <w:rPr>
          <w:rFonts w:ascii="Arial"/>
          <w:color w:val="131313"/>
          <w:sz w:val="14"/>
        </w:rPr>
        <w:t xml:space="preserve">are well </w:t>
      </w:r>
      <w:r>
        <w:rPr>
          <w:rFonts w:ascii="Arial"/>
          <w:color w:val="131313"/>
          <w:spacing w:val="-4"/>
          <w:sz w:val="14"/>
        </w:rPr>
        <w:t>represented</w:t>
      </w:r>
      <w:r>
        <w:rPr>
          <w:rFonts w:ascii="Arial"/>
          <w:color w:val="363636"/>
          <w:spacing w:val="-4"/>
          <w:sz w:val="14"/>
        </w:rPr>
        <w:t xml:space="preserve">, </w:t>
      </w:r>
      <w:r>
        <w:rPr>
          <w:rFonts w:ascii="Arial"/>
          <w:color w:val="030303"/>
          <w:sz w:val="14"/>
        </w:rPr>
        <w:t>linking</w:t>
      </w:r>
      <w:r>
        <w:rPr>
          <w:rFonts w:ascii="Arial"/>
          <w:color w:val="131313"/>
          <w:sz w:val="14"/>
        </w:rPr>
        <w:t xml:space="preserve"> continental </w:t>
      </w:r>
      <w:r>
        <w:rPr>
          <w:rFonts w:ascii="Arial"/>
          <w:color w:val="030303"/>
          <w:sz w:val="14"/>
        </w:rPr>
        <w:t xml:space="preserve">islands, </w:t>
      </w:r>
      <w:r>
        <w:rPr>
          <w:rFonts w:ascii="Arial"/>
          <w:color w:val="131313"/>
          <w:sz w:val="14"/>
        </w:rPr>
        <w:t>coral cays and</w:t>
      </w:r>
      <w:r>
        <w:rPr>
          <w:rFonts w:ascii="Arial"/>
          <w:color w:val="131313"/>
          <w:spacing w:val="3"/>
          <w:sz w:val="14"/>
        </w:rPr>
        <w:t xml:space="preserve"> </w:t>
      </w:r>
      <w:r>
        <w:rPr>
          <w:rFonts w:ascii="Arial"/>
          <w:color w:val="030303"/>
          <w:sz w:val="14"/>
        </w:rPr>
        <w:t>reefs</w:t>
      </w:r>
    </w:p>
    <w:p w:rsidR="00D1511D" w:rsidRDefault="00D1511D">
      <w:pPr>
        <w:pStyle w:val="BodyText"/>
        <w:rPr>
          <w:rFonts w:ascii="Arial"/>
          <w:sz w:val="16"/>
        </w:rPr>
      </w:pPr>
    </w:p>
    <w:p w:rsidR="00D1511D" w:rsidRDefault="00D1511D">
      <w:pPr>
        <w:pStyle w:val="BodyText"/>
        <w:rPr>
          <w:rFonts w:ascii="Arial"/>
          <w:sz w:val="16"/>
        </w:rPr>
      </w:pPr>
    </w:p>
    <w:p w:rsidR="00D1511D" w:rsidRDefault="00D1511D">
      <w:pPr>
        <w:pStyle w:val="BodyText"/>
        <w:rPr>
          <w:rFonts w:ascii="Arial"/>
          <w:sz w:val="16"/>
        </w:rPr>
      </w:pPr>
    </w:p>
    <w:p w:rsidR="00D1511D" w:rsidRDefault="003F0CB3">
      <w:pPr>
        <w:pStyle w:val="ListParagraph"/>
        <w:numPr>
          <w:ilvl w:val="0"/>
          <w:numId w:val="2"/>
        </w:numPr>
        <w:tabs>
          <w:tab w:val="left" w:pos="807"/>
        </w:tabs>
        <w:spacing w:before="117" w:line="254" w:lineRule="auto"/>
        <w:ind w:left="808" w:right="500" w:hanging="354"/>
        <w:rPr>
          <w:rFonts w:ascii="Arial"/>
          <w:sz w:val="14"/>
        </w:rPr>
      </w:pPr>
      <w:r>
        <w:rPr>
          <w:rFonts w:ascii="Arial"/>
          <w:color w:val="030303"/>
          <w:sz w:val="14"/>
        </w:rPr>
        <w:t xml:space="preserve">The </w:t>
      </w:r>
      <w:r>
        <w:rPr>
          <w:rFonts w:ascii="Arial"/>
          <w:color w:val="131313"/>
          <w:sz w:val="14"/>
        </w:rPr>
        <w:t xml:space="preserve">varied seascapes and </w:t>
      </w:r>
      <w:r>
        <w:rPr>
          <w:rFonts w:ascii="Arial"/>
          <w:color w:val="030303"/>
          <w:sz w:val="14"/>
        </w:rPr>
        <w:t xml:space="preserve">landscapes that </w:t>
      </w:r>
      <w:r>
        <w:rPr>
          <w:rFonts w:ascii="Arial"/>
          <w:color w:val="131313"/>
          <w:sz w:val="14"/>
        </w:rPr>
        <w:t xml:space="preserve">occur </w:t>
      </w:r>
      <w:r>
        <w:rPr>
          <w:rFonts w:ascii="Arial"/>
          <w:color w:val="030303"/>
          <w:sz w:val="14"/>
        </w:rPr>
        <w:t xml:space="preserve">today have been </w:t>
      </w:r>
      <w:proofErr w:type="spellStart"/>
      <w:r>
        <w:rPr>
          <w:rFonts w:ascii="Arial"/>
          <w:color w:val="030303"/>
          <w:sz w:val="14"/>
        </w:rPr>
        <w:t>moulded</w:t>
      </w:r>
      <w:proofErr w:type="spellEnd"/>
      <w:r>
        <w:rPr>
          <w:rFonts w:ascii="Arial"/>
          <w:color w:val="030303"/>
          <w:sz w:val="14"/>
        </w:rPr>
        <w:t xml:space="preserve"> by </w:t>
      </w:r>
      <w:r>
        <w:rPr>
          <w:rFonts w:ascii="Arial"/>
          <w:b/>
          <w:color w:val="030303"/>
          <w:sz w:val="14"/>
        </w:rPr>
        <w:t xml:space="preserve">changing climates </w:t>
      </w:r>
      <w:r>
        <w:rPr>
          <w:rFonts w:ascii="Arial"/>
          <w:color w:val="131313"/>
          <w:sz w:val="14"/>
        </w:rPr>
        <w:t xml:space="preserve">and </w:t>
      </w:r>
      <w:r>
        <w:rPr>
          <w:rFonts w:ascii="Arial"/>
          <w:b/>
          <w:color w:val="030303"/>
          <w:sz w:val="14"/>
        </w:rPr>
        <w:t>sea levels</w:t>
      </w:r>
      <w:r>
        <w:rPr>
          <w:rFonts w:ascii="Arial"/>
          <w:b/>
          <w:color w:val="363636"/>
          <w:sz w:val="14"/>
        </w:rPr>
        <w:t xml:space="preserve">, </w:t>
      </w:r>
      <w:r>
        <w:rPr>
          <w:rFonts w:ascii="Arial"/>
          <w:color w:val="131313"/>
          <w:sz w:val="14"/>
        </w:rPr>
        <w:t xml:space="preserve">and </w:t>
      </w:r>
      <w:r>
        <w:rPr>
          <w:rFonts w:ascii="Arial"/>
          <w:color w:val="030303"/>
          <w:sz w:val="14"/>
        </w:rPr>
        <w:t xml:space="preserve">the </w:t>
      </w:r>
      <w:r>
        <w:rPr>
          <w:rFonts w:ascii="Arial"/>
          <w:color w:val="131313"/>
          <w:sz w:val="14"/>
        </w:rPr>
        <w:t xml:space="preserve">erosive </w:t>
      </w:r>
      <w:r>
        <w:rPr>
          <w:rFonts w:ascii="Arial"/>
          <w:color w:val="030303"/>
          <w:sz w:val="14"/>
        </w:rPr>
        <w:t xml:space="preserve">power </w:t>
      </w:r>
      <w:r>
        <w:rPr>
          <w:rFonts w:ascii="Arial"/>
          <w:color w:val="131313"/>
          <w:sz w:val="14"/>
        </w:rPr>
        <w:t xml:space="preserve">of </w:t>
      </w:r>
      <w:r>
        <w:rPr>
          <w:rFonts w:ascii="Arial"/>
          <w:b/>
          <w:color w:val="030303"/>
          <w:sz w:val="14"/>
        </w:rPr>
        <w:t xml:space="preserve">wind </w:t>
      </w:r>
      <w:r>
        <w:rPr>
          <w:rFonts w:ascii="Arial"/>
          <w:color w:val="131313"/>
          <w:sz w:val="14"/>
        </w:rPr>
        <w:t xml:space="preserve">and </w:t>
      </w:r>
      <w:r>
        <w:rPr>
          <w:rFonts w:ascii="Arial"/>
          <w:b/>
          <w:color w:val="030303"/>
          <w:sz w:val="14"/>
        </w:rPr>
        <w:t>water</w:t>
      </w:r>
      <w:r>
        <w:rPr>
          <w:rFonts w:ascii="Arial"/>
          <w:b/>
          <w:color w:val="363636"/>
          <w:sz w:val="14"/>
        </w:rPr>
        <w:t xml:space="preserve">, </w:t>
      </w:r>
      <w:r>
        <w:rPr>
          <w:rFonts w:ascii="Arial"/>
          <w:color w:val="131313"/>
          <w:sz w:val="14"/>
        </w:rPr>
        <w:t>over</w:t>
      </w:r>
      <w:r>
        <w:rPr>
          <w:rFonts w:ascii="Arial"/>
          <w:color w:val="030303"/>
          <w:sz w:val="14"/>
        </w:rPr>
        <w:t xml:space="preserve"> long time</w:t>
      </w:r>
      <w:r>
        <w:rPr>
          <w:rFonts w:ascii="Arial"/>
          <w:color w:val="030303"/>
          <w:spacing w:val="-5"/>
          <w:sz w:val="14"/>
        </w:rPr>
        <w:t xml:space="preserve"> </w:t>
      </w:r>
      <w:r>
        <w:rPr>
          <w:rFonts w:ascii="Arial"/>
          <w:color w:val="131313"/>
          <w:sz w:val="14"/>
        </w:rPr>
        <w:t>periods</w:t>
      </w:r>
    </w:p>
    <w:p w:rsidR="00D1511D" w:rsidRDefault="00D1511D">
      <w:pPr>
        <w:spacing w:line="254" w:lineRule="auto"/>
        <w:rPr>
          <w:rFonts w:ascii="Arial"/>
          <w:sz w:val="14"/>
        </w:rPr>
        <w:sectPr w:rsidR="00D1511D">
          <w:type w:val="continuous"/>
          <w:pgSz w:w="11910" w:h="16840"/>
          <w:pgMar w:top="620" w:right="1300" w:bottom="280" w:left="1300" w:header="720" w:footer="720" w:gutter="0"/>
          <w:cols w:num="3" w:space="720" w:equalWidth="0">
            <w:col w:w="798" w:space="40"/>
            <w:col w:w="1827" w:space="39"/>
            <w:col w:w="6606"/>
          </w:cols>
        </w:sectPr>
      </w:pPr>
    </w:p>
    <w:p w:rsidR="00D1511D" w:rsidRDefault="00D1511D">
      <w:pPr>
        <w:pStyle w:val="BodyText"/>
        <w:spacing w:before="8"/>
        <w:rPr>
          <w:rFonts w:ascii="Arial"/>
          <w:sz w:val="2"/>
        </w:rPr>
      </w:pPr>
    </w:p>
    <w:p w:rsidR="00D1511D" w:rsidRDefault="003F0CB3">
      <w:pPr>
        <w:pStyle w:val="BodyText"/>
        <w:spacing w:line="20" w:lineRule="exact"/>
        <w:ind w:left="397"/>
        <w:rPr>
          <w:rFonts w:ascii="Arial"/>
          <w:sz w:val="2"/>
        </w:rPr>
      </w:pPr>
      <w:r>
        <w:rPr>
          <w:rFonts w:ascii="Arial"/>
          <w:sz w:val="2"/>
        </w:rPr>
      </w:r>
      <w:r>
        <w:rPr>
          <w:rFonts w:ascii="Arial"/>
          <w:sz w:val="2"/>
        </w:rPr>
        <w:pict>
          <v:group id="_x0000_s1148" alt="" style="width:439.5pt;height:.2pt;mso-position-horizontal-relative:char;mso-position-vertical-relative:line" coordsize="8790,4">
            <v:line id="_x0000_s1149" alt="" style="position:absolute" from="0,2" to="2681,2" strokeweight=".06244mm"/>
            <v:line id="_x0000_s1150" alt="" style="position:absolute" from="2681,2" to="8789,2" strokeweight=".06244mm"/>
            <w10:anchorlock/>
          </v:group>
        </w:pict>
      </w:r>
    </w:p>
    <w:p w:rsidR="00D1511D" w:rsidRDefault="00D1511D">
      <w:pPr>
        <w:pStyle w:val="BodyText"/>
        <w:spacing w:before="10"/>
        <w:rPr>
          <w:rFonts w:ascii="Arial"/>
          <w:sz w:val="7"/>
        </w:rPr>
      </w:pPr>
    </w:p>
    <w:p w:rsidR="00D1511D" w:rsidRDefault="00D1511D">
      <w:pPr>
        <w:rPr>
          <w:rFonts w:ascii="Arial"/>
          <w:sz w:val="7"/>
        </w:rPr>
        <w:sectPr w:rsidR="00D1511D">
          <w:type w:val="continuous"/>
          <w:pgSz w:w="11910" w:h="16840"/>
          <w:pgMar w:top="620" w:right="1300" w:bottom="280" w:left="1300" w:header="720" w:footer="720" w:gutter="0"/>
          <w:cols w:space="720"/>
        </w:sectPr>
      </w:pPr>
    </w:p>
    <w:p w:rsidR="00D1511D" w:rsidRDefault="003F0CB3">
      <w:pPr>
        <w:pStyle w:val="ListParagraph"/>
        <w:numPr>
          <w:ilvl w:val="2"/>
          <w:numId w:val="31"/>
        </w:numPr>
        <w:tabs>
          <w:tab w:val="left" w:pos="973"/>
        </w:tabs>
        <w:spacing w:before="96"/>
        <w:rPr>
          <w:rFonts w:ascii="Arial"/>
          <w:sz w:val="14"/>
        </w:rPr>
      </w:pPr>
      <w:r>
        <w:rPr>
          <w:rFonts w:ascii="Arial"/>
          <w:color w:val="131313"/>
          <w:sz w:val="14"/>
        </w:rPr>
        <w:t>Continental</w:t>
      </w:r>
      <w:r>
        <w:rPr>
          <w:rFonts w:ascii="Arial"/>
          <w:color w:val="131313"/>
          <w:spacing w:val="12"/>
          <w:sz w:val="14"/>
        </w:rPr>
        <w:t xml:space="preserve"> </w:t>
      </w:r>
      <w:r>
        <w:rPr>
          <w:rFonts w:ascii="Arial"/>
          <w:color w:val="131313"/>
          <w:sz w:val="14"/>
        </w:rPr>
        <w:t>slope</w:t>
      </w:r>
    </w:p>
    <w:p w:rsidR="00D1511D" w:rsidRDefault="003F0CB3">
      <w:pPr>
        <w:pStyle w:val="ListParagraph"/>
        <w:numPr>
          <w:ilvl w:val="2"/>
          <w:numId w:val="31"/>
        </w:numPr>
        <w:tabs>
          <w:tab w:val="left" w:pos="973"/>
        </w:tabs>
        <w:spacing w:before="12"/>
        <w:rPr>
          <w:rFonts w:ascii="Arial"/>
          <w:sz w:val="14"/>
        </w:rPr>
      </w:pPr>
      <w:r>
        <w:pict>
          <v:shape id="_x0000_s1147" alt="" style="position:absolute;left:0;text-align:left;margin-left:0;margin-top:740pt;width:439.5pt;height:.1pt;z-index:251727872;mso-wrap-edited:f;mso-width-percent:0;mso-height-percent:0;mso-position-horizontal-relative:page;mso-width-percent:0;mso-height-percent:0" coordsize="8790,1270" o:spt="100" adj="0,,0" path="m1700,-14440r2681,m4381,-14440r6108,e" filled="f" strokeweight=".06244mm">
            <v:stroke joinstyle="round"/>
            <v:formulas/>
            <v:path arrowok="t" o:connecttype="custom" o:connectlocs="1079500,0;2781935,0;2781935,0;6660515,0" o:connectangles="0,0,0,0"/>
            <w10:wrap anchorx="page"/>
          </v:shape>
        </w:pict>
      </w:r>
      <w:r>
        <w:pict>
          <v:shape id="_x0000_s1146" type="#_x0000_t202" alt="" style="position:absolute;left:0;text-align:left;margin-left:85pt;margin-top:18.05pt;width:439.5pt;height:59.6pt;z-index:251735040;mso-wrap-style:square;mso-wrap-edited:f;mso-width-percent:0;mso-height-percent:0;mso-position-horizontal-relative:page;mso-width-percent:0;mso-height-percent:0;v-text-anchor:top" fillcolor="#cfd4d5" stroked="f">
            <v:textbox inset="0,0,0,0">
              <w:txbxContent>
                <w:p w:rsidR="00D1511D" w:rsidRDefault="003F0CB3">
                  <w:pPr>
                    <w:spacing w:before="44"/>
                    <w:ind w:left="2756"/>
                    <w:rPr>
                      <w:rFonts w:ascii="Arial"/>
                      <w:b/>
                      <w:sz w:val="14"/>
                    </w:rPr>
                  </w:pPr>
                  <w:r>
                    <w:rPr>
                      <w:rFonts w:ascii="Arial"/>
                      <w:b/>
                      <w:color w:val="030303"/>
                      <w:sz w:val="14"/>
                    </w:rPr>
                    <w:t>Ecological and biological processes (ix)</w:t>
                  </w:r>
                </w:p>
                <w:p w:rsidR="00D1511D" w:rsidRDefault="003F0CB3">
                  <w:pPr>
                    <w:spacing w:before="60" w:line="254" w:lineRule="auto"/>
                    <w:ind w:left="3105" w:right="56" w:hanging="356"/>
                    <w:rPr>
                      <w:rFonts w:ascii="Arial"/>
                      <w:i/>
                      <w:sz w:val="14"/>
                    </w:rPr>
                  </w:pPr>
                  <w:r>
                    <w:rPr>
                      <w:rFonts w:ascii="Arial"/>
                      <w:i/>
                      <w:color w:val="131313"/>
                      <w:sz w:val="14"/>
                    </w:rPr>
                    <w:t xml:space="preserve">(ix) be outstanding examples representing significant ongoing ecological and biological processes </w:t>
                  </w:r>
                  <w:r>
                    <w:rPr>
                      <w:rFonts w:ascii="Arial"/>
                      <w:i/>
                      <w:color w:val="030303"/>
                      <w:sz w:val="14"/>
                    </w:rPr>
                    <w:t xml:space="preserve">in </w:t>
                  </w:r>
                  <w:r>
                    <w:rPr>
                      <w:rFonts w:ascii="Arial"/>
                      <w:i/>
                      <w:color w:val="131313"/>
                      <w:sz w:val="14"/>
                    </w:rPr>
                    <w:t xml:space="preserve">the evolution and development of </w:t>
                  </w:r>
                  <w:r>
                    <w:rPr>
                      <w:rFonts w:ascii="Arial"/>
                      <w:i/>
                      <w:color w:val="030303"/>
                      <w:sz w:val="14"/>
                    </w:rPr>
                    <w:t>terrestrial</w:t>
                  </w:r>
                  <w:r>
                    <w:rPr>
                      <w:rFonts w:ascii="Arial"/>
                      <w:i/>
                      <w:color w:val="363636"/>
                      <w:sz w:val="14"/>
                    </w:rPr>
                    <w:t xml:space="preserve">, </w:t>
                  </w:r>
                  <w:r>
                    <w:rPr>
                      <w:rFonts w:ascii="Arial"/>
                      <w:i/>
                      <w:color w:val="030303"/>
                      <w:sz w:val="14"/>
                    </w:rPr>
                    <w:t xml:space="preserve">fresh </w:t>
                  </w:r>
                  <w:r>
                    <w:rPr>
                      <w:rFonts w:ascii="Arial"/>
                      <w:i/>
                      <w:color w:val="131313"/>
                      <w:sz w:val="14"/>
                    </w:rPr>
                    <w:t xml:space="preserve">water, coastal and </w:t>
                  </w:r>
                  <w:r>
                    <w:rPr>
                      <w:rFonts w:ascii="Arial"/>
                      <w:i/>
                      <w:color w:val="030303"/>
                      <w:sz w:val="14"/>
                    </w:rPr>
                    <w:t>marine</w:t>
                  </w:r>
                  <w:r>
                    <w:rPr>
                      <w:rFonts w:ascii="Arial"/>
                      <w:i/>
                      <w:color w:val="131313"/>
                      <w:sz w:val="14"/>
                    </w:rPr>
                    <w:t xml:space="preserve"> ecosystems and communities of plants and animals</w:t>
                  </w:r>
                </w:p>
                <w:p w:rsidR="00D1511D" w:rsidRDefault="003F0CB3">
                  <w:pPr>
                    <w:tabs>
                      <w:tab w:val="left" w:pos="3111"/>
                    </w:tabs>
                    <w:spacing w:before="51" w:line="249" w:lineRule="auto"/>
                    <w:ind w:left="3105" w:right="178" w:hanging="356"/>
                    <w:rPr>
                      <w:rFonts w:ascii="Arial"/>
                      <w:i/>
                      <w:sz w:val="14"/>
                    </w:rPr>
                  </w:pPr>
                  <w:r>
                    <w:rPr>
                      <w:rFonts w:ascii="Arial"/>
                      <w:i/>
                      <w:color w:val="030303"/>
                      <w:sz w:val="14"/>
                    </w:rPr>
                    <w:t>{ii]</w:t>
                  </w:r>
                  <w:r>
                    <w:rPr>
                      <w:rFonts w:ascii="Arial"/>
                      <w:i/>
                      <w:color w:val="030303"/>
                      <w:sz w:val="14"/>
                    </w:rPr>
                    <w:tab/>
                  </w:r>
                  <w:r>
                    <w:rPr>
                      <w:rFonts w:ascii="Arial"/>
                      <w:i/>
                      <w:color w:val="030303"/>
                      <w:sz w:val="14"/>
                    </w:rPr>
                    <w:tab/>
                  </w:r>
                  <w:r>
                    <w:rPr>
                      <w:rFonts w:ascii="Arial"/>
                      <w:i/>
                      <w:color w:val="131313"/>
                      <w:sz w:val="14"/>
                    </w:rPr>
                    <w:t xml:space="preserve">outstanding examples </w:t>
                  </w:r>
                  <w:r>
                    <w:rPr>
                      <w:rFonts w:ascii="Arial"/>
                      <w:i/>
                      <w:color w:val="030303"/>
                      <w:sz w:val="14"/>
                    </w:rPr>
                    <w:t>r</w:t>
                  </w:r>
                  <w:r>
                    <w:rPr>
                      <w:rFonts w:ascii="Arial"/>
                      <w:i/>
                      <w:color w:val="030303"/>
                      <w:sz w:val="14"/>
                    </w:rPr>
                    <w:t xml:space="preserve">epresenting </w:t>
                  </w:r>
                  <w:r>
                    <w:rPr>
                      <w:rFonts w:ascii="Arial"/>
                      <w:i/>
                      <w:color w:val="131313"/>
                      <w:sz w:val="14"/>
                    </w:rPr>
                    <w:t>significant ongoing geological processes</w:t>
                  </w:r>
                  <w:r>
                    <w:rPr>
                      <w:rFonts w:ascii="Arial"/>
                      <w:i/>
                      <w:color w:val="363636"/>
                      <w:sz w:val="14"/>
                    </w:rPr>
                    <w:t xml:space="preserve">, </w:t>
                  </w:r>
                  <w:r>
                    <w:rPr>
                      <w:rFonts w:ascii="Arial"/>
                      <w:i/>
                      <w:color w:val="131313"/>
                      <w:sz w:val="14"/>
                    </w:rPr>
                    <w:t xml:space="preserve">biological evolution and </w:t>
                  </w:r>
                  <w:r>
                    <w:rPr>
                      <w:rFonts w:ascii="Arial"/>
                      <w:i/>
                      <w:color w:val="030303"/>
                      <w:spacing w:val="-5"/>
                      <w:sz w:val="14"/>
                    </w:rPr>
                    <w:t>man</w:t>
                  </w:r>
                  <w:r>
                    <w:rPr>
                      <w:rFonts w:ascii="Arial"/>
                      <w:i/>
                      <w:color w:val="363636"/>
                      <w:spacing w:val="-5"/>
                      <w:sz w:val="14"/>
                    </w:rPr>
                    <w:t>'</w:t>
                  </w:r>
                  <w:r>
                    <w:rPr>
                      <w:rFonts w:ascii="Arial"/>
                      <w:i/>
                      <w:color w:val="131313"/>
                      <w:spacing w:val="-5"/>
                      <w:sz w:val="14"/>
                    </w:rPr>
                    <w:t xml:space="preserve">s </w:t>
                  </w:r>
                  <w:r>
                    <w:rPr>
                      <w:rFonts w:ascii="Arial"/>
                      <w:i/>
                      <w:color w:val="131313"/>
                      <w:sz w:val="14"/>
                    </w:rPr>
                    <w:t xml:space="preserve">interaction with his </w:t>
                  </w:r>
                  <w:r>
                    <w:rPr>
                      <w:rFonts w:ascii="Arial"/>
                      <w:i/>
                      <w:color w:val="030303"/>
                      <w:sz w:val="14"/>
                    </w:rPr>
                    <w:t>natural</w:t>
                  </w:r>
                  <w:r>
                    <w:rPr>
                      <w:rFonts w:ascii="Arial"/>
                      <w:i/>
                      <w:color w:val="030303"/>
                      <w:spacing w:val="11"/>
                      <w:sz w:val="14"/>
                    </w:rPr>
                    <w:t xml:space="preserve"> </w:t>
                  </w:r>
                  <w:r>
                    <w:rPr>
                      <w:rFonts w:ascii="Arial"/>
                      <w:i/>
                      <w:color w:val="131313"/>
                      <w:sz w:val="14"/>
                    </w:rPr>
                    <w:t>environment</w:t>
                  </w:r>
                </w:p>
              </w:txbxContent>
            </v:textbox>
            <w10:wrap anchorx="page"/>
          </v:shape>
        </w:pict>
      </w:r>
      <w:r>
        <w:rPr>
          <w:rFonts w:ascii="Arial"/>
          <w:color w:val="131313"/>
          <w:sz w:val="14"/>
        </w:rPr>
        <w:t>Water</w:t>
      </w:r>
      <w:r>
        <w:rPr>
          <w:rFonts w:ascii="Arial"/>
          <w:color w:val="131313"/>
          <w:spacing w:val="6"/>
          <w:sz w:val="14"/>
        </w:rPr>
        <w:t xml:space="preserve"> </w:t>
      </w:r>
      <w:r>
        <w:rPr>
          <w:rFonts w:ascii="Arial"/>
          <w:color w:val="131313"/>
          <w:sz w:val="14"/>
        </w:rPr>
        <w:t>column</w:t>
      </w:r>
    </w:p>
    <w:p w:rsidR="00D1511D" w:rsidRDefault="00D1511D">
      <w:pPr>
        <w:pStyle w:val="BodyText"/>
        <w:rPr>
          <w:rFonts w:ascii="Arial"/>
          <w:sz w:val="16"/>
        </w:rPr>
      </w:pPr>
    </w:p>
    <w:p w:rsidR="00D1511D" w:rsidRDefault="00D1511D">
      <w:pPr>
        <w:pStyle w:val="BodyText"/>
        <w:rPr>
          <w:rFonts w:ascii="Arial"/>
          <w:sz w:val="16"/>
        </w:rPr>
      </w:pPr>
    </w:p>
    <w:p w:rsidR="00D1511D" w:rsidRDefault="00D1511D">
      <w:pPr>
        <w:pStyle w:val="BodyText"/>
        <w:rPr>
          <w:rFonts w:ascii="Arial"/>
          <w:sz w:val="16"/>
        </w:rPr>
      </w:pPr>
    </w:p>
    <w:p w:rsidR="00D1511D" w:rsidRDefault="00D1511D">
      <w:pPr>
        <w:pStyle w:val="BodyText"/>
        <w:rPr>
          <w:rFonts w:ascii="Arial"/>
          <w:sz w:val="16"/>
        </w:rPr>
      </w:pPr>
    </w:p>
    <w:p w:rsidR="00D1511D" w:rsidRDefault="00D1511D">
      <w:pPr>
        <w:pStyle w:val="BodyText"/>
        <w:rPr>
          <w:rFonts w:ascii="Arial"/>
          <w:sz w:val="16"/>
        </w:rPr>
      </w:pPr>
    </w:p>
    <w:p w:rsidR="00D1511D" w:rsidRDefault="00D1511D">
      <w:pPr>
        <w:pStyle w:val="BodyText"/>
        <w:rPr>
          <w:rFonts w:ascii="Arial"/>
          <w:sz w:val="16"/>
        </w:rPr>
      </w:pPr>
    </w:p>
    <w:p w:rsidR="00D1511D" w:rsidRDefault="00D1511D">
      <w:pPr>
        <w:pStyle w:val="BodyText"/>
        <w:rPr>
          <w:rFonts w:ascii="Arial"/>
          <w:sz w:val="16"/>
        </w:rPr>
      </w:pPr>
    </w:p>
    <w:p w:rsidR="00D1511D" w:rsidRDefault="00D1511D">
      <w:pPr>
        <w:pStyle w:val="BodyText"/>
        <w:spacing w:before="8"/>
        <w:rPr>
          <w:rFonts w:ascii="Arial"/>
          <w:sz w:val="12"/>
        </w:rPr>
      </w:pPr>
    </w:p>
    <w:p w:rsidR="00D1511D" w:rsidRDefault="003F0CB3">
      <w:pPr>
        <w:spacing w:before="1"/>
        <w:ind w:left="475"/>
        <w:rPr>
          <w:rFonts w:ascii="Arial"/>
          <w:sz w:val="14"/>
        </w:rPr>
      </w:pPr>
      <w:r>
        <w:pict>
          <v:shape id="_x0000_s1145" alt="" style="position:absolute;left:0;text-align:left;margin-left:0;margin-top:719.4pt;width:439.5pt;height:.1pt;z-index:251728896;mso-wrap-edited:f;mso-width-percent:0;mso-height-percent:0;mso-position-horizontal-relative:page;mso-width-percent:0;mso-height-percent:0" coordsize="8790,1270" o:spt="100" adj="0,,0" path="m1700,-14440r2681,m4381,-14440r6108,e" filled="f" strokeweight=".06244mm">
            <v:stroke joinstyle="round"/>
            <v:formulas/>
            <v:path arrowok="t" o:connecttype="custom" o:connectlocs="1079500,0;2781935,0;2781935,0;6660515,0" o:connectangles="0,0,0,0"/>
            <w10:wrap anchorx="page"/>
          </v:shape>
        </w:pict>
      </w:r>
      <w:r>
        <w:rPr>
          <w:rFonts w:ascii="Arial"/>
          <w:color w:val="131313"/>
          <w:spacing w:val="-4"/>
          <w:w w:val="105"/>
          <w:sz w:val="14"/>
        </w:rPr>
        <w:t>2.3</w:t>
      </w:r>
      <w:r>
        <w:rPr>
          <w:rFonts w:ascii="Arial"/>
          <w:color w:val="363636"/>
          <w:spacing w:val="-4"/>
          <w:w w:val="105"/>
          <w:sz w:val="14"/>
        </w:rPr>
        <w:t>.</w:t>
      </w:r>
      <w:r>
        <w:rPr>
          <w:rFonts w:ascii="Arial"/>
          <w:color w:val="030303"/>
          <w:spacing w:val="-4"/>
          <w:w w:val="105"/>
          <w:sz w:val="14"/>
        </w:rPr>
        <w:t xml:space="preserve">1   </w:t>
      </w:r>
      <w:r>
        <w:rPr>
          <w:rFonts w:ascii="Arial"/>
          <w:color w:val="030303"/>
          <w:spacing w:val="8"/>
          <w:w w:val="105"/>
          <w:sz w:val="14"/>
        </w:rPr>
        <w:t xml:space="preserve"> </w:t>
      </w:r>
      <w:r>
        <w:rPr>
          <w:rFonts w:ascii="Arial"/>
          <w:color w:val="030303"/>
          <w:w w:val="105"/>
          <w:sz w:val="14"/>
        </w:rPr>
        <w:t>Islands</w:t>
      </w:r>
    </w:p>
    <w:p w:rsidR="00D1511D" w:rsidRDefault="003F0CB3">
      <w:pPr>
        <w:spacing w:before="7"/>
        <w:ind w:left="475"/>
        <w:rPr>
          <w:rFonts w:ascii="Arial"/>
          <w:sz w:val="14"/>
        </w:rPr>
      </w:pPr>
      <w:r>
        <w:rPr>
          <w:rFonts w:ascii="Arial"/>
          <w:color w:val="131313"/>
          <w:sz w:val="14"/>
        </w:rPr>
        <w:t>2.3</w:t>
      </w:r>
      <w:r>
        <w:rPr>
          <w:rFonts w:ascii="Arial"/>
          <w:color w:val="363636"/>
          <w:sz w:val="14"/>
        </w:rPr>
        <w:t>.</w:t>
      </w:r>
      <w:r>
        <w:rPr>
          <w:rFonts w:ascii="Arial"/>
          <w:color w:val="131313"/>
          <w:sz w:val="14"/>
        </w:rPr>
        <w:t xml:space="preserve">5 Coral </w:t>
      </w:r>
      <w:r>
        <w:rPr>
          <w:rFonts w:ascii="Arial"/>
          <w:color w:val="030303"/>
          <w:sz w:val="14"/>
        </w:rPr>
        <w:t>reefs</w:t>
      </w:r>
    </w:p>
    <w:p w:rsidR="00D1511D" w:rsidRDefault="003F0CB3">
      <w:pPr>
        <w:spacing w:before="12"/>
        <w:ind w:left="475"/>
        <w:rPr>
          <w:rFonts w:ascii="Arial"/>
          <w:sz w:val="14"/>
        </w:rPr>
      </w:pPr>
      <w:r>
        <w:rPr>
          <w:rFonts w:ascii="Arial"/>
          <w:color w:val="131313"/>
          <w:w w:val="105"/>
          <w:sz w:val="14"/>
        </w:rPr>
        <w:t>2</w:t>
      </w:r>
      <w:r>
        <w:rPr>
          <w:rFonts w:ascii="Arial"/>
          <w:color w:val="363636"/>
          <w:w w:val="105"/>
          <w:sz w:val="14"/>
        </w:rPr>
        <w:t>.</w:t>
      </w:r>
      <w:r>
        <w:rPr>
          <w:rFonts w:ascii="Arial"/>
          <w:color w:val="131313"/>
          <w:w w:val="105"/>
          <w:sz w:val="14"/>
        </w:rPr>
        <w:t>3</w:t>
      </w:r>
      <w:r>
        <w:rPr>
          <w:rFonts w:ascii="Arial"/>
          <w:color w:val="363636"/>
          <w:w w:val="105"/>
          <w:sz w:val="14"/>
        </w:rPr>
        <w:t>.</w:t>
      </w:r>
      <w:r>
        <w:rPr>
          <w:rFonts w:ascii="Arial"/>
          <w:color w:val="131313"/>
          <w:w w:val="105"/>
          <w:sz w:val="14"/>
        </w:rPr>
        <w:t xml:space="preserve">8 </w:t>
      </w:r>
      <w:proofErr w:type="spellStart"/>
      <w:r>
        <w:rPr>
          <w:rFonts w:ascii="Arial"/>
          <w:i/>
          <w:color w:val="030303"/>
          <w:w w:val="105"/>
          <w:sz w:val="14"/>
        </w:rPr>
        <w:t>Halimeda</w:t>
      </w:r>
      <w:proofErr w:type="spellEnd"/>
      <w:r>
        <w:rPr>
          <w:rFonts w:ascii="Arial"/>
          <w:i/>
          <w:color w:val="030303"/>
          <w:w w:val="105"/>
          <w:sz w:val="14"/>
        </w:rPr>
        <w:t xml:space="preserve"> </w:t>
      </w:r>
      <w:r>
        <w:rPr>
          <w:rFonts w:ascii="Arial"/>
          <w:color w:val="131313"/>
          <w:w w:val="105"/>
          <w:sz w:val="14"/>
        </w:rPr>
        <w:t>banks</w:t>
      </w:r>
    </w:p>
    <w:p w:rsidR="00D1511D" w:rsidRDefault="003F0CB3">
      <w:pPr>
        <w:spacing w:before="7"/>
        <w:ind w:left="475"/>
        <w:rPr>
          <w:rFonts w:ascii="Arial"/>
          <w:sz w:val="14"/>
        </w:rPr>
      </w:pPr>
      <w:r>
        <w:rPr>
          <w:rFonts w:ascii="Arial"/>
          <w:color w:val="131313"/>
          <w:sz w:val="14"/>
        </w:rPr>
        <w:t>2.4.4 Corals</w:t>
      </w:r>
    </w:p>
    <w:p w:rsidR="00D1511D" w:rsidRDefault="003F0CB3">
      <w:pPr>
        <w:spacing w:before="7"/>
        <w:ind w:left="473"/>
        <w:rPr>
          <w:rFonts w:ascii="Arial"/>
          <w:sz w:val="14"/>
        </w:rPr>
      </w:pPr>
      <w:r>
        <w:rPr>
          <w:rFonts w:ascii="Arial"/>
          <w:color w:val="131313"/>
          <w:sz w:val="14"/>
        </w:rPr>
        <w:t xml:space="preserve">3.4.8 </w:t>
      </w:r>
      <w:r>
        <w:rPr>
          <w:rFonts w:ascii="Arial"/>
          <w:color w:val="030303"/>
          <w:sz w:val="14"/>
        </w:rPr>
        <w:t xml:space="preserve">Reef </w:t>
      </w:r>
      <w:r>
        <w:rPr>
          <w:rFonts w:ascii="Arial"/>
          <w:color w:val="131313"/>
          <w:sz w:val="14"/>
        </w:rPr>
        <w:t>building</w:t>
      </w:r>
    </w:p>
    <w:p w:rsidR="00D1511D" w:rsidRDefault="003F0CB3">
      <w:pPr>
        <w:spacing w:before="12"/>
        <w:ind w:left="473"/>
        <w:rPr>
          <w:rFonts w:ascii="Arial"/>
          <w:sz w:val="14"/>
        </w:rPr>
      </w:pPr>
      <w:r>
        <w:rPr>
          <w:rFonts w:ascii="Arial"/>
          <w:color w:val="131313"/>
          <w:sz w:val="14"/>
        </w:rPr>
        <w:t>3.3.2 Ocean pH (acidity)</w:t>
      </w:r>
    </w:p>
    <w:p w:rsidR="00D1511D" w:rsidRDefault="003F0CB3">
      <w:pPr>
        <w:spacing w:before="7"/>
        <w:ind w:left="473"/>
        <w:rPr>
          <w:rFonts w:ascii="Arial"/>
          <w:sz w:val="14"/>
        </w:rPr>
      </w:pPr>
      <w:r>
        <w:pict>
          <v:shape id="_x0000_s1144" alt="" style="position:absolute;left:0;text-align:left;margin-left:0;margin-top:732pt;width:439.5pt;height:.1pt;z-index:251729920;mso-wrap-edited:f;mso-width-percent:0;mso-height-percent:0;mso-position-horizontal-relative:page;mso-width-percent:0;mso-height-percent:0" coordsize="8790,1270" o:spt="100" adj="0,,0" path="m1700,-14440r2681,m4381,-14440r6108,e" filled="f" strokeweight=".06244mm">
            <v:stroke joinstyle="round"/>
            <v:formulas/>
            <v:path arrowok="t" o:connecttype="custom" o:connectlocs="1079500,0;2781935,0;2781935,0;6660515,0" o:connectangles="0,0,0,0"/>
            <w10:wrap anchorx="page"/>
          </v:shape>
        </w:pict>
      </w:r>
      <w:r>
        <w:rPr>
          <w:rFonts w:ascii="Arial"/>
          <w:color w:val="131313"/>
          <w:sz w:val="14"/>
        </w:rPr>
        <w:t>8.3.1 Coral reef case study</w:t>
      </w:r>
    </w:p>
    <w:p w:rsidR="00D1511D" w:rsidRDefault="003F0CB3">
      <w:pPr>
        <w:pStyle w:val="ListParagraph"/>
        <w:numPr>
          <w:ilvl w:val="2"/>
          <w:numId w:val="30"/>
        </w:numPr>
        <w:tabs>
          <w:tab w:val="left" w:pos="973"/>
        </w:tabs>
        <w:spacing w:before="99"/>
        <w:ind w:hanging="500"/>
        <w:rPr>
          <w:rFonts w:ascii="Arial"/>
          <w:sz w:val="14"/>
        </w:rPr>
      </w:pPr>
      <w:r>
        <w:rPr>
          <w:rFonts w:ascii="Arial"/>
          <w:color w:val="131313"/>
          <w:sz w:val="14"/>
        </w:rPr>
        <w:t>Currents</w:t>
      </w:r>
    </w:p>
    <w:p w:rsidR="00D1511D" w:rsidRDefault="003F0CB3">
      <w:pPr>
        <w:pStyle w:val="ListParagraph"/>
        <w:numPr>
          <w:ilvl w:val="2"/>
          <w:numId w:val="30"/>
        </w:numPr>
        <w:tabs>
          <w:tab w:val="left" w:pos="973"/>
        </w:tabs>
        <w:spacing w:before="7"/>
        <w:ind w:hanging="500"/>
        <w:rPr>
          <w:rFonts w:ascii="Arial"/>
          <w:sz w:val="14"/>
        </w:rPr>
      </w:pPr>
      <w:r>
        <w:rPr>
          <w:rFonts w:ascii="Arial"/>
          <w:color w:val="131313"/>
          <w:w w:val="105"/>
          <w:sz w:val="14"/>
        </w:rPr>
        <w:t>Cyclones and</w:t>
      </w:r>
      <w:r>
        <w:rPr>
          <w:rFonts w:ascii="Arial"/>
          <w:color w:val="131313"/>
          <w:spacing w:val="-11"/>
          <w:w w:val="105"/>
          <w:sz w:val="14"/>
        </w:rPr>
        <w:t xml:space="preserve"> </w:t>
      </w:r>
      <w:r>
        <w:rPr>
          <w:rFonts w:ascii="Arial"/>
          <w:color w:val="131313"/>
          <w:w w:val="105"/>
          <w:sz w:val="14"/>
        </w:rPr>
        <w:t>wind</w:t>
      </w:r>
    </w:p>
    <w:p w:rsidR="00D1511D" w:rsidRDefault="003F0CB3">
      <w:pPr>
        <w:spacing w:before="12"/>
        <w:ind w:left="473"/>
        <w:rPr>
          <w:rFonts w:ascii="Arial"/>
          <w:sz w:val="14"/>
        </w:rPr>
      </w:pPr>
      <w:r>
        <w:pict>
          <v:shape id="_x0000_s1143" alt="" style="position:absolute;left:0;text-align:left;margin-left:0;margin-top:732.7pt;width:439.5pt;height:.1pt;z-index:251730944;mso-wrap-edited:f;mso-width-percent:0;mso-height-percent:0;mso-position-horizontal-relative:page;mso-width-percent:0;mso-height-percent:0" coordsize="8790,1270" o:spt="100" adj="0,,0" path="m1700,-14440r2681,m4381,-14440r6108,e" filled="f" strokeweight=".06244mm">
            <v:stroke joinstyle="round"/>
            <v:formulas/>
            <v:path arrowok="t" o:connecttype="custom" o:connectlocs="1079500,0;2781935,0;2781935,0;6660515,0" o:connectangles="0,0,0,0"/>
            <w10:wrap anchorx="page"/>
          </v:shape>
        </w:pict>
      </w:r>
      <w:r>
        <w:rPr>
          <w:rFonts w:ascii="Arial"/>
          <w:color w:val="131313"/>
          <w:w w:val="105"/>
          <w:sz w:val="14"/>
        </w:rPr>
        <w:t>3.4</w:t>
      </w:r>
      <w:r>
        <w:rPr>
          <w:rFonts w:ascii="Arial"/>
          <w:color w:val="363636"/>
          <w:w w:val="105"/>
          <w:sz w:val="14"/>
        </w:rPr>
        <w:t>.</w:t>
      </w:r>
      <w:r>
        <w:rPr>
          <w:rFonts w:ascii="Arial"/>
          <w:color w:val="131313"/>
          <w:w w:val="105"/>
          <w:sz w:val="14"/>
        </w:rPr>
        <w:t>10 Connectivity</w:t>
      </w:r>
    </w:p>
    <w:p w:rsidR="00D1511D" w:rsidRDefault="003F0CB3">
      <w:pPr>
        <w:spacing w:before="94"/>
        <w:ind w:left="473"/>
        <w:rPr>
          <w:rFonts w:ascii="Arial"/>
          <w:sz w:val="14"/>
        </w:rPr>
      </w:pPr>
      <w:r>
        <w:rPr>
          <w:rFonts w:ascii="Arial"/>
          <w:color w:val="131313"/>
          <w:sz w:val="14"/>
        </w:rPr>
        <w:t xml:space="preserve">3.3.1 </w:t>
      </w:r>
      <w:r>
        <w:rPr>
          <w:rFonts w:ascii="Arial"/>
          <w:color w:val="030303"/>
          <w:sz w:val="14"/>
        </w:rPr>
        <w:t xml:space="preserve">Nutrient </w:t>
      </w:r>
      <w:r>
        <w:rPr>
          <w:rFonts w:ascii="Arial"/>
          <w:color w:val="131313"/>
          <w:sz w:val="14"/>
        </w:rPr>
        <w:t>cycling</w:t>
      </w:r>
    </w:p>
    <w:p w:rsidR="00D1511D" w:rsidRDefault="003F0CB3">
      <w:pPr>
        <w:pStyle w:val="ListParagraph"/>
        <w:numPr>
          <w:ilvl w:val="2"/>
          <w:numId w:val="29"/>
        </w:numPr>
        <w:tabs>
          <w:tab w:val="left" w:pos="974"/>
        </w:tabs>
        <w:spacing w:before="7"/>
        <w:rPr>
          <w:rFonts w:ascii="Arial"/>
          <w:sz w:val="14"/>
        </w:rPr>
      </w:pPr>
      <w:r>
        <w:rPr>
          <w:rFonts w:ascii="Arial"/>
          <w:color w:val="131313"/>
          <w:sz w:val="14"/>
        </w:rPr>
        <w:t>Microbial</w:t>
      </w:r>
      <w:r>
        <w:rPr>
          <w:rFonts w:ascii="Arial"/>
          <w:color w:val="131313"/>
          <w:spacing w:val="7"/>
          <w:sz w:val="14"/>
        </w:rPr>
        <w:t xml:space="preserve"> </w:t>
      </w:r>
      <w:r>
        <w:rPr>
          <w:rFonts w:ascii="Arial"/>
          <w:color w:val="030303"/>
          <w:sz w:val="14"/>
        </w:rPr>
        <w:t>processes</w:t>
      </w:r>
    </w:p>
    <w:p w:rsidR="00D1511D" w:rsidRDefault="003F0CB3">
      <w:pPr>
        <w:pStyle w:val="ListParagraph"/>
        <w:numPr>
          <w:ilvl w:val="2"/>
          <w:numId w:val="29"/>
        </w:numPr>
        <w:tabs>
          <w:tab w:val="left" w:pos="974"/>
        </w:tabs>
        <w:spacing w:before="12"/>
        <w:rPr>
          <w:rFonts w:ascii="Arial"/>
          <w:sz w:val="14"/>
        </w:rPr>
      </w:pPr>
      <w:r>
        <w:rPr>
          <w:rFonts w:ascii="Arial"/>
          <w:color w:val="030303"/>
          <w:sz w:val="14"/>
        </w:rPr>
        <w:t>Particle</w:t>
      </w:r>
      <w:r>
        <w:rPr>
          <w:rFonts w:ascii="Arial"/>
          <w:color w:val="030303"/>
          <w:spacing w:val="-1"/>
          <w:sz w:val="14"/>
        </w:rPr>
        <w:t xml:space="preserve"> </w:t>
      </w:r>
      <w:r>
        <w:rPr>
          <w:rFonts w:ascii="Arial"/>
          <w:color w:val="131313"/>
          <w:sz w:val="14"/>
        </w:rPr>
        <w:t>feeding</w:t>
      </w:r>
    </w:p>
    <w:p w:rsidR="00D1511D" w:rsidRDefault="003F0CB3">
      <w:pPr>
        <w:pStyle w:val="ListParagraph"/>
        <w:numPr>
          <w:ilvl w:val="2"/>
          <w:numId w:val="29"/>
        </w:numPr>
        <w:tabs>
          <w:tab w:val="left" w:pos="974"/>
        </w:tabs>
        <w:spacing w:before="7"/>
        <w:rPr>
          <w:rFonts w:ascii="Arial"/>
          <w:sz w:val="14"/>
        </w:rPr>
      </w:pPr>
      <w:r>
        <w:rPr>
          <w:rFonts w:ascii="Arial"/>
          <w:color w:val="030303"/>
          <w:sz w:val="14"/>
        </w:rPr>
        <w:t>Primary</w:t>
      </w:r>
      <w:r>
        <w:rPr>
          <w:rFonts w:ascii="Arial"/>
          <w:color w:val="030303"/>
          <w:spacing w:val="10"/>
          <w:sz w:val="14"/>
        </w:rPr>
        <w:t xml:space="preserve"> </w:t>
      </w:r>
      <w:r>
        <w:rPr>
          <w:rFonts w:ascii="Arial"/>
          <w:color w:val="030303"/>
          <w:sz w:val="14"/>
        </w:rPr>
        <w:t>production</w:t>
      </w:r>
    </w:p>
    <w:p w:rsidR="00D1511D" w:rsidRDefault="003F0CB3">
      <w:pPr>
        <w:pStyle w:val="ListParagraph"/>
        <w:numPr>
          <w:ilvl w:val="2"/>
          <w:numId w:val="28"/>
        </w:numPr>
        <w:tabs>
          <w:tab w:val="left" w:pos="974"/>
        </w:tabs>
        <w:spacing w:before="12"/>
        <w:ind w:hanging="501"/>
        <w:rPr>
          <w:rFonts w:ascii="Arial"/>
          <w:sz w:val="14"/>
        </w:rPr>
      </w:pPr>
      <w:r>
        <w:rPr>
          <w:rFonts w:ascii="Arial"/>
          <w:color w:val="030303"/>
          <w:sz w:val="14"/>
        </w:rPr>
        <w:t>Predation</w:t>
      </w:r>
    </w:p>
    <w:p w:rsidR="00D1511D" w:rsidRDefault="003F0CB3">
      <w:pPr>
        <w:pStyle w:val="ListParagraph"/>
        <w:numPr>
          <w:ilvl w:val="2"/>
          <w:numId w:val="28"/>
        </w:numPr>
        <w:tabs>
          <w:tab w:val="left" w:pos="968"/>
        </w:tabs>
        <w:spacing w:before="7"/>
        <w:ind w:left="967" w:hanging="495"/>
        <w:rPr>
          <w:rFonts w:ascii="Arial"/>
          <w:sz w:val="14"/>
        </w:rPr>
      </w:pPr>
      <w:r>
        <w:rPr>
          <w:rFonts w:ascii="Arial"/>
          <w:color w:val="131313"/>
          <w:sz w:val="14"/>
        </w:rPr>
        <w:t>Symbiosis</w:t>
      </w:r>
    </w:p>
    <w:p w:rsidR="00D1511D" w:rsidRDefault="003F0CB3">
      <w:pPr>
        <w:pStyle w:val="ListParagraph"/>
        <w:numPr>
          <w:ilvl w:val="2"/>
          <w:numId w:val="28"/>
        </w:numPr>
        <w:tabs>
          <w:tab w:val="left" w:pos="973"/>
        </w:tabs>
        <w:spacing w:before="12"/>
        <w:ind w:left="972"/>
        <w:rPr>
          <w:rFonts w:ascii="Arial"/>
          <w:sz w:val="14"/>
        </w:rPr>
      </w:pPr>
      <w:r>
        <w:pict>
          <v:shape id="_x0000_s1142" alt="" style="position:absolute;left:0;text-align:left;margin-left:0;margin-top:732pt;width:439.5pt;height:.1pt;z-index:251731968;mso-wrap-edited:f;mso-width-percent:0;mso-height-percent:0;mso-position-horizontal-relative:page;mso-width-percent:0;mso-height-percent:0" coordsize="8790,1270" o:spt="100" adj="0,,0" path="m1700,-14440r2681,m4381,-14440r6108,e" filled="f" strokeweight=".06244mm">
            <v:stroke joinstyle="round"/>
            <v:formulas/>
            <v:path arrowok="t" o:connecttype="custom" o:connectlocs="1079500,0;2781935,0;2781935,0;6660515,0" o:connectangles="0,0,0,0"/>
            <w10:wrap anchorx="page"/>
          </v:shape>
        </w:pict>
      </w:r>
      <w:r>
        <w:rPr>
          <w:rFonts w:ascii="Arial"/>
          <w:color w:val="030303"/>
          <w:sz w:val="14"/>
        </w:rPr>
        <w:t>Recruitment</w:t>
      </w:r>
    </w:p>
    <w:p w:rsidR="00D1511D" w:rsidRDefault="003F0CB3">
      <w:pPr>
        <w:spacing w:before="80"/>
        <w:ind w:left="473"/>
        <w:rPr>
          <w:rFonts w:ascii="Arial"/>
          <w:sz w:val="14"/>
        </w:rPr>
      </w:pPr>
      <w:r>
        <w:rPr>
          <w:rFonts w:ascii="Arial"/>
          <w:color w:val="131313"/>
          <w:w w:val="105"/>
          <w:sz w:val="14"/>
        </w:rPr>
        <w:t>3.2.2   Cyclones and</w:t>
      </w:r>
      <w:r>
        <w:rPr>
          <w:rFonts w:ascii="Arial"/>
          <w:color w:val="131313"/>
          <w:spacing w:val="6"/>
          <w:w w:val="105"/>
          <w:sz w:val="14"/>
        </w:rPr>
        <w:t xml:space="preserve"> </w:t>
      </w:r>
      <w:r>
        <w:rPr>
          <w:rFonts w:ascii="Arial"/>
          <w:color w:val="131313"/>
          <w:w w:val="105"/>
          <w:sz w:val="14"/>
        </w:rPr>
        <w:t>wind</w:t>
      </w:r>
    </w:p>
    <w:p w:rsidR="00D1511D" w:rsidRDefault="003F0CB3">
      <w:pPr>
        <w:spacing w:before="12"/>
        <w:ind w:left="473"/>
        <w:rPr>
          <w:rFonts w:ascii="Arial"/>
          <w:sz w:val="14"/>
        </w:rPr>
      </w:pPr>
      <w:r>
        <w:rPr>
          <w:rFonts w:ascii="Arial"/>
          <w:color w:val="131313"/>
          <w:spacing w:val="-3"/>
          <w:w w:val="105"/>
          <w:sz w:val="14"/>
        </w:rPr>
        <w:t>3</w:t>
      </w:r>
      <w:r>
        <w:rPr>
          <w:rFonts w:ascii="Arial"/>
          <w:color w:val="363636"/>
          <w:spacing w:val="-3"/>
          <w:w w:val="105"/>
          <w:sz w:val="14"/>
        </w:rPr>
        <w:t>.</w:t>
      </w:r>
      <w:r>
        <w:rPr>
          <w:rFonts w:ascii="Arial"/>
          <w:color w:val="131313"/>
          <w:spacing w:val="-3"/>
          <w:w w:val="105"/>
          <w:sz w:val="14"/>
        </w:rPr>
        <w:t xml:space="preserve">2.4    </w:t>
      </w:r>
      <w:r>
        <w:rPr>
          <w:rFonts w:ascii="Arial"/>
          <w:color w:val="131313"/>
          <w:w w:val="105"/>
          <w:sz w:val="14"/>
        </w:rPr>
        <w:t>Sediment</w:t>
      </w:r>
      <w:r>
        <w:rPr>
          <w:rFonts w:ascii="Arial"/>
          <w:color w:val="131313"/>
          <w:spacing w:val="-21"/>
          <w:w w:val="105"/>
          <w:sz w:val="14"/>
        </w:rPr>
        <w:t xml:space="preserve"> </w:t>
      </w:r>
      <w:r>
        <w:rPr>
          <w:rFonts w:ascii="Arial"/>
          <w:color w:val="131313"/>
          <w:w w:val="105"/>
          <w:sz w:val="14"/>
        </w:rPr>
        <w:t>exposure</w:t>
      </w:r>
    </w:p>
    <w:p w:rsidR="00D1511D" w:rsidRDefault="003F0CB3">
      <w:pPr>
        <w:spacing w:before="7"/>
        <w:ind w:left="473"/>
        <w:rPr>
          <w:rFonts w:ascii="Arial"/>
          <w:sz w:val="14"/>
        </w:rPr>
      </w:pPr>
      <w:r>
        <w:rPr>
          <w:rFonts w:ascii="Arial"/>
          <w:color w:val="131313"/>
          <w:sz w:val="14"/>
        </w:rPr>
        <w:t xml:space="preserve">3.4.4 </w:t>
      </w:r>
      <w:r>
        <w:rPr>
          <w:rFonts w:ascii="Arial"/>
          <w:color w:val="030303"/>
          <w:sz w:val="14"/>
        </w:rPr>
        <w:t>Herbivory</w:t>
      </w:r>
    </w:p>
    <w:p w:rsidR="00D1511D" w:rsidRDefault="003F0CB3">
      <w:pPr>
        <w:pStyle w:val="ListParagraph"/>
        <w:numPr>
          <w:ilvl w:val="2"/>
          <w:numId w:val="27"/>
        </w:numPr>
        <w:tabs>
          <w:tab w:val="left" w:pos="973"/>
        </w:tabs>
        <w:spacing w:before="12"/>
        <w:rPr>
          <w:rFonts w:ascii="Arial"/>
          <w:sz w:val="14"/>
        </w:rPr>
      </w:pPr>
      <w:r>
        <w:rPr>
          <w:rFonts w:ascii="Arial"/>
          <w:color w:val="030303"/>
          <w:sz w:val="14"/>
        </w:rPr>
        <w:t>Reef</w:t>
      </w:r>
      <w:r>
        <w:rPr>
          <w:rFonts w:ascii="Arial"/>
          <w:color w:val="030303"/>
          <w:spacing w:val="4"/>
          <w:sz w:val="14"/>
        </w:rPr>
        <w:t xml:space="preserve"> </w:t>
      </w:r>
      <w:r>
        <w:rPr>
          <w:rFonts w:ascii="Arial"/>
          <w:color w:val="131313"/>
          <w:sz w:val="14"/>
        </w:rPr>
        <w:t>building</w:t>
      </w:r>
    </w:p>
    <w:p w:rsidR="00D1511D" w:rsidRDefault="003F0CB3">
      <w:pPr>
        <w:pStyle w:val="ListParagraph"/>
        <w:numPr>
          <w:ilvl w:val="2"/>
          <w:numId w:val="27"/>
        </w:numPr>
        <w:tabs>
          <w:tab w:val="left" w:pos="973"/>
        </w:tabs>
        <w:spacing w:before="7"/>
        <w:rPr>
          <w:rFonts w:ascii="Arial"/>
          <w:sz w:val="14"/>
        </w:rPr>
      </w:pPr>
      <w:r>
        <w:pict>
          <v:shape id="_x0000_s1141" alt="" style="position:absolute;left:0;text-align:left;margin-left:0;margin-top:731.85pt;width:439.5pt;height:.1pt;z-index:251732992;mso-wrap-edited:f;mso-width-percent:0;mso-height-percent:0;mso-position-horizontal-relative:page;mso-width-percent:0;mso-height-percent:0" coordsize="8790,1270" o:spt="100" adj="0,,0" path="m1700,-14441r2681,m4381,-14441r6108,e" filled="f" strokeweight=".06244mm">
            <v:stroke joinstyle="round"/>
            <v:formulas/>
            <v:path arrowok="t" o:connecttype="custom" o:connectlocs="1079500,0;2781935,0;2781935,0;6660515,0" o:connectangles="0,0,0,0"/>
            <w10:wrap anchorx="page"/>
          </v:shape>
        </w:pict>
      </w:r>
      <w:r>
        <w:rPr>
          <w:rFonts w:ascii="Arial"/>
          <w:color w:val="131313"/>
          <w:w w:val="105"/>
          <w:sz w:val="14"/>
        </w:rPr>
        <w:t>Competition</w:t>
      </w:r>
    </w:p>
    <w:p w:rsidR="00D1511D" w:rsidRDefault="00D1511D">
      <w:pPr>
        <w:pStyle w:val="BodyText"/>
        <w:spacing w:before="4"/>
        <w:rPr>
          <w:rFonts w:ascii="Arial"/>
          <w:sz w:val="17"/>
        </w:rPr>
      </w:pPr>
    </w:p>
    <w:p w:rsidR="00D1511D" w:rsidRDefault="003F0CB3">
      <w:pPr>
        <w:ind w:left="475"/>
        <w:rPr>
          <w:rFonts w:ascii="Arial"/>
          <w:sz w:val="14"/>
        </w:rPr>
      </w:pPr>
      <w:r>
        <w:rPr>
          <w:rFonts w:ascii="Arial"/>
          <w:color w:val="131313"/>
          <w:sz w:val="14"/>
        </w:rPr>
        <w:t xml:space="preserve">2.3.8 </w:t>
      </w:r>
      <w:proofErr w:type="spellStart"/>
      <w:r>
        <w:rPr>
          <w:rFonts w:ascii="Arial"/>
          <w:i/>
          <w:color w:val="030303"/>
          <w:sz w:val="14"/>
        </w:rPr>
        <w:t>Halimeda</w:t>
      </w:r>
      <w:proofErr w:type="spellEnd"/>
      <w:r>
        <w:rPr>
          <w:rFonts w:ascii="Arial"/>
          <w:i/>
          <w:color w:val="030303"/>
          <w:sz w:val="14"/>
        </w:rPr>
        <w:t xml:space="preserve"> </w:t>
      </w:r>
      <w:r>
        <w:rPr>
          <w:rFonts w:ascii="Arial"/>
          <w:color w:val="131313"/>
          <w:sz w:val="14"/>
        </w:rPr>
        <w:t>banks</w:t>
      </w:r>
    </w:p>
    <w:p w:rsidR="00D1511D" w:rsidRDefault="00D1511D">
      <w:pPr>
        <w:pStyle w:val="BodyText"/>
        <w:spacing w:before="9"/>
        <w:rPr>
          <w:rFonts w:ascii="Arial"/>
          <w:sz w:val="17"/>
        </w:rPr>
      </w:pPr>
    </w:p>
    <w:p w:rsidR="00D1511D" w:rsidRDefault="003F0CB3">
      <w:pPr>
        <w:pStyle w:val="ListParagraph"/>
        <w:numPr>
          <w:ilvl w:val="2"/>
          <w:numId w:val="26"/>
        </w:numPr>
        <w:tabs>
          <w:tab w:val="left" w:pos="968"/>
        </w:tabs>
        <w:rPr>
          <w:rFonts w:ascii="Arial"/>
          <w:sz w:val="14"/>
        </w:rPr>
      </w:pPr>
      <w:r>
        <w:pict>
          <v:shape id="_x0000_s1140" alt="" style="position:absolute;left:0;text-align:left;margin-left:0;margin-top:719.1pt;width:439.5pt;height:.1pt;z-index:251734016;mso-wrap-edited:f;mso-width-percent:0;mso-height-percent:0;mso-position-horizontal-relative:page;mso-width-percent:0;mso-height-percent:0" coordsize="8790,1270" o:spt="100" adj="0,,0" path="m1700,-14440r2681,m4381,-14440r6108,e" filled="f" strokeweight=".06244mm">
            <v:stroke joinstyle="round"/>
            <v:formulas/>
            <v:path arrowok="t" o:connecttype="custom" o:connectlocs="1079500,0;2781935,0;2781935,0;6660515,0" o:connectangles="0,0,0,0"/>
            <w10:wrap anchorx="page"/>
          </v:shape>
        </w:pict>
      </w:r>
      <w:r>
        <w:rPr>
          <w:rFonts w:ascii="Arial"/>
          <w:color w:val="131313"/>
          <w:sz w:val="14"/>
        </w:rPr>
        <w:t>Seabirds</w:t>
      </w:r>
    </w:p>
    <w:p w:rsidR="00D1511D" w:rsidRDefault="003F0CB3">
      <w:pPr>
        <w:pStyle w:val="ListParagraph"/>
        <w:numPr>
          <w:ilvl w:val="2"/>
          <w:numId w:val="26"/>
        </w:numPr>
        <w:tabs>
          <w:tab w:val="left" w:pos="968"/>
        </w:tabs>
        <w:spacing w:before="7"/>
        <w:rPr>
          <w:rFonts w:ascii="Arial"/>
          <w:sz w:val="14"/>
        </w:rPr>
      </w:pPr>
      <w:r>
        <w:rPr>
          <w:rFonts w:ascii="Arial"/>
          <w:color w:val="131313"/>
          <w:sz w:val="14"/>
        </w:rPr>
        <w:t>Shorebirds</w:t>
      </w:r>
    </w:p>
    <w:p w:rsidR="00D1511D" w:rsidRDefault="003F0CB3">
      <w:pPr>
        <w:spacing w:before="12"/>
        <w:ind w:left="475"/>
        <w:rPr>
          <w:rFonts w:ascii="Arial"/>
          <w:sz w:val="14"/>
        </w:rPr>
      </w:pPr>
      <w:r>
        <w:rPr>
          <w:rFonts w:ascii="Arial"/>
          <w:color w:val="131313"/>
          <w:w w:val="105"/>
          <w:sz w:val="14"/>
        </w:rPr>
        <w:t>2</w:t>
      </w:r>
      <w:r>
        <w:rPr>
          <w:rFonts w:ascii="Arial"/>
          <w:color w:val="363636"/>
          <w:w w:val="105"/>
          <w:sz w:val="14"/>
        </w:rPr>
        <w:t>.</w:t>
      </w:r>
      <w:r>
        <w:rPr>
          <w:rFonts w:ascii="Arial"/>
          <w:color w:val="131313"/>
          <w:w w:val="105"/>
          <w:sz w:val="14"/>
        </w:rPr>
        <w:t>3</w:t>
      </w:r>
      <w:r>
        <w:rPr>
          <w:rFonts w:ascii="Arial"/>
          <w:color w:val="363636"/>
          <w:w w:val="105"/>
          <w:sz w:val="14"/>
        </w:rPr>
        <w:t>.</w:t>
      </w:r>
      <w:r>
        <w:rPr>
          <w:rFonts w:ascii="Arial"/>
          <w:color w:val="030303"/>
          <w:w w:val="105"/>
          <w:sz w:val="14"/>
        </w:rPr>
        <w:t xml:space="preserve">1 </w:t>
      </w:r>
      <w:r>
        <w:rPr>
          <w:rFonts w:ascii="Arial"/>
          <w:color w:val="131313"/>
          <w:w w:val="105"/>
          <w:sz w:val="14"/>
        </w:rPr>
        <w:t>Islands</w:t>
      </w:r>
    </w:p>
    <w:p w:rsidR="00D1511D" w:rsidRDefault="003F0CB3">
      <w:pPr>
        <w:spacing w:before="7"/>
        <w:ind w:left="473"/>
        <w:rPr>
          <w:rFonts w:ascii="Arial"/>
          <w:sz w:val="14"/>
        </w:rPr>
      </w:pPr>
      <w:r>
        <w:rPr>
          <w:rFonts w:ascii="Arial"/>
          <w:color w:val="131313"/>
          <w:sz w:val="14"/>
        </w:rPr>
        <w:t xml:space="preserve">3.4.7 </w:t>
      </w:r>
      <w:r>
        <w:rPr>
          <w:rFonts w:ascii="Arial"/>
          <w:color w:val="030303"/>
          <w:sz w:val="14"/>
        </w:rPr>
        <w:t>Recruitment</w:t>
      </w:r>
    </w:p>
    <w:p w:rsidR="00D1511D" w:rsidRDefault="003F0CB3">
      <w:pPr>
        <w:pStyle w:val="ListParagraph"/>
        <w:numPr>
          <w:ilvl w:val="0"/>
          <w:numId w:val="2"/>
        </w:numPr>
        <w:tabs>
          <w:tab w:val="left" w:pos="827"/>
        </w:tabs>
        <w:spacing w:before="96" w:line="249" w:lineRule="auto"/>
        <w:ind w:left="829" w:right="265" w:hanging="356"/>
        <w:rPr>
          <w:rFonts w:ascii="Arial"/>
          <w:sz w:val="14"/>
        </w:rPr>
      </w:pPr>
      <w:r>
        <w:rPr>
          <w:rFonts w:ascii="Arial"/>
          <w:color w:val="131313"/>
          <w:spacing w:val="-1"/>
          <w:w w:val="103"/>
          <w:sz w:val="14"/>
        </w:rPr>
        <w:br w:type="column"/>
      </w:r>
      <w:r>
        <w:rPr>
          <w:rFonts w:ascii="Arial"/>
          <w:color w:val="131313"/>
          <w:w w:val="105"/>
          <w:sz w:val="14"/>
        </w:rPr>
        <w:t>One-third</w:t>
      </w:r>
      <w:r>
        <w:rPr>
          <w:rFonts w:ascii="Arial"/>
          <w:color w:val="131313"/>
          <w:spacing w:val="-11"/>
          <w:w w:val="105"/>
          <w:sz w:val="14"/>
        </w:rPr>
        <w:t xml:space="preserve"> </w:t>
      </w:r>
      <w:r>
        <w:rPr>
          <w:rFonts w:ascii="Arial"/>
          <w:color w:val="131313"/>
          <w:w w:val="105"/>
          <w:sz w:val="14"/>
        </w:rPr>
        <w:t>of</w:t>
      </w:r>
      <w:r>
        <w:rPr>
          <w:rFonts w:ascii="Arial"/>
          <w:color w:val="131313"/>
          <w:spacing w:val="-16"/>
          <w:w w:val="105"/>
          <w:sz w:val="14"/>
        </w:rPr>
        <w:t xml:space="preserve"> </w:t>
      </w:r>
      <w:r>
        <w:rPr>
          <w:rFonts w:ascii="Arial"/>
          <w:color w:val="030303"/>
          <w:w w:val="105"/>
          <w:sz w:val="14"/>
        </w:rPr>
        <w:t>the</w:t>
      </w:r>
      <w:r>
        <w:rPr>
          <w:rFonts w:ascii="Arial"/>
          <w:color w:val="030303"/>
          <w:spacing w:val="-19"/>
          <w:w w:val="105"/>
          <w:sz w:val="14"/>
        </w:rPr>
        <w:t xml:space="preserve"> </w:t>
      </w:r>
      <w:r>
        <w:rPr>
          <w:rFonts w:ascii="Arial"/>
          <w:color w:val="131313"/>
          <w:w w:val="105"/>
          <w:sz w:val="14"/>
        </w:rPr>
        <w:t>Great</w:t>
      </w:r>
      <w:r>
        <w:rPr>
          <w:rFonts w:ascii="Arial"/>
          <w:color w:val="131313"/>
          <w:spacing w:val="-9"/>
          <w:w w:val="105"/>
          <w:sz w:val="14"/>
        </w:rPr>
        <w:t xml:space="preserve"> </w:t>
      </w:r>
      <w:r>
        <w:rPr>
          <w:rFonts w:ascii="Arial"/>
          <w:color w:val="030303"/>
          <w:w w:val="105"/>
          <w:sz w:val="14"/>
        </w:rPr>
        <w:t>Barrier</w:t>
      </w:r>
      <w:r>
        <w:rPr>
          <w:rFonts w:ascii="Arial"/>
          <w:color w:val="030303"/>
          <w:spacing w:val="-11"/>
          <w:w w:val="105"/>
          <w:sz w:val="14"/>
        </w:rPr>
        <w:t xml:space="preserve"> </w:t>
      </w:r>
      <w:r>
        <w:rPr>
          <w:rFonts w:ascii="Arial"/>
          <w:color w:val="030303"/>
          <w:w w:val="105"/>
          <w:sz w:val="14"/>
        </w:rPr>
        <w:t>Reef</w:t>
      </w:r>
      <w:r>
        <w:rPr>
          <w:rFonts w:ascii="Arial"/>
          <w:color w:val="030303"/>
          <w:spacing w:val="-12"/>
          <w:w w:val="105"/>
          <w:sz w:val="14"/>
        </w:rPr>
        <w:t xml:space="preserve"> </w:t>
      </w:r>
      <w:r>
        <w:rPr>
          <w:rFonts w:ascii="Arial"/>
          <w:color w:val="030303"/>
          <w:w w:val="105"/>
          <w:sz w:val="14"/>
        </w:rPr>
        <w:t>lies</w:t>
      </w:r>
      <w:r>
        <w:rPr>
          <w:rFonts w:ascii="Arial"/>
          <w:color w:val="030303"/>
          <w:spacing w:val="-17"/>
          <w:w w:val="105"/>
          <w:sz w:val="14"/>
        </w:rPr>
        <w:t xml:space="preserve"> </w:t>
      </w:r>
      <w:r>
        <w:rPr>
          <w:rFonts w:ascii="Arial"/>
          <w:color w:val="131313"/>
          <w:w w:val="105"/>
          <w:sz w:val="14"/>
        </w:rPr>
        <w:t>beyond</w:t>
      </w:r>
      <w:r>
        <w:rPr>
          <w:rFonts w:ascii="Arial"/>
          <w:color w:val="131313"/>
          <w:spacing w:val="-15"/>
          <w:w w:val="105"/>
          <w:sz w:val="14"/>
        </w:rPr>
        <w:t xml:space="preserve"> </w:t>
      </w:r>
      <w:r>
        <w:rPr>
          <w:rFonts w:ascii="Arial"/>
          <w:color w:val="030303"/>
          <w:w w:val="105"/>
          <w:sz w:val="14"/>
        </w:rPr>
        <w:t>the</w:t>
      </w:r>
      <w:r>
        <w:rPr>
          <w:rFonts w:ascii="Arial"/>
          <w:color w:val="030303"/>
          <w:spacing w:val="-17"/>
          <w:w w:val="105"/>
          <w:sz w:val="14"/>
        </w:rPr>
        <w:t xml:space="preserve"> </w:t>
      </w:r>
      <w:r>
        <w:rPr>
          <w:rFonts w:ascii="Arial"/>
          <w:color w:val="131313"/>
          <w:w w:val="105"/>
          <w:sz w:val="14"/>
        </w:rPr>
        <w:t>seaward</w:t>
      </w:r>
      <w:r>
        <w:rPr>
          <w:rFonts w:ascii="Arial"/>
          <w:color w:val="131313"/>
          <w:spacing w:val="-14"/>
          <w:w w:val="105"/>
          <w:sz w:val="14"/>
        </w:rPr>
        <w:t xml:space="preserve"> </w:t>
      </w:r>
      <w:r>
        <w:rPr>
          <w:rFonts w:ascii="Arial"/>
          <w:color w:val="131313"/>
          <w:w w:val="105"/>
          <w:sz w:val="14"/>
        </w:rPr>
        <w:t>edge</w:t>
      </w:r>
      <w:r>
        <w:rPr>
          <w:rFonts w:ascii="Arial"/>
          <w:color w:val="131313"/>
          <w:spacing w:val="-16"/>
          <w:w w:val="105"/>
          <w:sz w:val="14"/>
        </w:rPr>
        <w:t xml:space="preserve"> </w:t>
      </w:r>
      <w:r>
        <w:rPr>
          <w:rFonts w:ascii="Arial"/>
          <w:color w:val="131313"/>
          <w:w w:val="105"/>
          <w:sz w:val="14"/>
        </w:rPr>
        <w:t>of</w:t>
      </w:r>
      <w:r>
        <w:rPr>
          <w:rFonts w:ascii="Arial"/>
          <w:color w:val="131313"/>
          <w:spacing w:val="-16"/>
          <w:w w:val="105"/>
          <w:sz w:val="14"/>
        </w:rPr>
        <w:t xml:space="preserve"> </w:t>
      </w:r>
      <w:r>
        <w:rPr>
          <w:rFonts w:ascii="Arial"/>
          <w:color w:val="030303"/>
          <w:w w:val="105"/>
          <w:sz w:val="14"/>
        </w:rPr>
        <w:t>the</w:t>
      </w:r>
      <w:r>
        <w:rPr>
          <w:rFonts w:ascii="Arial"/>
          <w:color w:val="030303"/>
          <w:spacing w:val="-17"/>
          <w:w w:val="105"/>
          <w:sz w:val="14"/>
        </w:rPr>
        <w:t xml:space="preserve"> </w:t>
      </w:r>
      <w:r>
        <w:rPr>
          <w:rFonts w:ascii="Arial"/>
          <w:color w:val="131313"/>
          <w:w w:val="105"/>
          <w:sz w:val="14"/>
        </w:rPr>
        <w:t>shallower</w:t>
      </w:r>
      <w:r>
        <w:rPr>
          <w:rFonts w:ascii="Arial"/>
          <w:color w:val="131313"/>
          <w:spacing w:val="-9"/>
          <w:w w:val="105"/>
          <w:sz w:val="14"/>
        </w:rPr>
        <w:t xml:space="preserve"> </w:t>
      </w:r>
      <w:r>
        <w:rPr>
          <w:rFonts w:ascii="Arial"/>
          <w:color w:val="131313"/>
          <w:w w:val="105"/>
          <w:sz w:val="14"/>
        </w:rPr>
        <w:t>reefs (and)</w:t>
      </w:r>
      <w:r>
        <w:rPr>
          <w:rFonts w:ascii="Arial"/>
          <w:color w:val="131313"/>
          <w:spacing w:val="-6"/>
          <w:w w:val="105"/>
          <w:sz w:val="14"/>
        </w:rPr>
        <w:t xml:space="preserve"> </w:t>
      </w:r>
      <w:r>
        <w:rPr>
          <w:rFonts w:ascii="Arial"/>
          <w:color w:val="131313"/>
          <w:w w:val="105"/>
          <w:sz w:val="14"/>
        </w:rPr>
        <w:t>comprises</w:t>
      </w:r>
      <w:r>
        <w:rPr>
          <w:rFonts w:ascii="Arial"/>
          <w:color w:val="131313"/>
          <w:spacing w:val="-4"/>
          <w:w w:val="105"/>
          <w:sz w:val="14"/>
        </w:rPr>
        <w:t xml:space="preserve"> </w:t>
      </w:r>
      <w:r>
        <w:rPr>
          <w:rFonts w:ascii="Arial"/>
          <w:color w:val="131313"/>
          <w:w w:val="105"/>
          <w:sz w:val="14"/>
        </w:rPr>
        <w:t>continental</w:t>
      </w:r>
      <w:r>
        <w:rPr>
          <w:rFonts w:ascii="Arial"/>
          <w:color w:val="131313"/>
          <w:spacing w:val="-6"/>
          <w:w w:val="105"/>
          <w:sz w:val="14"/>
        </w:rPr>
        <w:t xml:space="preserve"> </w:t>
      </w:r>
      <w:r>
        <w:rPr>
          <w:rFonts w:ascii="Arial"/>
          <w:color w:val="131313"/>
          <w:w w:val="105"/>
          <w:sz w:val="14"/>
        </w:rPr>
        <w:t>slope</w:t>
      </w:r>
      <w:r>
        <w:rPr>
          <w:rFonts w:ascii="Arial"/>
          <w:color w:val="131313"/>
          <w:spacing w:val="-10"/>
          <w:w w:val="105"/>
          <w:sz w:val="14"/>
        </w:rPr>
        <w:t xml:space="preserve"> </w:t>
      </w:r>
      <w:r>
        <w:rPr>
          <w:rFonts w:ascii="Arial"/>
          <w:color w:val="131313"/>
          <w:w w:val="105"/>
          <w:sz w:val="14"/>
        </w:rPr>
        <w:t>and</w:t>
      </w:r>
      <w:r>
        <w:rPr>
          <w:rFonts w:ascii="Arial"/>
          <w:color w:val="131313"/>
          <w:spacing w:val="-11"/>
          <w:w w:val="105"/>
          <w:sz w:val="14"/>
        </w:rPr>
        <w:t xml:space="preserve"> </w:t>
      </w:r>
      <w:r>
        <w:rPr>
          <w:rFonts w:ascii="Arial"/>
          <w:color w:val="131313"/>
          <w:w w:val="105"/>
          <w:sz w:val="14"/>
        </w:rPr>
        <w:t>deep</w:t>
      </w:r>
      <w:r>
        <w:rPr>
          <w:rFonts w:ascii="Arial"/>
          <w:color w:val="131313"/>
          <w:spacing w:val="-9"/>
          <w:w w:val="105"/>
          <w:sz w:val="14"/>
        </w:rPr>
        <w:t xml:space="preserve"> </w:t>
      </w:r>
      <w:r>
        <w:rPr>
          <w:rFonts w:ascii="Arial"/>
          <w:color w:val="131313"/>
          <w:w w:val="105"/>
          <w:sz w:val="14"/>
        </w:rPr>
        <w:t>oceanic waters</w:t>
      </w:r>
      <w:r>
        <w:rPr>
          <w:rFonts w:ascii="Arial"/>
          <w:color w:val="131313"/>
          <w:spacing w:val="-8"/>
          <w:w w:val="105"/>
          <w:sz w:val="14"/>
        </w:rPr>
        <w:t xml:space="preserve"> </w:t>
      </w:r>
      <w:r>
        <w:rPr>
          <w:rFonts w:ascii="Arial"/>
          <w:color w:val="131313"/>
          <w:w w:val="105"/>
          <w:sz w:val="14"/>
        </w:rPr>
        <w:t>and</w:t>
      </w:r>
      <w:r>
        <w:rPr>
          <w:rFonts w:ascii="Arial"/>
          <w:color w:val="131313"/>
          <w:spacing w:val="-12"/>
          <w:w w:val="105"/>
          <w:sz w:val="14"/>
        </w:rPr>
        <w:t xml:space="preserve"> </w:t>
      </w:r>
      <w:r>
        <w:rPr>
          <w:rFonts w:ascii="Arial"/>
          <w:color w:val="131313"/>
          <w:w w:val="105"/>
          <w:sz w:val="14"/>
        </w:rPr>
        <w:t>abyssal</w:t>
      </w:r>
      <w:r>
        <w:rPr>
          <w:rFonts w:ascii="Arial"/>
          <w:color w:val="131313"/>
          <w:spacing w:val="-5"/>
          <w:w w:val="105"/>
          <w:sz w:val="14"/>
        </w:rPr>
        <w:t xml:space="preserve"> </w:t>
      </w:r>
      <w:r>
        <w:rPr>
          <w:rFonts w:ascii="Arial"/>
          <w:color w:val="131313"/>
          <w:w w:val="105"/>
          <w:sz w:val="14"/>
        </w:rPr>
        <w:t>plains</w:t>
      </w:r>
    </w:p>
    <w:p w:rsidR="00D1511D" w:rsidRDefault="00D1511D">
      <w:pPr>
        <w:pStyle w:val="BodyText"/>
        <w:rPr>
          <w:rFonts w:ascii="Arial"/>
          <w:sz w:val="16"/>
        </w:rPr>
      </w:pPr>
    </w:p>
    <w:p w:rsidR="00D1511D" w:rsidRDefault="00D1511D">
      <w:pPr>
        <w:pStyle w:val="BodyText"/>
        <w:rPr>
          <w:rFonts w:ascii="Arial"/>
          <w:sz w:val="16"/>
        </w:rPr>
      </w:pPr>
    </w:p>
    <w:p w:rsidR="00D1511D" w:rsidRDefault="00D1511D">
      <w:pPr>
        <w:pStyle w:val="BodyText"/>
        <w:rPr>
          <w:rFonts w:ascii="Arial"/>
          <w:sz w:val="16"/>
        </w:rPr>
      </w:pPr>
    </w:p>
    <w:p w:rsidR="00D1511D" w:rsidRDefault="00D1511D">
      <w:pPr>
        <w:pStyle w:val="BodyText"/>
        <w:rPr>
          <w:rFonts w:ascii="Arial"/>
          <w:sz w:val="16"/>
        </w:rPr>
      </w:pPr>
    </w:p>
    <w:p w:rsidR="00D1511D" w:rsidRDefault="00D1511D">
      <w:pPr>
        <w:pStyle w:val="BodyText"/>
        <w:rPr>
          <w:rFonts w:ascii="Arial"/>
          <w:sz w:val="16"/>
        </w:rPr>
      </w:pPr>
    </w:p>
    <w:p w:rsidR="00D1511D" w:rsidRDefault="00D1511D">
      <w:pPr>
        <w:pStyle w:val="BodyText"/>
        <w:rPr>
          <w:rFonts w:ascii="Arial"/>
          <w:sz w:val="16"/>
        </w:rPr>
      </w:pPr>
    </w:p>
    <w:p w:rsidR="00D1511D" w:rsidRDefault="00D1511D">
      <w:pPr>
        <w:pStyle w:val="BodyText"/>
        <w:rPr>
          <w:rFonts w:ascii="Arial"/>
          <w:sz w:val="16"/>
        </w:rPr>
      </w:pPr>
    </w:p>
    <w:p w:rsidR="00D1511D" w:rsidRDefault="00D1511D">
      <w:pPr>
        <w:pStyle w:val="BodyText"/>
        <w:rPr>
          <w:rFonts w:ascii="Arial"/>
          <w:sz w:val="16"/>
        </w:rPr>
      </w:pPr>
    </w:p>
    <w:p w:rsidR="00D1511D" w:rsidRDefault="003F0CB3">
      <w:pPr>
        <w:pStyle w:val="ListParagraph"/>
        <w:numPr>
          <w:ilvl w:val="0"/>
          <w:numId w:val="2"/>
        </w:numPr>
        <w:tabs>
          <w:tab w:val="left" w:pos="827"/>
        </w:tabs>
        <w:spacing w:before="106" w:line="249" w:lineRule="auto"/>
        <w:ind w:left="828" w:right="549" w:hanging="355"/>
        <w:rPr>
          <w:rFonts w:ascii="Arial"/>
          <w:sz w:val="14"/>
        </w:rPr>
      </w:pPr>
      <w:r>
        <w:rPr>
          <w:rFonts w:ascii="Arial"/>
          <w:color w:val="131313"/>
          <w:sz w:val="14"/>
        </w:rPr>
        <w:t xml:space="preserve">Significant diversity of reef and island </w:t>
      </w:r>
      <w:r>
        <w:rPr>
          <w:rFonts w:ascii="Arial"/>
          <w:b/>
          <w:color w:val="030303"/>
          <w:sz w:val="14"/>
        </w:rPr>
        <w:t xml:space="preserve">morphologies </w:t>
      </w:r>
      <w:r>
        <w:rPr>
          <w:rFonts w:ascii="Arial"/>
          <w:color w:val="131313"/>
          <w:sz w:val="14"/>
        </w:rPr>
        <w:t xml:space="preserve">reflects ongoing </w:t>
      </w:r>
      <w:proofErr w:type="gramStart"/>
      <w:r>
        <w:rPr>
          <w:rFonts w:ascii="Arial"/>
          <w:color w:val="131313"/>
          <w:sz w:val="14"/>
        </w:rPr>
        <w:t xml:space="preserve">geomorphic </w:t>
      </w:r>
      <w:r>
        <w:rPr>
          <w:rFonts w:ascii="Arial"/>
          <w:color w:val="363636"/>
          <w:sz w:val="14"/>
        </w:rPr>
        <w:t>,</w:t>
      </w:r>
      <w:proofErr w:type="gramEnd"/>
      <w:r>
        <w:rPr>
          <w:rFonts w:ascii="Arial"/>
          <w:color w:val="131313"/>
          <w:sz w:val="14"/>
        </w:rPr>
        <w:t xml:space="preserve"> oceanographic and environmental</w:t>
      </w:r>
      <w:r>
        <w:rPr>
          <w:rFonts w:ascii="Arial"/>
          <w:color w:val="131313"/>
          <w:spacing w:val="-13"/>
          <w:sz w:val="14"/>
        </w:rPr>
        <w:t xml:space="preserve"> </w:t>
      </w:r>
      <w:r>
        <w:rPr>
          <w:rFonts w:ascii="Arial"/>
          <w:color w:val="030303"/>
          <w:sz w:val="14"/>
        </w:rPr>
        <w:t>processes</w:t>
      </w:r>
    </w:p>
    <w:p w:rsidR="00D1511D" w:rsidRDefault="003F0CB3">
      <w:pPr>
        <w:spacing w:before="54" w:line="254" w:lineRule="auto"/>
        <w:ind w:left="827" w:right="213" w:hanging="354"/>
        <w:rPr>
          <w:rFonts w:ascii="Arial"/>
          <w:sz w:val="14"/>
        </w:rPr>
      </w:pPr>
      <w:r>
        <w:rPr>
          <w:rFonts w:ascii="Arial"/>
          <w:color w:val="131313"/>
          <w:sz w:val="14"/>
        </w:rPr>
        <w:t xml:space="preserve">(25) </w:t>
      </w:r>
      <w:r>
        <w:rPr>
          <w:rFonts w:ascii="Arial"/>
          <w:color w:val="030303"/>
          <w:sz w:val="14"/>
        </w:rPr>
        <w:t xml:space="preserve">Biologically the unique </w:t>
      </w:r>
      <w:r>
        <w:rPr>
          <w:rFonts w:ascii="Arial"/>
          <w:color w:val="131313"/>
          <w:sz w:val="14"/>
        </w:rPr>
        <w:t xml:space="preserve">diversity of </w:t>
      </w:r>
      <w:r>
        <w:rPr>
          <w:rFonts w:ascii="Arial"/>
          <w:color w:val="030303"/>
          <w:sz w:val="14"/>
        </w:rPr>
        <w:t xml:space="preserve">the </w:t>
      </w:r>
      <w:r>
        <w:rPr>
          <w:rFonts w:ascii="Arial"/>
          <w:color w:val="131313"/>
          <w:sz w:val="14"/>
        </w:rPr>
        <w:t xml:space="preserve">Great </w:t>
      </w:r>
      <w:r>
        <w:rPr>
          <w:rFonts w:ascii="Arial"/>
          <w:color w:val="030303"/>
          <w:sz w:val="14"/>
        </w:rPr>
        <w:t>Barrier Reef refle</w:t>
      </w:r>
      <w:r>
        <w:rPr>
          <w:rFonts w:ascii="Arial"/>
          <w:color w:val="363636"/>
          <w:sz w:val="14"/>
        </w:rPr>
        <w:t>c</w:t>
      </w:r>
      <w:r>
        <w:rPr>
          <w:rFonts w:ascii="Arial"/>
          <w:color w:val="030303"/>
          <w:sz w:val="14"/>
        </w:rPr>
        <w:t xml:space="preserve">ts the maturity </w:t>
      </w:r>
      <w:r>
        <w:rPr>
          <w:rFonts w:ascii="Arial"/>
          <w:color w:val="131313"/>
          <w:sz w:val="14"/>
        </w:rPr>
        <w:t xml:space="preserve">of an ecosystem </w:t>
      </w:r>
      <w:r>
        <w:rPr>
          <w:rFonts w:ascii="Arial"/>
          <w:color w:val="030303"/>
          <w:sz w:val="14"/>
        </w:rPr>
        <w:t xml:space="preserve">that </w:t>
      </w:r>
      <w:r>
        <w:rPr>
          <w:rFonts w:ascii="Arial"/>
          <w:color w:val="131313"/>
          <w:sz w:val="14"/>
        </w:rPr>
        <w:t xml:space="preserve">has </w:t>
      </w:r>
      <w:r>
        <w:rPr>
          <w:rFonts w:ascii="Arial"/>
          <w:b/>
          <w:color w:val="030303"/>
          <w:sz w:val="14"/>
        </w:rPr>
        <w:t xml:space="preserve">evolved over </w:t>
      </w:r>
      <w:r>
        <w:rPr>
          <w:rFonts w:ascii="Arial"/>
          <w:color w:val="131313"/>
          <w:sz w:val="14"/>
        </w:rPr>
        <w:t>millennia</w:t>
      </w:r>
      <w:r>
        <w:rPr>
          <w:rFonts w:ascii="Arial"/>
          <w:color w:val="363636"/>
          <w:sz w:val="14"/>
        </w:rPr>
        <w:t xml:space="preserve">; </w:t>
      </w:r>
      <w:r>
        <w:rPr>
          <w:rFonts w:ascii="Arial"/>
          <w:color w:val="131313"/>
          <w:sz w:val="14"/>
        </w:rPr>
        <w:t>e</w:t>
      </w:r>
      <w:r>
        <w:rPr>
          <w:rFonts w:ascii="Arial"/>
          <w:color w:val="363636"/>
          <w:sz w:val="14"/>
        </w:rPr>
        <w:t>v</w:t>
      </w:r>
      <w:r>
        <w:rPr>
          <w:rFonts w:ascii="Arial"/>
          <w:color w:val="131313"/>
          <w:sz w:val="14"/>
        </w:rPr>
        <w:t xml:space="preserve">idence exists for </w:t>
      </w:r>
      <w:r>
        <w:rPr>
          <w:rFonts w:ascii="Arial"/>
          <w:color w:val="030303"/>
          <w:sz w:val="14"/>
        </w:rPr>
        <w:t xml:space="preserve">the </w:t>
      </w:r>
      <w:r>
        <w:rPr>
          <w:rFonts w:ascii="Arial"/>
          <w:color w:val="131313"/>
          <w:sz w:val="14"/>
        </w:rPr>
        <w:t xml:space="preserve">evolution of hard corals and other </w:t>
      </w:r>
      <w:r>
        <w:rPr>
          <w:rFonts w:ascii="Arial"/>
          <w:color w:val="030303"/>
          <w:sz w:val="14"/>
        </w:rPr>
        <w:t>fauna</w:t>
      </w:r>
    </w:p>
    <w:p w:rsidR="00D1511D" w:rsidRDefault="00D1511D">
      <w:pPr>
        <w:pStyle w:val="BodyText"/>
        <w:rPr>
          <w:rFonts w:ascii="Arial"/>
          <w:sz w:val="16"/>
        </w:rPr>
      </w:pPr>
    </w:p>
    <w:p w:rsidR="00D1511D" w:rsidRDefault="003F0CB3">
      <w:pPr>
        <w:pStyle w:val="ListParagraph"/>
        <w:numPr>
          <w:ilvl w:val="0"/>
          <w:numId w:val="25"/>
        </w:numPr>
        <w:tabs>
          <w:tab w:val="left" w:pos="831"/>
        </w:tabs>
        <w:spacing w:before="131"/>
        <w:rPr>
          <w:rFonts w:ascii="Arial"/>
          <w:sz w:val="14"/>
        </w:rPr>
      </w:pPr>
      <w:r>
        <w:rPr>
          <w:rFonts w:ascii="Arial"/>
          <w:color w:val="131313"/>
          <w:w w:val="105"/>
          <w:sz w:val="14"/>
        </w:rPr>
        <w:t>Complex</w:t>
      </w:r>
      <w:r>
        <w:rPr>
          <w:rFonts w:ascii="Arial"/>
          <w:color w:val="131313"/>
          <w:spacing w:val="-1"/>
          <w:w w:val="105"/>
          <w:sz w:val="14"/>
        </w:rPr>
        <w:t xml:space="preserve"> </w:t>
      </w:r>
      <w:r>
        <w:rPr>
          <w:rFonts w:ascii="Arial"/>
          <w:color w:val="131313"/>
          <w:w w:val="105"/>
          <w:sz w:val="14"/>
        </w:rPr>
        <w:t>cross-shelf,</w:t>
      </w:r>
      <w:r>
        <w:rPr>
          <w:rFonts w:ascii="Arial"/>
          <w:color w:val="131313"/>
          <w:spacing w:val="-6"/>
          <w:w w:val="105"/>
          <w:sz w:val="14"/>
        </w:rPr>
        <w:t xml:space="preserve"> </w:t>
      </w:r>
      <w:r>
        <w:rPr>
          <w:rFonts w:ascii="Arial"/>
          <w:color w:val="030303"/>
          <w:w w:val="105"/>
          <w:sz w:val="14"/>
        </w:rPr>
        <w:t>longshore</w:t>
      </w:r>
      <w:r>
        <w:rPr>
          <w:rFonts w:ascii="Arial"/>
          <w:color w:val="030303"/>
          <w:spacing w:val="-4"/>
          <w:w w:val="105"/>
          <w:sz w:val="14"/>
        </w:rPr>
        <w:t xml:space="preserve"> </w:t>
      </w:r>
      <w:r>
        <w:rPr>
          <w:rFonts w:ascii="Arial"/>
          <w:color w:val="131313"/>
          <w:w w:val="105"/>
          <w:sz w:val="14"/>
        </w:rPr>
        <w:t>and</w:t>
      </w:r>
      <w:r>
        <w:rPr>
          <w:rFonts w:ascii="Arial"/>
          <w:color w:val="131313"/>
          <w:spacing w:val="-8"/>
          <w:w w:val="105"/>
          <w:sz w:val="14"/>
        </w:rPr>
        <w:t xml:space="preserve"> </w:t>
      </w:r>
      <w:r>
        <w:rPr>
          <w:rFonts w:ascii="Arial"/>
          <w:color w:val="131313"/>
          <w:w w:val="105"/>
          <w:sz w:val="14"/>
        </w:rPr>
        <w:t>vertical</w:t>
      </w:r>
      <w:r>
        <w:rPr>
          <w:rFonts w:ascii="Arial"/>
          <w:color w:val="131313"/>
          <w:spacing w:val="-2"/>
          <w:w w:val="105"/>
          <w:sz w:val="14"/>
        </w:rPr>
        <w:t xml:space="preserve"> </w:t>
      </w:r>
      <w:r>
        <w:rPr>
          <w:rFonts w:ascii="Arial"/>
          <w:color w:val="131313"/>
          <w:w w:val="105"/>
          <w:sz w:val="14"/>
        </w:rPr>
        <w:t>connectivity</w:t>
      </w:r>
      <w:r>
        <w:rPr>
          <w:rFonts w:ascii="Arial"/>
          <w:color w:val="131313"/>
          <w:spacing w:val="-4"/>
          <w:w w:val="105"/>
          <w:sz w:val="14"/>
        </w:rPr>
        <w:t xml:space="preserve"> </w:t>
      </w:r>
      <w:r>
        <w:rPr>
          <w:rFonts w:ascii="Arial"/>
          <w:color w:val="030303"/>
          <w:w w:val="105"/>
          <w:sz w:val="14"/>
        </w:rPr>
        <w:t>is</w:t>
      </w:r>
      <w:r>
        <w:rPr>
          <w:rFonts w:ascii="Arial"/>
          <w:color w:val="030303"/>
          <w:spacing w:val="-14"/>
          <w:w w:val="105"/>
          <w:sz w:val="14"/>
        </w:rPr>
        <w:t xml:space="preserve"> </w:t>
      </w:r>
      <w:r>
        <w:rPr>
          <w:rFonts w:ascii="Arial"/>
          <w:color w:val="030303"/>
          <w:w w:val="105"/>
          <w:sz w:val="14"/>
        </w:rPr>
        <w:t>influenced</w:t>
      </w:r>
      <w:r>
        <w:rPr>
          <w:rFonts w:ascii="Arial"/>
          <w:color w:val="030303"/>
          <w:spacing w:val="-1"/>
          <w:w w:val="105"/>
          <w:sz w:val="14"/>
        </w:rPr>
        <w:t xml:space="preserve"> </w:t>
      </w:r>
      <w:r>
        <w:rPr>
          <w:rFonts w:ascii="Arial"/>
          <w:color w:val="131313"/>
          <w:w w:val="105"/>
          <w:sz w:val="14"/>
        </w:rPr>
        <w:t>by</w:t>
      </w:r>
      <w:r>
        <w:rPr>
          <w:rFonts w:ascii="Arial"/>
          <w:color w:val="131313"/>
          <w:spacing w:val="-9"/>
          <w:w w:val="105"/>
          <w:sz w:val="14"/>
        </w:rPr>
        <w:t xml:space="preserve"> </w:t>
      </w:r>
      <w:r>
        <w:rPr>
          <w:rFonts w:ascii="Arial"/>
          <w:color w:val="131313"/>
          <w:w w:val="105"/>
          <w:sz w:val="14"/>
        </w:rPr>
        <w:t>dynamic</w:t>
      </w:r>
    </w:p>
    <w:p w:rsidR="00D1511D" w:rsidRDefault="003F0CB3">
      <w:pPr>
        <w:spacing w:before="12"/>
        <w:ind w:left="827"/>
        <w:rPr>
          <w:rFonts w:ascii="Arial"/>
          <w:b/>
          <w:sz w:val="14"/>
        </w:rPr>
      </w:pPr>
      <w:r>
        <w:rPr>
          <w:rFonts w:ascii="Arial"/>
          <w:b/>
          <w:color w:val="030303"/>
          <w:sz w:val="14"/>
        </w:rPr>
        <w:t>oceanic currents</w:t>
      </w:r>
    </w:p>
    <w:p w:rsidR="00D1511D" w:rsidRDefault="00D1511D">
      <w:pPr>
        <w:pStyle w:val="BodyText"/>
        <w:rPr>
          <w:rFonts w:ascii="Arial"/>
          <w:b/>
          <w:sz w:val="16"/>
        </w:rPr>
      </w:pPr>
    </w:p>
    <w:p w:rsidR="00D1511D" w:rsidRDefault="00D1511D">
      <w:pPr>
        <w:pStyle w:val="BodyText"/>
        <w:rPr>
          <w:rFonts w:ascii="Arial"/>
          <w:b/>
          <w:sz w:val="16"/>
        </w:rPr>
      </w:pPr>
    </w:p>
    <w:p w:rsidR="00D1511D" w:rsidRDefault="00D1511D">
      <w:pPr>
        <w:pStyle w:val="BodyText"/>
        <w:rPr>
          <w:rFonts w:ascii="Arial"/>
          <w:b/>
          <w:sz w:val="16"/>
        </w:rPr>
      </w:pPr>
    </w:p>
    <w:p w:rsidR="00D1511D" w:rsidRDefault="003F0CB3">
      <w:pPr>
        <w:pStyle w:val="ListParagraph"/>
        <w:numPr>
          <w:ilvl w:val="0"/>
          <w:numId w:val="25"/>
        </w:numPr>
        <w:tabs>
          <w:tab w:val="left" w:pos="827"/>
        </w:tabs>
        <w:spacing w:before="137"/>
        <w:ind w:left="826" w:hanging="354"/>
        <w:rPr>
          <w:rFonts w:ascii="Arial"/>
          <w:b/>
          <w:sz w:val="14"/>
        </w:rPr>
      </w:pPr>
      <w:r>
        <w:rPr>
          <w:rFonts w:ascii="Arial"/>
          <w:color w:val="131313"/>
          <w:sz w:val="14"/>
        </w:rPr>
        <w:t xml:space="preserve">Ongoing ecological </w:t>
      </w:r>
      <w:r>
        <w:rPr>
          <w:rFonts w:ascii="Arial"/>
          <w:color w:val="030303"/>
          <w:sz w:val="14"/>
        </w:rPr>
        <w:t>processes</w:t>
      </w:r>
      <w:r>
        <w:rPr>
          <w:rFonts w:ascii="Arial"/>
          <w:color w:val="363636"/>
          <w:sz w:val="14"/>
        </w:rPr>
        <w:t xml:space="preserve">, </w:t>
      </w:r>
      <w:r>
        <w:rPr>
          <w:rFonts w:ascii="Arial"/>
          <w:color w:val="131313"/>
          <w:sz w:val="14"/>
        </w:rPr>
        <w:t xml:space="preserve">such as </w:t>
      </w:r>
      <w:r>
        <w:rPr>
          <w:rFonts w:ascii="Arial"/>
          <w:b/>
          <w:color w:val="030303"/>
          <w:sz w:val="14"/>
        </w:rPr>
        <w:t>upwellings, larval dispersal and</w:t>
      </w:r>
      <w:r>
        <w:rPr>
          <w:rFonts w:ascii="Arial"/>
          <w:b/>
          <w:color w:val="030303"/>
          <w:spacing w:val="8"/>
          <w:sz w:val="14"/>
        </w:rPr>
        <w:t xml:space="preserve"> </w:t>
      </w:r>
      <w:r>
        <w:rPr>
          <w:rFonts w:ascii="Arial"/>
          <w:b/>
          <w:color w:val="030303"/>
          <w:sz w:val="14"/>
        </w:rPr>
        <w:t>migration</w:t>
      </w:r>
    </w:p>
    <w:p w:rsidR="00D1511D" w:rsidRDefault="00D1511D">
      <w:pPr>
        <w:pStyle w:val="BodyText"/>
        <w:rPr>
          <w:rFonts w:ascii="Arial"/>
          <w:b/>
          <w:sz w:val="16"/>
        </w:rPr>
      </w:pPr>
    </w:p>
    <w:p w:rsidR="00D1511D" w:rsidRDefault="00D1511D">
      <w:pPr>
        <w:pStyle w:val="BodyText"/>
        <w:rPr>
          <w:rFonts w:ascii="Arial"/>
          <w:b/>
          <w:sz w:val="16"/>
        </w:rPr>
      </w:pPr>
    </w:p>
    <w:p w:rsidR="00D1511D" w:rsidRDefault="00D1511D">
      <w:pPr>
        <w:pStyle w:val="BodyText"/>
        <w:rPr>
          <w:rFonts w:ascii="Arial"/>
          <w:b/>
          <w:sz w:val="16"/>
        </w:rPr>
      </w:pPr>
    </w:p>
    <w:p w:rsidR="00D1511D" w:rsidRDefault="00D1511D">
      <w:pPr>
        <w:pStyle w:val="BodyText"/>
        <w:rPr>
          <w:rFonts w:ascii="Arial"/>
          <w:b/>
          <w:sz w:val="16"/>
        </w:rPr>
      </w:pPr>
    </w:p>
    <w:p w:rsidR="00D1511D" w:rsidRDefault="003F0CB3">
      <w:pPr>
        <w:pStyle w:val="ListParagraph"/>
        <w:numPr>
          <w:ilvl w:val="0"/>
          <w:numId w:val="25"/>
        </w:numPr>
        <w:tabs>
          <w:tab w:val="left" w:pos="827"/>
        </w:tabs>
        <w:spacing w:before="113" w:line="256" w:lineRule="auto"/>
        <w:ind w:left="828" w:right="197" w:hanging="356"/>
        <w:rPr>
          <w:rFonts w:ascii="Arial"/>
          <w:sz w:val="14"/>
        </w:rPr>
      </w:pPr>
      <w:r>
        <w:rPr>
          <w:rFonts w:ascii="Arial"/>
          <w:color w:val="131313"/>
          <w:w w:val="105"/>
          <w:sz w:val="14"/>
        </w:rPr>
        <w:t>Ongoing</w:t>
      </w:r>
      <w:r>
        <w:rPr>
          <w:rFonts w:ascii="Arial"/>
          <w:color w:val="131313"/>
          <w:spacing w:val="-8"/>
          <w:w w:val="105"/>
          <w:sz w:val="14"/>
        </w:rPr>
        <w:t xml:space="preserve"> </w:t>
      </w:r>
      <w:r>
        <w:rPr>
          <w:rFonts w:ascii="Arial"/>
          <w:b/>
          <w:color w:val="030303"/>
          <w:w w:val="105"/>
          <w:sz w:val="14"/>
        </w:rPr>
        <w:t>erosion</w:t>
      </w:r>
      <w:r>
        <w:rPr>
          <w:rFonts w:ascii="Arial"/>
          <w:b/>
          <w:color w:val="030303"/>
          <w:spacing w:val="-14"/>
          <w:w w:val="105"/>
          <w:sz w:val="14"/>
        </w:rPr>
        <w:t xml:space="preserve"> </w:t>
      </w:r>
      <w:r>
        <w:rPr>
          <w:rFonts w:ascii="Arial"/>
          <w:b/>
          <w:color w:val="030303"/>
          <w:w w:val="105"/>
          <w:sz w:val="14"/>
        </w:rPr>
        <w:t>and</w:t>
      </w:r>
      <w:r>
        <w:rPr>
          <w:rFonts w:ascii="Arial"/>
          <w:b/>
          <w:color w:val="030303"/>
          <w:spacing w:val="-11"/>
          <w:w w:val="105"/>
          <w:sz w:val="14"/>
        </w:rPr>
        <w:t xml:space="preserve"> </w:t>
      </w:r>
      <w:r>
        <w:rPr>
          <w:rFonts w:ascii="Arial"/>
          <w:b/>
          <w:color w:val="030303"/>
          <w:w w:val="105"/>
          <w:sz w:val="14"/>
        </w:rPr>
        <w:t>accretion</w:t>
      </w:r>
      <w:r>
        <w:rPr>
          <w:rFonts w:ascii="Arial"/>
          <w:b/>
          <w:color w:val="030303"/>
          <w:spacing w:val="-5"/>
          <w:w w:val="105"/>
          <w:sz w:val="14"/>
        </w:rPr>
        <w:t xml:space="preserve"> </w:t>
      </w:r>
      <w:r>
        <w:rPr>
          <w:rFonts w:ascii="Arial"/>
          <w:color w:val="131313"/>
          <w:w w:val="105"/>
          <w:sz w:val="14"/>
        </w:rPr>
        <w:t>of</w:t>
      </w:r>
      <w:r>
        <w:rPr>
          <w:rFonts w:ascii="Arial"/>
          <w:color w:val="131313"/>
          <w:spacing w:val="-11"/>
          <w:w w:val="105"/>
          <w:sz w:val="14"/>
        </w:rPr>
        <w:t xml:space="preserve"> </w:t>
      </w:r>
      <w:r>
        <w:rPr>
          <w:rFonts w:ascii="Arial"/>
          <w:color w:val="131313"/>
          <w:w w:val="105"/>
          <w:sz w:val="14"/>
        </w:rPr>
        <w:t>coral</w:t>
      </w:r>
      <w:r>
        <w:rPr>
          <w:rFonts w:ascii="Arial"/>
          <w:color w:val="131313"/>
          <w:spacing w:val="-12"/>
          <w:w w:val="105"/>
          <w:sz w:val="14"/>
        </w:rPr>
        <w:t xml:space="preserve"> </w:t>
      </w:r>
      <w:r>
        <w:rPr>
          <w:rFonts w:ascii="Arial"/>
          <w:color w:val="131313"/>
          <w:spacing w:val="-4"/>
          <w:w w:val="105"/>
          <w:sz w:val="14"/>
        </w:rPr>
        <w:t>reefs</w:t>
      </w:r>
      <w:r>
        <w:rPr>
          <w:rFonts w:ascii="Arial"/>
          <w:color w:val="363636"/>
          <w:spacing w:val="-4"/>
          <w:w w:val="105"/>
          <w:sz w:val="14"/>
        </w:rPr>
        <w:t>,</w:t>
      </w:r>
      <w:r>
        <w:rPr>
          <w:rFonts w:ascii="Arial"/>
          <w:color w:val="363636"/>
          <w:spacing w:val="-13"/>
          <w:w w:val="105"/>
          <w:sz w:val="14"/>
        </w:rPr>
        <w:t xml:space="preserve"> </w:t>
      </w:r>
      <w:r>
        <w:rPr>
          <w:rFonts w:ascii="Arial"/>
          <w:color w:val="131313"/>
          <w:w w:val="105"/>
          <w:sz w:val="14"/>
        </w:rPr>
        <w:t>sand</w:t>
      </w:r>
      <w:r>
        <w:rPr>
          <w:rFonts w:ascii="Arial"/>
          <w:color w:val="131313"/>
          <w:spacing w:val="-13"/>
          <w:w w:val="105"/>
          <w:sz w:val="14"/>
        </w:rPr>
        <w:t xml:space="preserve"> </w:t>
      </w:r>
      <w:r>
        <w:rPr>
          <w:rFonts w:ascii="Arial"/>
          <w:color w:val="131313"/>
          <w:w w:val="105"/>
          <w:sz w:val="14"/>
        </w:rPr>
        <w:t>banks</w:t>
      </w:r>
      <w:r>
        <w:rPr>
          <w:rFonts w:ascii="Arial"/>
          <w:color w:val="131313"/>
          <w:spacing w:val="-10"/>
          <w:w w:val="105"/>
          <w:sz w:val="14"/>
        </w:rPr>
        <w:t xml:space="preserve"> </w:t>
      </w:r>
      <w:r>
        <w:rPr>
          <w:rFonts w:ascii="Arial"/>
          <w:color w:val="131313"/>
          <w:w w:val="105"/>
          <w:sz w:val="14"/>
        </w:rPr>
        <w:t>and</w:t>
      </w:r>
      <w:r>
        <w:rPr>
          <w:rFonts w:ascii="Arial"/>
          <w:color w:val="131313"/>
          <w:spacing w:val="-15"/>
          <w:w w:val="105"/>
          <w:sz w:val="14"/>
        </w:rPr>
        <w:t xml:space="preserve"> </w:t>
      </w:r>
      <w:r>
        <w:rPr>
          <w:rFonts w:ascii="Arial"/>
          <w:color w:val="131313"/>
          <w:w w:val="105"/>
          <w:sz w:val="14"/>
        </w:rPr>
        <w:t>coral</w:t>
      </w:r>
      <w:r>
        <w:rPr>
          <w:rFonts w:ascii="Arial"/>
          <w:color w:val="131313"/>
          <w:spacing w:val="-12"/>
          <w:w w:val="105"/>
          <w:sz w:val="14"/>
        </w:rPr>
        <w:t xml:space="preserve"> </w:t>
      </w:r>
      <w:r>
        <w:rPr>
          <w:rFonts w:ascii="Arial"/>
          <w:color w:val="131313"/>
          <w:w w:val="105"/>
          <w:sz w:val="14"/>
        </w:rPr>
        <w:t>cays</w:t>
      </w:r>
      <w:r>
        <w:rPr>
          <w:rFonts w:ascii="Arial"/>
          <w:color w:val="131313"/>
          <w:spacing w:val="-14"/>
          <w:w w:val="105"/>
          <w:sz w:val="14"/>
        </w:rPr>
        <w:t xml:space="preserve"> </w:t>
      </w:r>
      <w:r>
        <w:rPr>
          <w:rFonts w:ascii="Arial"/>
          <w:color w:val="131313"/>
          <w:w w:val="105"/>
          <w:sz w:val="14"/>
        </w:rPr>
        <w:t>combine</w:t>
      </w:r>
      <w:r>
        <w:rPr>
          <w:rFonts w:ascii="Arial"/>
          <w:color w:val="131313"/>
          <w:spacing w:val="-10"/>
          <w:w w:val="105"/>
          <w:sz w:val="14"/>
        </w:rPr>
        <w:t xml:space="preserve"> </w:t>
      </w:r>
      <w:r>
        <w:rPr>
          <w:rFonts w:ascii="Arial"/>
          <w:color w:val="363636"/>
          <w:w w:val="105"/>
          <w:sz w:val="14"/>
        </w:rPr>
        <w:t>w</w:t>
      </w:r>
      <w:r>
        <w:rPr>
          <w:rFonts w:ascii="Arial"/>
          <w:color w:val="131313"/>
          <w:w w:val="105"/>
          <w:sz w:val="14"/>
        </w:rPr>
        <w:t xml:space="preserve">ith similar processes along </w:t>
      </w:r>
      <w:r>
        <w:rPr>
          <w:rFonts w:ascii="Arial"/>
          <w:color w:val="030303"/>
          <w:w w:val="105"/>
          <w:sz w:val="14"/>
        </w:rPr>
        <w:t xml:space="preserve">the </w:t>
      </w:r>
      <w:r>
        <w:rPr>
          <w:rFonts w:ascii="Arial"/>
          <w:color w:val="131313"/>
          <w:w w:val="105"/>
          <w:sz w:val="14"/>
        </w:rPr>
        <w:t>coast and around continental</w:t>
      </w:r>
      <w:r>
        <w:rPr>
          <w:rFonts w:ascii="Arial"/>
          <w:color w:val="131313"/>
          <w:spacing w:val="-21"/>
          <w:w w:val="105"/>
          <w:sz w:val="14"/>
        </w:rPr>
        <w:t xml:space="preserve"> </w:t>
      </w:r>
      <w:r>
        <w:rPr>
          <w:rFonts w:ascii="Arial"/>
          <w:color w:val="030303"/>
          <w:w w:val="105"/>
          <w:sz w:val="14"/>
        </w:rPr>
        <w:t>islands</w:t>
      </w:r>
    </w:p>
    <w:p w:rsidR="00D1511D" w:rsidRDefault="00D1511D">
      <w:pPr>
        <w:pStyle w:val="BodyText"/>
        <w:rPr>
          <w:rFonts w:ascii="Arial"/>
          <w:sz w:val="16"/>
        </w:rPr>
      </w:pPr>
    </w:p>
    <w:p w:rsidR="00D1511D" w:rsidRDefault="00D1511D">
      <w:pPr>
        <w:pStyle w:val="BodyText"/>
        <w:rPr>
          <w:rFonts w:ascii="Arial"/>
          <w:sz w:val="15"/>
        </w:rPr>
      </w:pPr>
    </w:p>
    <w:p w:rsidR="00D1511D" w:rsidRDefault="003F0CB3">
      <w:pPr>
        <w:pStyle w:val="ListParagraph"/>
        <w:numPr>
          <w:ilvl w:val="0"/>
          <w:numId w:val="25"/>
        </w:numPr>
        <w:tabs>
          <w:tab w:val="left" w:pos="827"/>
        </w:tabs>
        <w:spacing w:line="256" w:lineRule="auto"/>
        <w:ind w:right="509"/>
        <w:rPr>
          <w:rFonts w:ascii="Arial"/>
          <w:sz w:val="14"/>
        </w:rPr>
      </w:pPr>
      <w:r>
        <w:rPr>
          <w:rFonts w:ascii="Arial"/>
          <w:color w:val="030303"/>
          <w:sz w:val="14"/>
        </w:rPr>
        <w:t xml:space="preserve">Extensive </w:t>
      </w:r>
      <w:r>
        <w:rPr>
          <w:rFonts w:ascii="Arial"/>
          <w:color w:val="131313"/>
          <w:sz w:val="14"/>
        </w:rPr>
        <w:t xml:space="preserve">beds of </w:t>
      </w:r>
      <w:proofErr w:type="spellStart"/>
      <w:r>
        <w:rPr>
          <w:rFonts w:ascii="Arial-BoldItalicMT"/>
          <w:b/>
          <w:i/>
          <w:color w:val="030303"/>
          <w:sz w:val="14"/>
        </w:rPr>
        <w:t>Halimeda</w:t>
      </w:r>
      <w:proofErr w:type="spellEnd"/>
      <w:r>
        <w:rPr>
          <w:rFonts w:ascii="Arial-BoldItalicMT"/>
          <w:b/>
          <w:i/>
          <w:color w:val="030303"/>
          <w:sz w:val="14"/>
        </w:rPr>
        <w:t xml:space="preserve"> </w:t>
      </w:r>
      <w:r>
        <w:rPr>
          <w:rFonts w:ascii="Arial"/>
          <w:b/>
          <w:color w:val="030303"/>
          <w:sz w:val="14"/>
        </w:rPr>
        <w:t xml:space="preserve">algae </w:t>
      </w:r>
      <w:r>
        <w:rPr>
          <w:rFonts w:ascii="Arial"/>
          <w:color w:val="131313"/>
          <w:sz w:val="14"/>
        </w:rPr>
        <w:t>represent active calcification and accretion over thousands of</w:t>
      </w:r>
      <w:r>
        <w:rPr>
          <w:rFonts w:ascii="Arial"/>
          <w:color w:val="131313"/>
          <w:spacing w:val="5"/>
          <w:sz w:val="14"/>
        </w:rPr>
        <w:t xml:space="preserve"> </w:t>
      </w:r>
      <w:r>
        <w:rPr>
          <w:rFonts w:ascii="Arial"/>
          <w:color w:val="131313"/>
          <w:sz w:val="14"/>
        </w:rPr>
        <w:t>years</w:t>
      </w:r>
    </w:p>
    <w:p w:rsidR="00D1511D" w:rsidRDefault="00D1511D">
      <w:pPr>
        <w:pStyle w:val="BodyText"/>
        <w:spacing w:before="11"/>
        <w:rPr>
          <w:rFonts w:ascii="Arial"/>
          <w:sz w:val="23"/>
        </w:rPr>
      </w:pPr>
    </w:p>
    <w:p w:rsidR="00D1511D" w:rsidRDefault="003F0CB3">
      <w:pPr>
        <w:spacing w:line="256" w:lineRule="auto"/>
        <w:ind w:left="828" w:right="213" w:hanging="356"/>
        <w:rPr>
          <w:rFonts w:ascii="Arial"/>
          <w:sz w:val="14"/>
        </w:rPr>
      </w:pPr>
      <w:r>
        <w:rPr>
          <w:rFonts w:ascii="Arial"/>
          <w:color w:val="131313"/>
          <w:w w:val="105"/>
          <w:sz w:val="14"/>
        </w:rPr>
        <w:t>(26)</w:t>
      </w:r>
      <w:r>
        <w:rPr>
          <w:rFonts w:ascii="Arial"/>
          <w:color w:val="131313"/>
          <w:spacing w:val="5"/>
          <w:w w:val="105"/>
          <w:sz w:val="14"/>
        </w:rPr>
        <w:t xml:space="preserve"> </w:t>
      </w:r>
      <w:r>
        <w:rPr>
          <w:rFonts w:ascii="Arial"/>
          <w:color w:val="131313"/>
          <w:w w:val="105"/>
          <w:sz w:val="14"/>
        </w:rPr>
        <w:t>Vegetation</w:t>
      </w:r>
      <w:r>
        <w:rPr>
          <w:rFonts w:ascii="Arial"/>
          <w:color w:val="131313"/>
          <w:spacing w:val="-11"/>
          <w:w w:val="105"/>
          <w:sz w:val="14"/>
        </w:rPr>
        <w:t xml:space="preserve"> </w:t>
      </w:r>
      <w:r>
        <w:rPr>
          <w:rFonts w:ascii="Arial"/>
          <w:color w:val="131313"/>
          <w:w w:val="105"/>
          <w:sz w:val="14"/>
        </w:rPr>
        <w:t>on</w:t>
      </w:r>
      <w:r>
        <w:rPr>
          <w:rFonts w:ascii="Arial"/>
          <w:color w:val="131313"/>
          <w:spacing w:val="-19"/>
          <w:w w:val="105"/>
          <w:sz w:val="14"/>
        </w:rPr>
        <w:t xml:space="preserve"> </w:t>
      </w:r>
      <w:r>
        <w:rPr>
          <w:rFonts w:ascii="Arial"/>
          <w:color w:val="030303"/>
          <w:w w:val="105"/>
          <w:sz w:val="14"/>
        </w:rPr>
        <w:t>the</w:t>
      </w:r>
      <w:r>
        <w:rPr>
          <w:rFonts w:ascii="Arial"/>
          <w:color w:val="030303"/>
          <w:spacing w:val="-18"/>
          <w:w w:val="105"/>
          <w:sz w:val="14"/>
        </w:rPr>
        <w:t xml:space="preserve"> </w:t>
      </w:r>
      <w:r>
        <w:rPr>
          <w:rFonts w:ascii="Arial"/>
          <w:color w:val="131313"/>
          <w:w w:val="105"/>
          <w:sz w:val="14"/>
        </w:rPr>
        <w:t>cays</w:t>
      </w:r>
      <w:r>
        <w:rPr>
          <w:rFonts w:ascii="Arial"/>
          <w:color w:val="131313"/>
          <w:spacing w:val="-16"/>
          <w:w w:val="105"/>
          <w:sz w:val="14"/>
        </w:rPr>
        <w:t xml:space="preserve"> </w:t>
      </w:r>
      <w:r>
        <w:rPr>
          <w:rFonts w:ascii="Arial"/>
          <w:color w:val="131313"/>
          <w:w w:val="105"/>
          <w:sz w:val="14"/>
        </w:rPr>
        <w:t>and</w:t>
      </w:r>
      <w:r>
        <w:rPr>
          <w:rFonts w:ascii="Arial"/>
          <w:color w:val="131313"/>
          <w:spacing w:val="-17"/>
          <w:w w:val="105"/>
          <w:sz w:val="14"/>
        </w:rPr>
        <w:t xml:space="preserve"> </w:t>
      </w:r>
      <w:r>
        <w:rPr>
          <w:rFonts w:ascii="Arial"/>
          <w:color w:val="131313"/>
          <w:w w:val="105"/>
          <w:sz w:val="14"/>
        </w:rPr>
        <w:t>continental</w:t>
      </w:r>
      <w:r>
        <w:rPr>
          <w:rFonts w:ascii="Arial"/>
          <w:color w:val="131313"/>
          <w:spacing w:val="-12"/>
          <w:w w:val="105"/>
          <w:sz w:val="14"/>
        </w:rPr>
        <w:t xml:space="preserve"> </w:t>
      </w:r>
      <w:r>
        <w:rPr>
          <w:rFonts w:ascii="Arial"/>
          <w:color w:val="030303"/>
          <w:w w:val="105"/>
          <w:sz w:val="14"/>
        </w:rPr>
        <w:t>islands</w:t>
      </w:r>
      <w:r>
        <w:rPr>
          <w:rFonts w:ascii="Arial"/>
          <w:color w:val="030303"/>
          <w:spacing w:val="-11"/>
          <w:w w:val="105"/>
          <w:sz w:val="14"/>
        </w:rPr>
        <w:t xml:space="preserve"> </w:t>
      </w:r>
      <w:r>
        <w:rPr>
          <w:rFonts w:ascii="Arial"/>
          <w:color w:val="131313"/>
          <w:w w:val="105"/>
          <w:sz w:val="14"/>
        </w:rPr>
        <w:t>exemplifies</w:t>
      </w:r>
      <w:r>
        <w:rPr>
          <w:rFonts w:ascii="Arial"/>
          <w:color w:val="131313"/>
          <w:spacing w:val="-6"/>
          <w:w w:val="105"/>
          <w:sz w:val="14"/>
        </w:rPr>
        <w:t xml:space="preserve"> </w:t>
      </w:r>
      <w:r>
        <w:rPr>
          <w:rFonts w:ascii="Arial"/>
          <w:color w:val="030303"/>
          <w:w w:val="105"/>
          <w:sz w:val="14"/>
        </w:rPr>
        <w:t>the</w:t>
      </w:r>
      <w:r>
        <w:rPr>
          <w:rFonts w:ascii="Arial"/>
          <w:color w:val="030303"/>
          <w:spacing w:val="-17"/>
          <w:w w:val="105"/>
          <w:sz w:val="14"/>
        </w:rPr>
        <w:t xml:space="preserve"> </w:t>
      </w:r>
      <w:r>
        <w:rPr>
          <w:rFonts w:ascii="Arial"/>
          <w:color w:val="030303"/>
          <w:w w:val="105"/>
          <w:sz w:val="14"/>
        </w:rPr>
        <w:t>important</w:t>
      </w:r>
      <w:r>
        <w:rPr>
          <w:rFonts w:ascii="Arial"/>
          <w:color w:val="030303"/>
          <w:spacing w:val="-13"/>
          <w:w w:val="105"/>
          <w:sz w:val="14"/>
        </w:rPr>
        <w:t xml:space="preserve"> </w:t>
      </w:r>
      <w:r>
        <w:rPr>
          <w:rFonts w:ascii="Arial"/>
          <w:color w:val="030303"/>
          <w:w w:val="105"/>
          <w:sz w:val="14"/>
        </w:rPr>
        <w:t>role</w:t>
      </w:r>
      <w:r>
        <w:rPr>
          <w:rFonts w:ascii="Arial"/>
          <w:color w:val="030303"/>
          <w:spacing w:val="-13"/>
          <w:w w:val="105"/>
          <w:sz w:val="14"/>
        </w:rPr>
        <w:t xml:space="preserve"> </w:t>
      </w:r>
      <w:r>
        <w:rPr>
          <w:rFonts w:ascii="Arial"/>
          <w:color w:val="131313"/>
          <w:w w:val="105"/>
          <w:sz w:val="14"/>
        </w:rPr>
        <w:t>of</w:t>
      </w:r>
      <w:r>
        <w:rPr>
          <w:rFonts w:ascii="Arial"/>
          <w:color w:val="131313"/>
          <w:spacing w:val="-14"/>
          <w:w w:val="105"/>
          <w:sz w:val="14"/>
        </w:rPr>
        <w:t xml:space="preserve"> </w:t>
      </w:r>
      <w:r>
        <w:rPr>
          <w:rFonts w:ascii="Arial"/>
          <w:b/>
          <w:color w:val="030303"/>
          <w:w w:val="105"/>
          <w:sz w:val="14"/>
        </w:rPr>
        <w:t>birds</w:t>
      </w:r>
      <w:r>
        <w:rPr>
          <w:rFonts w:ascii="Arial"/>
          <w:b/>
          <w:color w:val="030303"/>
          <w:spacing w:val="-15"/>
          <w:w w:val="105"/>
          <w:sz w:val="14"/>
        </w:rPr>
        <w:t xml:space="preserve"> </w:t>
      </w:r>
      <w:r>
        <w:rPr>
          <w:rFonts w:ascii="Arial"/>
          <w:color w:val="030303"/>
          <w:w w:val="105"/>
          <w:sz w:val="14"/>
        </w:rPr>
        <w:t>...</w:t>
      </w:r>
      <w:r>
        <w:rPr>
          <w:rFonts w:ascii="Arial"/>
          <w:color w:val="131313"/>
          <w:w w:val="105"/>
          <w:sz w:val="14"/>
        </w:rPr>
        <w:t xml:space="preserve"> in seed dispersal and plant</w:t>
      </w:r>
      <w:r>
        <w:rPr>
          <w:rFonts w:ascii="Arial"/>
          <w:color w:val="131313"/>
          <w:spacing w:val="-18"/>
          <w:w w:val="105"/>
          <w:sz w:val="14"/>
        </w:rPr>
        <w:t xml:space="preserve"> </w:t>
      </w:r>
      <w:proofErr w:type="spellStart"/>
      <w:r>
        <w:rPr>
          <w:rFonts w:ascii="Arial"/>
          <w:color w:val="131313"/>
          <w:w w:val="105"/>
          <w:sz w:val="14"/>
        </w:rPr>
        <w:t>colonisation</w:t>
      </w:r>
      <w:proofErr w:type="spellEnd"/>
    </w:p>
    <w:p w:rsidR="00D1511D" w:rsidRDefault="00D1511D">
      <w:pPr>
        <w:spacing w:line="256" w:lineRule="auto"/>
        <w:rPr>
          <w:rFonts w:ascii="Arial"/>
          <w:sz w:val="14"/>
        </w:rPr>
        <w:sectPr w:rsidR="00D1511D">
          <w:type w:val="continuous"/>
          <w:pgSz w:w="11910" w:h="16840"/>
          <w:pgMar w:top="620" w:right="1300" w:bottom="280" w:left="1300" w:header="720" w:footer="720" w:gutter="0"/>
          <w:cols w:num="2" w:space="720" w:equalWidth="0">
            <w:col w:w="2356" w:space="329"/>
            <w:col w:w="6625"/>
          </w:cols>
        </w:sectPr>
      </w:pPr>
    </w:p>
    <w:p w:rsidR="00D1511D" w:rsidRDefault="00D1511D">
      <w:pPr>
        <w:pStyle w:val="BodyText"/>
        <w:spacing w:before="1"/>
        <w:rPr>
          <w:rFonts w:ascii="Arial"/>
          <w:sz w:val="2"/>
        </w:rPr>
      </w:pPr>
    </w:p>
    <w:p w:rsidR="00D1511D" w:rsidRDefault="003F0CB3">
      <w:pPr>
        <w:pStyle w:val="BodyText"/>
        <w:spacing w:line="20" w:lineRule="exact"/>
        <w:ind w:left="397"/>
        <w:rPr>
          <w:rFonts w:ascii="Arial"/>
          <w:sz w:val="2"/>
        </w:rPr>
      </w:pPr>
      <w:r>
        <w:rPr>
          <w:rFonts w:ascii="Arial"/>
          <w:sz w:val="2"/>
        </w:rPr>
      </w:r>
      <w:r>
        <w:rPr>
          <w:rFonts w:ascii="Arial"/>
          <w:sz w:val="2"/>
        </w:rPr>
        <w:pict>
          <v:group id="_x0000_s1137" alt="" style="width:439.5pt;height:.2pt;mso-position-horizontal-relative:char;mso-position-vertical-relative:line" coordsize="8790,4">
            <v:line id="_x0000_s1138" alt="" style="position:absolute" from="0,2" to="2681,2" strokeweight=".06244mm"/>
            <v:line id="_x0000_s1139" alt="" style="position:absolute" from="2681,2" to="8789,2" strokeweight=".06244mm"/>
            <w10:anchorlock/>
          </v:group>
        </w:pict>
      </w:r>
    </w:p>
    <w:p w:rsidR="00D1511D" w:rsidRDefault="00D1511D">
      <w:pPr>
        <w:pStyle w:val="BodyText"/>
        <w:rPr>
          <w:rFonts w:ascii="Arial"/>
        </w:rPr>
      </w:pPr>
    </w:p>
    <w:p w:rsidR="00D1511D" w:rsidRDefault="00D1511D">
      <w:pPr>
        <w:pStyle w:val="BodyText"/>
        <w:rPr>
          <w:rFonts w:ascii="Arial"/>
        </w:rPr>
      </w:pPr>
    </w:p>
    <w:p w:rsidR="00D1511D" w:rsidRDefault="00D1511D">
      <w:pPr>
        <w:pStyle w:val="BodyText"/>
        <w:rPr>
          <w:rFonts w:ascii="Arial"/>
        </w:rPr>
      </w:pPr>
    </w:p>
    <w:p w:rsidR="00D1511D" w:rsidRDefault="00D1511D">
      <w:pPr>
        <w:pStyle w:val="BodyText"/>
        <w:rPr>
          <w:rFonts w:ascii="Arial"/>
        </w:rPr>
      </w:pPr>
    </w:p>
    <w:p w:rsidR="00D1511D" w:rsidRDefault="00D1511D">
      <w:pPr>
        <w:pStyle w:val="BodyText"/>
        <w:rPr>
          <w:rFonts w:ascii="Arial"/>
        </w:rPr>
      </w:pPr>
    </w:p>
    <w:p w:rsidR="00D1511D" w:rsidRDefault="00D1511D">
      <w:pPr>
        <w:pStyle w:val="BodyText"/>
        <w:rPr>
          <w:rFonts w:ascii="Arial"/>
        </w:rPr>
      </w:pPr>
    </w:p>
    <w:p w:rsidR="00D1511D" w:rsidRDefault="00D1511D">
      <w:pPr>
        <w:pStyle w:val="BodyText"/>
        <w:rPr>
          <w:rFonts w:ascii="Arial"/>
        </w:rPr>
      </w:pPr>
    </w:p>
    <w:p w:rsidR="00D1511D" w:rsidRDefault="00D1511D">
      <w:pPr>
        <w:pStyle w:val="BodyText"/>
        <w:rPr>
          <w:rFonts w:ascii="Arial"/>
        </w:rPr>
      </w:pPr>
    </w:p>
    <w:p w:rsidR="00D1511D" w:rsidRDefault="00D1511D">
      <w:pPr>
        <w:pStyle w:val="BodyText"/>
        <w:rPr>
          <w:rFonts w:ascii="Arial"/>
        </w:rPr>
      </w:pPr>
    </w:p>
    <w:p w:rsidR="00D1511D" w:rsidRDefault="00D1511D">
      <w:pPr>
        <w:pStyle w:val="BodyText"/>
        <w:spacing w:before="5"/>
        <w:rPr>
          <w:rFonts w:ascii="Arial"/>
          <w:sz w:val="22"/>
        </w:rPr>
      </w:pPr>
    </w:p>
    <w:p w:rsidR="00D1511D" w:rsidRDefault="003F0CB3">
      <w:pPr>
        <w:ind w:left="117"/>
        <w:rPr>
          <w:rFonts w:ascii="Myriad Pro"/>
          <w:sz w:val="16"/>
        </w:rPr>
      </w:pPr>
      <w:r>
        <w:rPr>
          <w:rFonts w:ascii="Myriad Pro"/>
          <w:color w:val="231F20"/>
          <w:sz w:val="16"/>
        </w:rPr>
        <w:t xml:space="preserve">62 / </w:t>
      </w:r>
      <w:r>
        <w:rPr>
          <w:rFonts w:ascii="Myriad Pro"/>
          <w:color w:val="005695"/>
          <w:sz w:val="16"/>
        </w:rPr>
        <w:t xml:space="preserve">State Party Report on the state of conservation of the </w:t>
      </w:r>
      <w:r>
        <w:rPr>
          <w:rFonts w:ascii="Myriad Pro"/>
          <w:b/>
          <w:color w:val="005695"/>
          <w:sz w:val="16"/>
        </w:rPr>
        <w:t xml:space="preserve">Great Barrier Reef World Heritage Area (Australia) </w:t>
      </w:r>
      <w:r>
        <w:rPr>
          <w:rFonts w:ascii="Myriad Pro"/>
          <w:color w:val="005695"/>
          <w:sz w:val="16"/>
        </w:rPr>
        <w:t>2019</w:t>
      </w:r>
    </w:p>
    <w:p w:rsidR="00D1511D" w:rsidRDefault="00D1511D">
      <w:pPr>
        <w:rPr>
          <w:rFonts w:ascii="Myriad Pro"/>
          <w:sz w:val="16"/>
        </w:rPr>
        <w:sectPr w:rsidR="00D1511D">
          <w:type w:val="continuous"/>
          <w:pgSz w:w="11910" w:h="16840"/>
          <w:pgMar w:top="620" w:right="1300" w:bottom="280" w:left="1300" w:header="720" w:footer="720" w:gutter="0"/>
          <w:cols w:space="720"/>
        </w:sectPr>
      </w:pPr>
    </w:p>
    <w:p w:rsidR="00D1511D" w:rsidRDefault="00D1511D">
      <w:pPr>
        <w:pStyle w:val="BodyText"/>
        <w:rPr>
          <w:rFonts w:ascii="Myriad Pro"/>
        </w:rPr>
      </w:pPr>
    </w:p>
    <w:p w:rsidR="00D1511D" w:rsidRDefault="00D1511D">
      <w:pPr>
        <w:pStyle w:val="BodyText"/>
        <w:spacing w:before="2"/>
        <w:rPr>
          <w:rFonts w:ascii="Myriad Pro"/>
          <w:sz w:val="12"/>
        </w:rPr>
      </w:pPr>
    </w:p>
    <w:p w:rsidR="00D1511D" w:rsidRDefault="003F0CB3">
      <w:pPr>
        <w:pStyle w:val="BodyText"/>
        <w:ind w:left="398"/>
        <w:rPr>
          <w:rFonts w:ascii="Myriad Pro"/>
        </w:rPr>
      </w:pPr>
      <w:r>
        <w:rPr>
          <w:rFonts w:ascii="Myriad Pro"/>
        </w:rPr>
      </w:r>
      <w:r>
        <w:rPr>
          <w:rFonts w:ascii="Myriad Pro"/>
        </w:rPr>
        <w:pict>
          <v:group id="_x0000_s1131" alt="This table shows Complementary assessments that link to the Outlook Report to the Great Barrier Reef’s outstanding universal value." style="width:438.7pt;height:80.2pt;mso-position-horizontal-relative:char;mso-position-vertical-relative:line" coordsize="8774,1604">
            <v:rect id="_x0000_s1132" alt="This table shows Complementary assessments that link to the Outlook Report to the Great Barrier Reef’s outstanding universal value." style="position:absolute;width:2677;height:413" fillcolor="#395b8c" stroked="f"/>
            <v:rect id="_x0000_s1133" alt="This table shows Complementary assessments that link to the Outlook Report to the Great Barrier Reef’s outstanding universal value." style="position:absolute;left:2676;width:6098;height:413" fillcolor="#395b8c" stroked="f"/>
            <v:line id="_x0000_s1134" alt="This table shows Complementary assessments that link to the Outlook Report to the Great Barrier Reef’s outstanding universal value." style="position:absolute" from="0,413" to="2676,413" strokeweight=".06244mm"/>
            <v:line id="_x0000_s1135" alt="This table shows Complementary assessments that link to the Outlook Report to the Great Barrier Reef’s outstanding universal value." style="position:absolute" from="2676,413" to="8774,413" strokeweight=".06244mm"/>
            <v:shape id="_x0000_s1136" type="#_x0000_t202" alt="This table shows Complementary assessments that link to the Outlook Report to the Great Barrier Reef’s outstanding universal value." style="position:absolute;top:414;width:8774;height:1190;mso-wrap-style:square;v-text-anchor:top" fillcolor="#cfd4d5" stroked="f">
              <v:textbox inset="0,0,0,0">
                <w:txbxContent>
                  <w:p w:rsidR="00D1511D" w:rsidRDefault="003F0CB3">
                    <w:pPr>
                      <w:spacing w:before="41"/>
                      <w:ind w:left="2751"/>
                      <w:rPr>
                        <w:rFonts w:ascii="Arial"/>
                        <w:b/>
                        <w:sz w:val="14"/>
                      </w:rPr>
                    </w:pPr>
                    <w:r>
                      <w:rPr>
                        <w:rFonts w:ascii="Arial"/>
                        <w:b/>
                        <w:color w:val="030303"/>
                        <w:sz w:val="14"/>
                      </w:rPr>
                      <w:t>Habitats for conservation of biodiversity (x)</w:t>
                    </w:r>
                  </w:p>
                  <w:p w:rsidR="00D1511D" w:rsidRDefault="003F0CB3">
                    <w:pPr>
                      <w:tabs>
                        <w:tab w:val="left" w:pos="3104"/>
                      </w:tabs>
                      <w:spacing w:before="60" w:line="254" w:lineRule="auto"/>
                      <w:ind w:left="3103" w:right="435" w:hanging="359"/>
                      <w:rPr>
                        <w:rFonts w:ascii="Arial"/>
                        <w:i/>
                        <w:sz w:val="14"/>
                      </w:rPr>
                    </w:pPr>
                    <w:r>
                      <w:rPr>
                        <w:rFonts w:ascii="Arial"/>
                        <w:i/>
                        <w:color w:val="131313"/>
                        <w:sz w:val="14"/>
                      </w:rPr>
                      <w:t>(x)</w:t>
                    </w:r>
                    <w:r>
                      <w:rPr>
                        <w:rFonts w:ascii="Arial"/>
                        <w:i/>
                        <w:color w:val="131313"/>
                        <w:sz w:val="14"/>
                      </w:rPr>
                      <w:tab/>
                    </w:r>
                    <w:r>
                      <w:rPr>
                        <w:rFonts w:ascii="Arial"/>
                        <w:i/>
                        <w:color w:val="131313"/>
                        <w:sz w:val="14"/>
                      </w:rPr>
                      <w:tab/>
                      <w:t xml:space="preserve">contain </w:t>
                    </w:r>
                    <w:r>
                      <w:rPr>
                        <w:rFonts w:ascii="Arial"/>
                        <w:i/>
                        <w:color w:val="030303"/>
                        <w:sz w:val="14"/>
                      </w:rPr>
                      <w:t xml:space="preserve">the most important </w:t>
                    </w:r>
                    <w:r>
                      <w:rPr>
                        <w:rFonts w:ascii="Arial"/>
                        <w:i/>
                        <w:color w:val="131313"/>
                        <w:sz w:val="14"/>
                      </w:rPr>
                      <w:t xml:space="preserve">and </w:t>
                    </w:r>
                    <w:proofErr w:type="gramStart"/>
                    <w:r>
                      <w:rPr>
                        <w:rFonts w:ascii="Arial"/>
                        <w:i/>
                        <w:color w:val="131313"/>
                        <w:sz w:val="14"/>
                      </w:rPr>
                      <w:t xml:space="preserve">significant  </w:t>
                    </w:r>
                    <w:r>
                      <w:rPr>
                        <w:rFonts w:ascii="Arial"/>
                        <w:i/>
                        <w:color w:val="030303"/>
                        <w:sz w:val="14"/>
                      </w:rPr>
                      <w:t>natural</w:t>
                    </w:r>
                    <w:proofErr w:type="gramEnd"/>
                    <w:r>
                      <w:rPr>
                        <w:rFonts w:ascii="Arial"/>
                        <w:i/>
                        <w:color w:val="030303"/>
                        <w:sz w:val="14"/>
                      </w:rPr>
                      <w:t xml:space="preserve"> habitats  for in </w:t>
                    </w:r>
                    <w:r>
                      <w:rPr>
                        <w:rFonts w:ascii="Arial"/>
                        <w:i/>
                        <w:color w:val="131313"/>
                        <w:sz w:val="14"/>
                      </w:rPr>
                      <w:t xml:space="preserve">situ conservation of biological diversity, including those containing </w:t>
                    </w:r>
                    <w:r>
                      <w:rPr>
                        <w:rFonts w:ascii="Arial"/>
                        <w:i/>
                        <w:color w:val="030303"/>
                        <w:sz w:val="14"/>
                      </w:rPr>
                      <w:t xml:space="preserve">threatened </w:t>
                    </w:r>
                    <w:r>
                      <w:rPr>
                        <w:rFonts w:ascii="Arial"/>
                        <w:i/>
                        <w:color w:val="131313"/>
                        <w:sz w:val="14"/>
                      </w:rPr>
                      <w:t>species of outstanding</w:t>
                    </w:r>
                    <w:r>
                      <w:rPr>
                        <w:rFonts w:ascii="Arial"/>
                        <w:i/>
                        <w:color w:val="030303"/>
                        <w:sz w:val="14"/>
                      </w:rPr>
                      <w:t xml:space="preserve"> universal </w:t>
                    </w:r>
                    <w:r>
                      <w:rPr>
                        <w:rFonts w:ascii="Arial"/>
                        <w:i/>
                        <w:color w:val="131313"/>
                        <w:sz w:val="14"/>
                      </w:rPr>
                      <w:t xml:space="preserve">value from </w:t>
                    </w:r>
                    <w:r>
                      <w:rPr>
                        <w:rFonts w:ascii="Arial"/>
                        <w:i/>
                        <w:color w:val="030303"/>
                        <w:sz w:val="14"/>
                      </w:rPr>
                      <w:t xml:space="preserve">the </w:t>
                    </w:r>
                    <w:r>
                      <w:rPr>
                        <w:rFonts w:ascii="Arial"/>
                        <w:i/>
                        <w:color w:val="131313"/>
                        <w:sz w:val="14"/>
                      </w:rPr>
                      <w:t>point of view of science or</w:t>
                    </w:r>
                    <w:r>
                      <w:rPr>
                        <w:rFonts w:ascii="Arial"/>
                        <w:i/>
                        <w:color w:val="131313"/>
                        <w:spacing w:val="34"/>
                        <w:sz w:val="14"/>
                      </w:rPr>
                      <w:t xml:space="preserve"> </w:t>
                    </w:r>
                    <w:r>
                      <w:rPr>
                        <w:rFonts w:ascii="Arial"/>
                        <w:i/>
                        <w:color w:val="131313"/>
                        <w:sz w:val="14"/>
                      </w:rPr>
                      <w:t>conservation</w:t>
                    </w:r>
                  </w:p>
                  <w:p w:rsidR="00D1511D" w:rsidRDefault="003F0CB3">
                    <w:pPr>
                      <w:spacing w:before="50" w:line="249" w:lineRule="auto"/>
                      <w:ind w:left="3101" w:right="670" w:hanging="352"/>
                      <w:rPr>
                        <w:rFonts w:ascii="Arial"/>
                        <w:i/>
                        <w:sz w:val="14"/>
                      </w:rPr>
                    </w:pPr>
                    <w:r>
                      <w:rPr>
                        <w:rFonts w:ascii="Arial"/>
                        <w:i/>
                        <w:color w:val="030303"/>
                        <w:sz w:val="14"/>
                      </w:rPr>
                      <w:t xml:space="preserve">[iv] habitats </w:t>
                    </w:r>
                    <w:r>
                      <w:rPr>
                        <w:rFonts w:ascii="Arial"/>
                        <w:i/>
                        <w:color w:val="262626"/>
                        <w:sz w:val="14"/>
                      </w:rPr>
                      <w:t xml:space="preserve">where </w:t>
                    </w:r>
                    <w:r>
                      <w:rPr>
                        <w:rFonts w:ascii="Arial"/>
                        <w:i/>
                        <w:color w:val="131313"/>
                        <w:sz w:val="14"/>
                      </w:rPr>
                      <w:t xml:space="preserve">populations of </w:t>
                    </w:r>
                    <w:r>
                      <w:rPr>
                        <w:rFonts w:ascii="Arial"/>
                        <w:i/>
                        <w:color w:val="030303"/>
                        <w:sz w:val="14"/>
                      </w:rPr>
                      <w:t xml:space="preserve">rare </w:t>
                    </w:r>
                    <w:r>
                      <w:rPr>
                        <w:rFonts w:ascii="Arial"/>
                        <w:i/>
                        <w:color w:val="131313"/>
                        <w:sz w:val="14"/>
                      </w:rPr>
                      <w:t>or endangered species</w:t>
                    </w:r>
                    <w:r>
                      <w:rPr>
                        <w:rFonts w:ascii="Arial"/>
                        <w:i/>
                        <w:color w:val="131313"/>
                        <w:sz w:val="14"/>
                      </w:rPr>
                      <w:t xml:space="preserve"> of plants and animals still</w:t>
                    </w:r>
                    <w:r>
                      <w:rPr>
                        <w:rFonts w:ascii="Arial"/>
                        <w:i/>
                        <w:color w:val="131313"/>
                        <w:spacing w:val="-1"/>
                        <w:sz w:val="14"/>
                      </w:rPr>
                      <w:t xml:space="preserve"> </w:t>
                    </w:r>
                    <w:r>
                      <w:rPr>
                        <w:rFonts w:ascii="Arial"/>
                        <w:i/>
                        <w:color w:val="131313"/>
                        <w:sz w:val="14"/>
                      </w:rPr>
                      <w:t>survive</w:t>
                    </w:r>
                  </w:p>
                </w:txbxContent>
              </v:textbox>
            </v:shape>
            <w10:anchorlock/>
          </v:group>
        </w:pict>
      </w:r>
    </w:p>
    <w:p w:rsidR="00D1511D" w:rsidRDefault="00D1511D">
      <w:pPr>
        <w:rPr>
          <w:rFonts w:ascii="Myriad Pro"/>
        </w:rPr>
        <w:sectPr w:rsidR="00D1511D">
          <w:headerReference w:type="default" r:id="rId151"/>
          <w:pgSz w:w="11910" w:h="16840"/>
          <w:pgMar w:top="1580" w:right="1300" w:bottom="0" w:left="1300" w:header="0" w:footer="0" w:gutter="0"/>
          <w:cols w:space="720"/>
        </w:sectPr>
      </w:pPr>
    </w:p>
    <w:p w:rsidR="00D1511D" w:rsidRDefault="003F0CB3">
      <w:pPr>
        <w:pStyle w:val="ListParagraph"/>
        <w:numPr>
          <w:ilvl w:val="0"/>
          <w:numId w:val="1"/>
        </w:numPr>
        <w:tabs>
          <w:tab w:val="left" w:pos="594"/>
        </w:tabs>
        <w:spacing w:before="10"/>
        <w:rPr>
          <w:rFonts w:ascii="Arial"/>
          <w:b/>
          <w:sz w:val="14"/>
        </w:rPr>
      </w:pPr>
      <w:r>
        <w:pict>
          <v:shape id="_x0000_s1130" alt="" style="position:absolute;left:0;text-align:left;margin-left:0;margin-top:720.45pt;width:438.7pt;height:.1pt;z-index:251741184;mso-wrap-edited:f;mso-width-percent:0;mso-height-percent:0;mso-position-horizontal-relative:page;mso-width-percent:0;mso-height-percent:0" coordsize="8774,1270" o:spt="100" adj="0,,0" path="m1701,-14441r2676,m4377,-14441r6097,e" filled="f" strokeweight=".06244mm">
            <v:stroke joinstyle="round"/>
            <v:formulas/>
            <v:path arrowok="t" o:connecttype="custom" o:connectlocs="1080135,0;2779395,0;2779395,0;6650990,0" o:connectangles="0,0,0,0"/>
            <w10:wrap anchorx="page"/>
          </v:shape>
        </w:pict>
      </w:r>
      <w:r>
        <w:rPr>
          <w:rFonts w:ascii="Arial"/>
          <w:b/>
          <w:color w:val="030303"/>
          <w:sz w:val="14"/>
        </w:rPr>
        <w:t>Biodiversity</w:t>
      </w:r>
    </w:p>
    <w:p w:rsidR="00D1511D" w:rsidRDefault="003F0CB3">
      <w:pPr>
        <w:pStyle w:val="ListParagraph"/>
        <w:numPr>
          <w:ilvl w:val="0"/>
          <w:numId w:val="1"/>
        </w:numPr>
        <w:tabs>
          <w:tab w:val="left" w:pos="594"/>
        </w:tabs>
        <w:spacing w:before="7"/>
        <w:ind w:hanging="121"/>
        <w:rPr>
          <w:rFonts w:ascii="Arial"/>
          <w:b/>
          <w:sz w:val="14"/>
        </w:rPr>
      </w:pPr>
      <w:r>
        <w:rPr>
          <w:rFonts w:ascii="Arial"/>
          <w:b/>
          <w:color w:val="030303"/>
          <w:sz w:val="14"/>
        </w:rPr>
        <w:t>Ecosystem</w:t>
      </w:r>
      <w:r>
        <w:rPr>
          <w:rFonts w:ascii="Arial"/>
          <w:b/>
          <w:color w:val="030303"/>
          <w:spacing w:val="11"/>
          <w:sz w:val="14"/>
        </w:rPr>
        <w:t xml:space="preserve"> </w:t>
      </w:r>
      <w:r>
        <w:rPr>
          <w:rFonts w:ascii="Arial"/>
          <w:b/>
          <w:color w:val="030303"/>
          <w:sz w:val="14"/>
        </w:rPr>
        <w:t>Health</w:t>
      </w:r>
    </w:p>
    <w:p w:rsidR="00D1511D" w:rsidRDefault="003F0CB3">
      <w:pPr>
        <w:spacing w:before="12" w:line="256" w:lineRule="auto"/>
        <w:ind w:left="969" w:right="-10" w:hanging="495"/>
        <w:rPr>
          <w:rFonts w:ascii="Arial"/>
          <w:sz w:val="14"/>
        </w:rPr>
      </w:pPr>
      <w:r>
        <w:rPr>
          <w:rFonts w:ascii="Arial"/>
          <w:color w:val="131313"/>
          <w:sz w:val="14"/>
        </w:rPr>
        <w:t xml:space="preserve">2.4.3 </w:t>
      </w:r>
      <w:r>
        <w:rPr>
          <w:rFonts w:ascii="Arial"/>
          <w:color w:val="030303"/>
          <w:sz w:val="14"/>
        </w:rPr>
        <w:t xml:space="preserve">Benthic </w:t>
      </w:r>
      <w:r>
        <w:rPr>
          <w:rFonts w:ascii="Arial"/>
          <w:color w:val="131313"/>
          <w:sz w:val="14"/>
        </w:rPr>
        <w:t>algae (includes</w:t>
      </w:r>
      <w:r>
        <w:rPr>
          <w:rFonts w:ascii="Arial"/>
          <w:color w:val="030303"/>
          <w:sz w:val="14"/>
        </w:rPr>
        <w:t xml:space="preserve"> macroalgae </w:t>
      </w:r>
      <w:r>
        <w:rPr>
          <w:rFonts w:ascii="Arial"/>
          <w:color w:val="131313"/>
          <w:sz w:val="14"/>
        </w:rPr>
        <w:t xml:space="preserve">and </w:t>
      </w:r>
      <w:r>
        <w:rPr>
          <w:rFonts w:ascii="Arial"/>
          <w:color w:val="030303"/>
          <w:sz w:val="14"/>
        </w:rPr>
        <w:t>microalgae)</w:t>
      </w:r>
    </w:p>
    <w:p w:rsidR="00D1511D" w:rsidRDefault="003F0CB3">
      <w:pPr>
        <w:pStyle w:val="ListParagraph"/>
        <w:numPr>
          <w:ilvl w:val="2"/>
          <w:numId w:val="24"/>
        </w:numPr>
        <w:tabs>
          <w:tab w:val="left" w:pos="968"/>
        </w:tabs>
        <w:spacing w:before="50"/>
        <w:rPr>
          <w:rFonts w:ascii="Arial"/>
          <w:sz w:val="14"/>
        </w:rPr>
      </w:pPr>
      <w:r>
        <w:rPr>
          <w:rFonts w:ascii="Arial"/>
          <w:color w:val="131313"/>
          <w:sz w:val="14"/>
        </w:rPr>
        <w:t>Other</w:t>
      </w:r>
      <w:r>
        <w:rPr>
          <w:rFonts w:ascii="Arial"/>
          <w:color w:val="131313"/>
          <w:spacing w:val="2"/>
          <w:sz w:val="14"/>
        </w:rPr>
        <w:t xml:space="preserve"> </w:t>
      </w:r>
      <w:r>
        <w:rPr>
          <w:rFonts w:ascii="Arial"/>
          <w:color w:val="131313"/>
          <w:sz w:val="14"/>
        </w:rPr>
        <w:t>invertebrates</w:t>
      </w:r>
    </w:p>
    <w:p w:rsidR="00D1511D" w:rsidRDefault="003F0CB3">
      <w:pPr>
        <w:pStyle w:val="ListParagraph"/>
        <w:numPr>
          <w:ilvl w:val="2"/>
          <w:numId w:val="24"/>
        </w:numPr>
        <w:tabs>
          <w:tab w:val="left" w:pos="974"/>
        </w:tabs>
        <w:spacing w:before="7"/>
        <w:ind w:left="973" w:hanging="499"/>
        <w:rPr>
          <w:rFonts w:ascii="Arial"/>
          <w:sz w:val="14"/>
        </w:rPr>
      </w:pPr>
      <w:r>
        <w:rPr>
          <w:rFonts w:ascii="Arial"/>
          <w:color w:val="030303"/>
          <w:sz w:val="14"/>
        </w:rPr>
        <w:t xml:space="preserve">Plankton </w:t>
      </w:r>
      <w:r>
        <w:rPr>
          <w:rFonts w:ascii="Arial"/>
          <w:color w:val="131313"/>
          <w:sz w:val="14"/>
        </w:rPr>
        <w:t>and</w:t>
      </w:r>
      <w:r>
        <w:rPr>
          <w:rFonts w:ascii="Arial"/>
          <w:color w:val="131313"/>
          <w:spacing w:val="3"/>
          <w:sz w:val="14"/>
        </w:rPr>
        <w:t xml:space="preserve"> </w:t>
      </w:r>
      <w:r>
        <w:rPr>
          <w:rFonts w:ascii="Arial"/>
          <w:color w:val="030303"/>
          <w:sz w:val="14"/>
        </w:rPr>
        <w:t>microbes</w:t>
      </w:r>
    </w:p>
    <w:p w:rsidR="00D1511D" w:rsidRDefault="003F0CB3">
      <w:pPr>
        <w:pStyle w:val="ListParagraph"/>
        <w:numPr>
          <w:ilvl w:val="2"/>
          <w:numId w:val="24"/>
        </w:numPr>
        <w:tabs>
          <w:tab w:val="left" w:pos="969"/>
        </w:tabs>
        <w:spacing w:before="12"/>
        <w:ind w:left="968" w:hanging="494"/>
        <w:rPr>
          <w:rFonts w:ascii="Arial"/>
          <w:sz w:val="14"/>
        </w:rPr>
      </w:pPr>
      <w:r>
        <w:rPr>
          <w:rFonts w:ascii="Arial"/>
          <w:color w:val="030303"/>
          <w:w w:val="105"/>
          <w:sz w:val="14"/>
        </w:rPr>
        <w:t>B</w:t>
      </w:r>
      <w:r>
        <w:rPr>
          <w:rFonts w:ascii="Arial"/>
          <w:color w:val="262626"/>
          <w:w w:val="105"/>
          <w:sz w:val="14"/>
        </w:rPr>
        <w:t>ony</w:t>
      </w:r>
      <w:r>
        <w:rPr>
          <w:rFonts w:ascii="Arial"/>
          <w:color w:val="262626"/>
          <w:spacing w:val="-10"/>
          <w:w w:val="105"/>
          <w:sz w:val="14"/>
        </w:rPr>
        <w:t xml:space="preserve"> </w:t>
      </w:r>
      <w:r>
        <w:rPr>
          <w:rFonts w:ascii="Arial"/>
          <w:color w:val="030303"/>
          <w:w w:val="105"/>
          <w:sz w:val="14"/>
        </w:rPr>
        <w:t>fish</w:t>
      </w:r>
    </w:p>
    <w:p w:rsidR="00D1511D" w:rsidRDefault="003F0CB3">
      <w:pPr>
        <w:pStyle w:val="ListParagraph"/>
        <w:numPr>
          <w:ilvl w:val="2"/>
          <w:numId w:val="24"/>
        </w:numPr>
        <w:tabs>
          <w:tab w:val="left" w:pos="968"/>
        </w:tabs>
        <w:spacing w:before="7"/>
        <w:rPr>
          <w:rFonts w:ascii="Arial"/>
          <w:sz w:val="14"/>
        </w:rPr>
      </w:pPr>
      <w:r>
        <w:rPr>
          <w:rFonts w:ascii="Arial"/>
          <w:color w:val="030303"/>
          <w:sz w:val="14"/>
        </w:rPr>
        <w:t xml:space="preserve">Sharks </w:t>
      </w:r>
      <w:r>
        <w:rPr>
          <w:rFonts w:ascii="Arial"/>
          <w:color w:val="131313"/>
          <w:sz w:val="14"/>
        </w:rPr>
        <w:t>and</w:t>
      </w:r>
      <w:r>
        <w:rPr>
          <w:rFonts w:ascii="Arial"/>
          <w:color w:val="131313"/>
          <w:spacing w:val="-4"/>
          <w:sz w:val="14"/>
        </w:rPr>
        <w:t xml:space="preserve"> </w:t>
      </w:r>
      <w:r>
        <w:rPr>
          <w:rFonts w:ascii="Arial"/>
          <w:color w:val="030303"/>
          <w:sz w:val="14"/>
        </w:rPr>
        <w:t>rays</w:t>
      </w:r>
    </w:p>
    <w:p w:rsidR="00D1511D" w:rsidRDefault="003F0CB3">
      <w:pPr>
        <w:pStyle w:val="ListParagraph"/>
        <w:numPr>
          <w:ilvl w:val="2"/>
          <w:numId w:val="24"/>
        </w:numPr>
        <w:tabs>
          <w:tab w:val="left" w:pos="968"/>
        </w:tabs>
        <w:spacing w:before="8"/>
        <w:rPr>
          <w:rFonts w:ascii="Arial"/>
          <w:sz w:val="14"/>
        </w:rPr>
      </w:pPr>
      <w:r>
        <w:rPr>
          <w:rFonts w:ascii="Arial"/>
          <w:color w:val="131313"/>
          <w:sz w:val="14"/>
        </w:rPr>
        <w:t>Sea</w:t>
      </w:r>
      <w:r>
        <w:rPr>
          <w:rFonts w:ascii="Arial"/>
          <w:color w:val="131313"/>
          <w:spacing w:val="-5"/>
          <w:sz w:val="14"/>
        </w:rPr>
        <w:t xml:space="preserve"> </w:t>
      </w:r>
      <w:r>
        <w:rPr>
          <w:rFonts w:ascii="Arial"/>
          <w:color w:val="131313"/>
          <w:sz w:val="14"/>
        </w:rPr>
        <w:t>snakes</w:t>
      </w:r>
    </w:p>
    <w:p w:rsidR="00D1511D" w:rsidRDefault="003F0CB3">
      <w:pPr>
        <w:pStyle w:val="ListParagraph"/>
        <w:numPr>
          <w:ilvl w:val="2"/>
          <w:numId w:val="23"/>
        </w:numPr>
        <w:tabs>
          <w:tab w:val="left" w:pos="973"/>
        </w:tabs>
        <w:spacing w:before="12"/>
        <w:rPr>
          <w:rFonts w:ascii="Arial"/>
          <w:sz w:val="14"/>
        </w:rPr>
      </w:pPr>
      <w:r>
        <w:rPr>
          <w:rFonts w:ascii="Arial"/>
          <w:color w:val="030303"/>
          <w:sz w:val="14"/>
        </w:rPr>
        <w:t>Estuarine</w:t>
      </w:r>
      <w:r>
        <w:rPr>
          <w:rFonts w:ascii="Arial"/>
          <w:color w:val="030303"/>
          <w:spacing w:val="1"/>
          <w:sz w:val="14"/>
        </w:rPr>
        <w:t xml:space="preserve"> </w:t>
      </w:r>
      <w:r>
        <w:rPr>
          <w:rFonts w:ascii="Arial"/>
          <w:color w:val="131313"/>
          <w:sz w:val="14"/>
        </w:rPr>
        <w:t>crocodiles</w:t>
      </w:r>
    </w:p>
    <w:p w:rsidR="00D1511D" w:rsidRDefault="003F0CB3">
      <w:pPr>
        <w:pStyle w:val="ListParagraph"/>
        <w:numPr>
          <w:ilvl w:val="2"/>
          <w:numId w:val="23"/>
        </w:numPr>
        <w:tabs>
          <w:tab w:val="left" w:pos="968"/>
        </w:tabs>
        <w:spacing w:before="7"/>
        <w:ind w:left="967" w:hanging="493"/>
        <w:rPr>
          <w:rFonts w:ascii="Arial"/>
          <w:sz w:val="14"/>
        </w:rPr>
      </w:pPr>
      <w:r>
        <w:rPr>
          <w:rFonts w:ascii="Arial"/>
          <w:color w:val="131313"/>
          <w:sz w:val="14"/>
        </w:rPr>
        <w:t>Seabirds</w:t>
      </w:r>
    </w:p>
    <w:p w:rsidR="00D1511D" w:rsidRDefault="003F0CB3">
      <w:pPr>
        <w:pStyle w:val="ListParagraph"/>
        <w:numPr>
          <w:ilvl w:val="2"/>
          <w:numId w:val="23"/>
        </w:numPr>
        <w:tabs>
          <w:tab w:val="left" w:pos="968"/>
        </w:tabs>
        <w:spacing w:before="12"/>
        <w:ind w:left="967" w:hanging="493"/>
        <w:rPr>
          <w:rFonts w:ascii="Arial"/>
          <w:sz w:val="14"/>
        </w:rPr>
      </w:pPr>
      <w:r>
        <w:rPr>
          <w:rFonts w:ascii="Arial"/>
          <w:color w:val="131313"/>
          <w:sz w:val="14"/>
        </w:rPr>
        <w:t>Shorebirds</w:t>
      </w:r>
    </w:p>
    <w:p w:rsidR="00D1511D" w:rsidRDefault="003F0CB3">
      <w:pPr>
        <w:pStyle w:val="ListParagraph"/>
        <w:numPr>
          <w:ilvl w:val="2"/>
          <w:numId w:val="22"/>
        </w:numPr>
        <w:tabs>
          <w:tab w:val="left" w:pos="974"/>
        </w:tabs>
        <w:spacing w:before="7"/>
        <w:rPr>
          <w:rFonts w:ascii="Arial"/>
          <w:sz w:val="14"/>
        </w:rPr>
      </w:pPr>
      <w:r>
        <w:rPr>
          <w:rFonts w:ascii="Arial"/>
          <w:color w:val="030303"/>
          <w:w w:val="105"/>
          <w:sz w:val="14"/>
        </w:rPr>
        <w:t xml:space="preserve">Black </w:t>
      </w:r>
      <w:proofErr w:type="spellStart"/>
      <w:r>
        <w:rPr>
          <w:rFonts w:ascii="Arial"/>
          <w:color w:val="030303"/>
          <w:w w:val="105"/>
          <w:sz w:val="14"/>
        </w:rPr>
        <w:t>teatfish</w:t>
      </w:r>
      <w:proofErr w:type="spellEnd"/>
      <w:r>
        <w:rPr>
          <w:rFonts w:ascii="Arial"/>
          <w:color w:val="030303"/>
          <w:w w:val="105"/>
          <w:sz w:val="14"/>
        </w:rPr>
        <w:t xml:space="preserve"> </w:t>
      </w:r>
      <w:r>
        <w:rPr>
          <w:rFonts w:ascii="Arial"/>
          <w:color w:val="262626"/>
          <w:w w:val="105"/>
          <w:sz w:val="14"/>
        </w:rPr>
        <w:t>c</w:t>
      </w:r>
      <w:r>
        <w:rPr>
          <w:rFonts w:ascii="Arial"/>
          <w:color w:val="030303"/>
          <w:w w:val="105"/>
          <w:sz w:val="14"/>
        </w:rPr>
        <w:t>ase</w:t>
      </w:r>
      <w:r>
        <w:rPr>
          <w:rFonts w:ascii="Arial"/>
          <w:color w:val="030303"/>
          <w:spacing w:val="-25"/>
          <w:w w:val="105"/>
          <w:sz w:val="14"/>
        </w:rPr>
        <w:t xml:space="preserve"> </w:t>
      </w:r>
      <w:r>
        <w:rPr>
          <w:rFonts w:ascii="Arial"/>
          <w:color w:val="030303"/>
          <w:w w:val="105"/>
          <w:sz w:val="14"/>
        </w:rPr>
        <w:t>study</w:t>
      </w:r>
    </w:p>
    <w:p w:rsidR="00D1511D" w:rsidRDefault="003F0CB3">
      <w:pPr>
        <w:pStyle w:val="ListParagraph"/>
        <w:numPr>
          <w:ilvl w:val="2"/>
          <w:numId w:val="22"/>
        </w:numPr>
        <w:tabs>
          <w:tab w:val="left" w:pos="973"/>
        </w:tabs>
        <w:spacing w:before="7"/>
        <w:ind w:left="972" w:hanging="500"/>
        <w:rPr>
          <w:rFonts w:ascii="Arial"/>
          <w:sz w:val="14"/>
        </w:rPr>
      </w:pPr>
      <w:r>
        <w:pict>
          <v:shape id="_x0000_s1129" alt="" style="position:absolute;left:0;text-align:left;margin-left:0;margin-top:732.25pt;width:438.7pt;height:.1pt;z-index:251742208;mso-wrap-edited:f;mso-width-percent:0;mso-height-percent:0;mso-position-horizontal-relative:page;mso-width-percent:0;mso-height-percent:0" coordsize="8774,1270" o:spt="100" adj="0,,0" path="m1701,-14441r2676,m4377,-14441r6097,e" filled="f" strokeweight=".06244mm">
            <v:stroke joinstyle="round"/>
            <v:formulas/>
            <v:path arrowok="t" o:connecttype="custom" o:connectlocs="1080135,0;2779395,0;2779395,0;6650990,0" o:connectangles="0,0,0,0"/>
            <w10:wrap anchorx="page"/>
          </v:shape>
        </w:pict>
      </w:r>
      <w:r>
        <w:rPr>
          <w:rFonts w:ascii="Arial"/>
          <w:color w:val="131313"/>
          <w:w w:val="105"/>
          <w:sz w:val="14"/>
        </w:rPr>
        <w:t>Coral</w:t>
      </w:r>
      <w:r>
        <w:rPr>
          <w:rFonts w:ascii="Arial"/>
          <w:color w:val="131313"/>
          <w:spacing w:val="-17"/>
          <w:w w:val="105"/>
          <w:sz w:val="14"/>
        </w:rPr>
        <w:t xml:space="preserve"> </w:t>
      </w:r>
      <w:r>
        <w:rPr>
          <w:rFonts w:ascii="Arial"/>
          <w:color w:val="030303"/>
          <w:w w:val="105"/>
          <w:sz w:val="14"/>
        </w:rPr>
        <w:t>trout</w:t>
      </w:r>
      <w:r>
        <w:rPr>
          <w:rFonts w:ascii="Arial"/>
          <w:color w:val="030303"/>
          <w:spacing w:val="-13"/>
          <w:w w:val="105"/>
          <w:sz w:val="14"/>
        </w:rPr>
        <w:t xml:space="preserve"> </w:t>
      </w:r>
      <w:r>
        <w:rPr>
          <w:rFonts w:ascii="Arial"/>
          <w:color w:val="131313"/>
          <w:w w:val="105"/>
          <w:sz w:val="14"/>
        </w:rPr>
        <w:t>case</w:t>
      </w:r>
      <w:r>
        <w:rPr>
          <w:rFonts w:ascii="Arial"/>
          <w:color w:val="131313"/>
          <w:spacing w:val="-15"/>
          <w:w w:val="105"/>
          <w:sz w:val="14"/>
        </w:rPr>
        <w:t xml:space="preserve"> </w:t>
      </w:r>
      <w:r>
        <w:rPr>
          <w:rFonts w:ascii="Arial"/>
          <w:color w:val="131313"/>
          <w:w w:val="105"/>
          <w:sz w:val="14"/>
        </w:rPr>
        <w:t>study</w:t>
      </w:r>
    </w:p>
    <w:p w:rsidR="00D1511D" w:rsidRDefault="003F0CB3">
      <w:pPr>
        <w:spacing w:before="84"/>
        <w:ind w:left="475"/>
        <w:rPr>
          <w:rFonts w:ascii="Arial"/>
          <w:sz w:val="14"/>
        </w:rPr>
      </w:pPr>
      <w:r>
        <w:rPr>
          <w:rFonts w:ascii="Arial"/>
          <w:color w:val="131313"/>
          <w:spacing w:val="-4"/>
          <w:sz w:val="14"/>
        </w:rPr>
        <w:t>2.3</w:t>
      </w:r>
      <w:r>
        <w:rPr>
          <w:rFonts w:ascii="Arial"/>
          <w:color w:val="3B3B3B"/>
          <w:spacing w:val="-4"/>
          <w:sz w:val="14"/>
        </w:rPr>
        <w:t>.</w:t>
      </w:r>
      <w:r>
        <w:rPr>
          <w:rFonts w:ascii="Arial"/>
          <w:color w:val="131313"/>
          <w:spacing w:val="-4"/>
          <w:sz w:val="14"/>
        </w:rPr>
        <w:t xml:space="preserve">5      </w:t>
      </w:r>
      <w:r>
        <w:rPr>
          <w:rFonts w:ascii="Arial"/>
          <w:color w:val="030303"/>
          <w:sz w:val="14"/>
        </w:rPr>
        <w:t>Coral</w:t>
      </w:r>
      <w:r>
        <w:rPr>
          <w:rFonts w:ascii="Arial"/>
          <w:color w:val="030303"/>
          <w:spacing w:val="-8"/>
          <w:sz w:val="14"/>
        </w:rPr>
        <w:t xml:space="preserve"> </w:t>
      </w:r>
      <w:r>
        <w:rPr>
          <w:rFonts w:ascii="Arial"/>
          <w:color w:val="131313"/>
          <w:sz w:val="14"/>
        </w:rPr>
        <w:t>reefs</w:t>
      </w:r>
    </w:p>
    <w:p w:rsidR="00D1511D" w:rsidRDefault="003F0CB3">
      <w:pPr>
        <w:spacing w:before="7"/>
        <w:ind w:left="475"/>
        <w:rPr>
          <w:rFonts w:ascii="Arial"/>
          <w:sz w:val="14"/>
        </w:rPr>
      </w:pPr>
      <w:r>
        <w:rPr>
          <w:rFonts w:ascii="Arial"/>
          <w:color w:val="131313"/>
          <w:w w:val="105"/>
          <w:sz w:val="14"/>
        </w:rPr>
        <w:t>2.4</w:t>
      </w:r>
      <w:r>
        <w:rPr>
          <w:rFonts w:ascii="Arial"/>
          <w:color w:val="3B3B3B"/>
          <w:w w:val="105"/>
          <w:sz w:val="14"/>
        </w:rPr>
        <w:t>.</w:t>
      </w:r>
      <w:r>
        <w:rPr>
          <w:rFonts w:ascii="Arial"/>
          <w:color w:val="131313"/>
          <w:w w:val="105"/>
          <w:sz w:val="14"/>
        </w:rPr>
        <w:t>3 Corals</w:t>
      </w:r>
    </w:p>
    <w:p w:rsidR="00D1511D" w:rsidRDefault="003F0CB3">
      <w:pPr>
        <w:spacing w:before="12"/>
        <w:ind w:left="473"/>
        <w:rPr>
          <w:rFonts w:ascii="Arial"/>
          <w:sz w:val="14"/>
        </w:rPr>
      </w:pPr>
      <w:r>
        <w:pict>
          <v:shape id="_x0000_s1128" alt="" style="position:absolute;left:0;text-align:left;margin-left:0;margin-top:732.3pt;width:438.7pt;height:.1pt;z-index:251743232;mso-wrap-edited:f;mso-width-percent:0;mso-height-percent:0;mso-position-horizontal-relative:page;mso-width-percent:0;mso-height-percent:0" coordsize="8774,1270" o:spt="100" adj="0,,0" path="m1701,-14441r2676,m4377,-14441r6097,e" filled="f" strokeweight=".06244mm">
            <v:stroke joinstyle="round"/>
            <v:formulas/>
            <v:path arrowok="t" o:connecttype="custom" o:connectlocs="1080135,0;2779395,0;2779395,0;6650990,0" o:connectangles="0,0,0,0"/>
            <w10:wrap anchorx="page"/>
          </v:shape>
        </w:pict>
      </w:r>
      <w:r>
        <w:rPr>
          <w:rFonts w:ascii="Arial"/>
          <w:color w:val="131313"/>
          <w:sz w:val="14"/>
        </w:rPr>
        <w:t>8</w:t>
      </w:r>
      <w:r>
        <w:rPr>
          <w:rFonts w:ascii="Arial"/>
          <w:color w:val="3B3B3B"/>
          <w:sz w:val="14"/>
        </w:rPr>
        <w:t>.</w:t>
      </w:r>
      <w:r>
        <w:rPr>
          <w:rFonts w:ascii="Arial"/>
          <w:color w:val="131313"/>
          <w:sz w:val="14"/>
        </w:rPr>
        <w:t>3</w:t>
      </w:r>
      <w:r>
        <w:rPr>
          <w:rFonts w:ascii="Arial"/>
          <w:color w:val="3B3B3B"/>
          <w:sz w:val="14"/>
        </w:rPr>
        <w:t>.</w:t>
      </w:r>
      <w:r>
        <w:rPr>
          <w:rFonts w:ascii="Arial"/>
          <w:color w:val="030303"/>
          <w:sz w:val="14"/>
        </w:rPr>
        <w:t xml:space="preserve">1 </w:t>
      </w:r>
      <w:r>
        <w:rPr>
          <w:rFonts w:ascii="Arial"/>
          <w:color w:val="131313"/>
          <w:sz w:val="14"/>
        </w:rPr>
        <w:t>Coral reef case study</w:t>
      </w:r>
    </w:p>
    <w:p w:rsidR="00D1511D" w:rsidRDefault="003F0CB3">
      <w:pPr>
        <w:spacing w:before="113"/>
        <w:ind w:left="475"/>
        <w:rPr>
          <w:rFonts w:ascii="Arial"/>
          <w:sz w:val="14"/>
        </w:rPr>
      </w:pPr>
      <w:r>
        <w:rPr>
          <w:rFonts w:ascii="Arial"/>
          <w:color w:val="131313"/>
          <w:sz w:val="14"/>
        </w:rPr>
        <w:t>2.3</w:t>
      </w:r>
      <w:r>
        <w:rPr>
          <w:rFonts w:ascii="Arial"/>
          <w:color w:val="3B3B3B"/>
          <w:sz w:val="14"/>
        </w:rPr>
        <w:t>.</w:t>
      </w:r>
      <w:r>
        <w:rPr>
          <w:rFonts w:ascii="Arial"/>
          <w:color w:val="131313"/>
          <w:sz w:val="14"/>
        </w:rPr>
        <w:t xml:space="preserve">3 Mangrove </w:t>
      </w:r>
      <w:r>
        <w:rPr>
          <w:rFonts w:ascii="Arial"/>
          <w:color w:val="030303"/>
          <w:sz w:val="14"/>
        </w:rPr>
        <w:t>forests</w:t>
      </w:r>
    </w:p>
    <w:p w:rsidR="00D1511D" w:rsidRDefault="003F0CB3">
      <w:pPr>
        <w:spacing w:before="12"/>
        <w:ind w:left="475"/>
        <w:rPr>
          <w:rFonts w:ascii="Arial"/>
          <w:sz w:val="14"/>
        </w:rPr>
      </w:pPr>
      <w:r>
        <w:pict>
          <v:shape id="_x0000_s1127" alt="" style="position:absolute;left:0;text-align:left;margin-left:0;margin-top:733.85pt;width:438.7pt;height:.1pt;z-index:251744256;mso-wrap-edited:f;mso-width-percent:0;mso-height-percent:0;mso-position-horizontal-relative:page;mso-width-percent:0;mso-height-percent:0" coordsize="8774,1270" o:spt="100" adj="0,,0" path="m1701,-14441r2676,m4377,-14441r6097,e" filled="f" strokeweight=".06244mm">
            <v:stroke joinstyle="round"/>
            <v:formulas/>
            <v:path arrowok="t" o:connecttype="custom" o:connectlocs="1080135,0;2779395,0;2779395,0;6650990,0" o:connectangles="0,0,0,0"/>
            <w10:wrap anchorx="page"/>
          </v:shape>
        </w:pict>
      </w:r>
      <w:r>
        <w:rPr>
          <w:rFonts w:ascii="Arial"/>
          <w:color w:val="131313"/>
          <w:w w:val="105"/>
          <w:sz w:val="14"/>
        </w:rPr>
        <w:t>2.4</w:t>
      </w:r>
      <w:r>
        <w:rPr>
          <w:rFonts w:ascii="Arial"/>
          <w:color w:val="3B3B3B"/>
          <w:w w:val="105"/>
          <w:sz w:val="14"/>
        </w:rPr>
        <w:t>.</w:t>
      </w:r>
      <w:r>
        <w:rPr>
          <w:rFonts w:ascii="Arial"/>
          <w:color w:val="030303"/>
          <w:w w:val="105"/>
          <w:sz w:val="14"/>
        </w:rPr>
        <w:t xml:space="preserve">1 </w:t>
      </w:r>
      <w:r>
        <w:rPr>
          <w:rFonts w:ascii="Arial"/>
          <w:color w:val="131313"/>
          <w:w w:val="105"/>
          <w:sz w:val="14"/>
        </w:rPr>
        <w:t>Mangroves</w:t>
      </w:r>
    </w:p>
    <w:p w:rsidR="00D1511D" w:rsidRDefault="003F0CB3">
      <w:pPr>
        <w:pStyle w:val="BodyText"/>
        <w:rPr>
          <w:rFonts w:ascii="Arial"/>
          <w:sz w:val="16"/>
        </w:rPr>
      </w:pPr>
      <w:r>
        <w:br w:type="column"/>
      </w:r>
    </w:p>
    <w:p w:rsidR="00D1511D" w:rsidRDefault="00D1511D">
      <w:pPr>
        <w:pStyle w:val="BodyText"/>
        <w:rPr>
          <w:rFonts w:ascii="Arial"/>
          <w:sz w:val="16"/>
        </w:rPr>
      </w:pPr>
    </w:p>
    <w:p w:rsidR="00D1511D" w:rsidRDefault="00D1511D">
      <w:pPr>
        <w:pStyle w:val="BodyText"/>
        <w:rPr>
          <w:rFonts w:ascii="Arial"/>
          <w:sz w:val="16"/>
        </w:rPr>
      </w:pPr>
    </w:p>
    <w:p w:rsidR="00D1511D" w:rsidRDefault="00D1511D">
      <w:pPr>
        <w:pStyle w:val="BodyText"/>
        <w:rPr>
          <w:rFonts w:ascii="Arial"/>
          <w:sz w:val="16"/>
        </w:rPr>
      </w:pPr>
    </w:p>
    <w:p w:rsidR="00D1511D" w:rsidRDefault="003F0CB3">
      <w:pPr>
        <w:pStyle w:val="ListParagraph"/>
        <w:numPr>
          <w:ilvl w:val="0"/>
          <w:numId w:val="21"/>
        </w:numPr>
        <w:tabs>
          <w:tab w:val="left" w:pos="714"/>
        </w:tabs>
        <w:spacing w:before="130" w:line="249" w:lineRule="auto"/>
        <w:ind w:right="249" w:hanging="356"/>
        <w:rPr>
          <w:rFonts w:ascii="Arial"/>
          <w:sz w:val="14"/>
        </w:rPr>
      </w:pPr>
      <w:r>
        <w:rPr>
          <w:rFonts w:ascii="Arial"/>
          <w:color w:val="131313"/>
          <w:sz w:val="14"/>
        </w:rPr>
        <w:t xml:space="preserve">One of </w:t>
      </w:r>
      <w:r>
        <w:rPr>
          <w:rFonts w:ascii="Arial"/>
          <w:color w:val="030303"/>
          <w:sz w:val="14"/>
        </w:rPr>
        <w:t xml:space="preserve">the </w:t>
      </w:r>
      <w:r>
        <w:rPr>
          <w:rFonts w:ascii="Arial"/>
          <w:color w:val="131313"/>
          <w:sz w:val="14"/>
        </w:rPr>
        <w:t xml:space="preserve">richest and most complex natural ecosystems on </w:t>
      </w:r>
      <w:r>
        <w:rPr>
          <w:rFonts w:ascii="Arial"/>
          <w:color w:val="030303"/>
          <w:spacing w:val="-3"/>
          <w:sz w:val="14"/>
        </w:rPr>
        <w:t>Earth</w:t>
      </w:r>
      <w:r>
        <w:rPr>
          <w:rFonts w:ascii="Arial"/>
          <w:color w:val="262626"/>
          <w:spacing w:val="-3"/>
          <w:sz w:val="14"/>
        </w:rPr>
        <w:t xml:space="preserve">, </w:t>
      </w:r>
      <w:r>
        <w:rPr>
          <w:rFonts w:ascii="Arial"/>
          <w:color w:val="131313"/>
          <w:sz w:val="14"/>
        </w:rPr>
        <w:t xml:space="preserve">and one of </w:t>
      </w:r>
      <w:r>
        <w:rPr>
          <w:rFonts w:ascii="Arial"/>
          <w:color w:val="030303"/>
          <w:sz w:val="14"/>
        </w:rPr>
        <w:t xml:space="preserve">the </w:t>
      </w:r>
      <w:r>
        <w:rPr>
          <w:rFonts w:ascii="Arial"/>
          <w:color w:val="131313"/>
          <w:sz w:val="14"/>
        </w:rPr>
        <w:t>most</w:t>
      </w:r>
      <w:r>
        <w:rPr>
          <w:rFonts w:ascii="Arial"/>
          <w:color w:val="030303"/>
          <w:sz w:val="14"/>
        </w:rPr>
        <w:t xml:space="preserve"> </w:t>
      </w:r>
      <w:r>
        <w:rPr>
          <w:rFonts w:ascii="Arial"/>
          <w:color w:val="030303"/>
          <w:spacing w:val="-3"/>
          <w:sz w:val="14"/>
        </w:rPr>
        <w:t>signifi</w:t>
      </w:r>
      <w:r>
        <w:rPr>
          <w:rFonts w:ascii="Arial"/>
          <w:color w:val="262626"/>
          <w:spacing w:val="-3"/>
          <w:sz w:val="14"/>
        </w:rPr>
        <w:t>ca</w:t>
      </w:r>
      <w:r>
        <w:rPr>
          <w:rFonts w:ascii="Arial"/>
          <w:color w:val="030303"/>
          <w:spacing w:val="-3"/>
          <w:sz w:val="14"/>
        </w:rPr>
        <w:t xml:space="preserve">nt </w:t>
      </w:r>
      <w:r>
        <w:rPr>
          <w:rFonts w:ascii="Arial"/>
          <w:color w:val="030303"/>
          <w:sz w:val="14"/>
        </w:rPr>
        <w:t xml:space="preserve">for </w:t>
      </w:r>
      <w:r>
        <w:rPr>
          <w:rFonts w:ascii="Arial"/>
          <w:b/>
          <w:color w:val="030303"/>
          <w:sz w:val="14"/>
        </w:rPr>
        <w:t>biodiversity</w:t>
      </w:r>
      <w:r>
        <w:rPr>
          <w:rFonts w:ascii="Arial"/>
          <w:b/>
          <w:color w:val="030303"/>
          <w:spacing w:val="15"/>
          <w:sz w:val="14"/>
        </w:rPr>
        <w:t xml:space="preserve"> </w:t>
      </w:r>
      <w:r>
        <w:rPr>
          <w:rFonts w:ascii="Arial"/>
          <w:color w:val="131313"/>
          <w:sz w:val="14"/>
        </w:rPr>
        <w:t>conservation</w:t>
      </w:r>
    </w:p>
    <w:p w:rsidR="00D1511D" w:rsidRDefault="003F0CB3">
      <w:pPr>
        <w:pStyle w:val="ListParagraph"/>
        <w:numPr>
          <w:ilvl w:val="0"/>
          <w:numId w:val="21"/>
        </w:numPr>
        <w:tabs>
          <w:tab w:val="left" w:pos="713"/>
        </w:tabs>
        <w:spacing w:before="54" w:line="249" w:lineRule="auto"/>
        <w:ind w:left="714" w:right="609" w:hanging="354"/>
        <w:rPr>
          <w:rFonts w:ascii="Arial"/>
          <w:sz w:val="14"/>
        </w:rPr>
      </w:pPr>
      <w:r>
        <w:rPr>
          <w:rFonts w:ascii="Arial"/>
          <w:color w:val="030303"/>
          <w:sz w:val="14"/>
        </w:rPr>
        <w:t xml:space="preserve">Tens </w:t>
      </w:r>
      <w:r>
        <w:rPr>
          <w:rFonts w:ascii="Arial"/>
          <w:color w:val="131313"/>
          <w:sz w:val="14"/>
        </w:rPr>
        <w:t xml:space="preserve">of </w:t>
      </w:r>
      <w:r>
        <w:rPr>
          <w:rFonts w:ascii="Arial"/>
          <w:color w:val="030303"/>
          <w:sz w:val="14"/>
        </w:rPr>
        <w:t xml:space="preserve">thousands </w:t>
      </w:r>
      <w:r>
        <w:rPr>
          <w:rFonts w:ascii="Arial"/>
          <w:color w:val="131313"/>
          <w:sz w:val="14"/>
        </w:rPr>
        <w:t xml:space="preserve">of </w:t>
      </w:r>
      <w:r>
        <w:rPr>
          <w:rFonts w:ascii="Arial"/>
          <w:b/>
          <w:color w:val="030303"/>
          <w:sz w:val="14"/>
        </w:rPr>
        <w:t xml:space="preserve">marine </w:t>
      </w:r>
      <w:r>
        <w:rPr>
          <w:rFonts w:ascii="Arial"/>
          <w:color w:val="131313"/>
          <w:sz w:val="14"/>
        </w:rPr>
        <w:t xml:space="preserve">and </w:t>
      </w:r>
      <w:r>
        <w:rPr>
          <w:rFonts w:ascii="Arial"/>
          <w:b/>
          <w:color w:val="030303"/>
          <w:sz w:val="14"/>
        </w:rPr>
        <w:t xml:space="preserve">terrestrial </w:t>
      </w:r>
      <w:r>
        <w:rPr>
          <w:rFonts w:ascii="Arial"/>
          <w:b/>
          <w:color w:val="030303"/>
          <w:spacing w:val="-3"/>
          <w:sz w:val="14"/>
        </w:rPr>
        <w:t>species</w:t>
      </w:r>
      <w:r>
        <w:rPr>
          <w:rFonts w:ascii="Arial"/>
          <w:b/>
          <w:color w:val="262626"/>
          <w:spacing w:val="-3"/>
          <w:sz w:val="14"/>
        </w:rPr>
        <w:t xml:space="preserve">, </w:t>
      </w:r>
      <w:r>
        <w:rPr>
          <w:rFonts w:ascii="Arial"/>
          <w:color w:val="030303"/>
          <w:sz w:val="14"/>
        </w:rPr>
        <w:t xml:space="preserve">many </w:t>
      </w:r>
      <w:r>
        <w:rPr>
          <w:rFonts w:ascii="Arial"/>
          <w:color w:val="131313"/>
          <w:sz w:val="14"/>
        </w:rPr>
        <w:t>of which are of global conservation</w:t>
      </w:r>
      <w:r>
        <w:rPr>
          <w:rFonts w:ascii="Arial"/>
          <w:color w:val="131313"/>
          <w:spacing w:val="7"/>
          <w:sz w:val="14"/>
        </w:rPr>
        <w:t xml:space="preserve"> </w:t>
      </w:r>
      <w:r>
        <w:rPr>
          <w:rFonts w:ascii="Arial"/>
          <w:color w:val="030303"/>
          <w:sz w:val="14"/>
        </w:rPr>
        <w:t>significance</w:t>
      </w:r>
    </w:p>
    <w:p w:rsidR="00D1511D" w:rsidRDefault="00D1511D">
      <w:pPr>
        <w:pStyle w:val="BodyText"/>
        <w:rPr>
          <w:rFonts w:ascii="Arial"/>
          <w:sz w:val="16"/>
        </w:rPr>
      </w:pPr>
    </w:p>
    <w:p w:rsidR="00D1511D" w:rsidRDefault="00D1511D">
      <w:pPr>
        <w:pStyle w:val="BodyText"/>
        <w:rPr>
          <w:rFonts w:ascii="Arial"/>
          <w:sz w:val="16"/>
        </w:rPr>
      </w:pPr>
    </w:p>
    <w:p w:rsidR="00D1511D" w:rsidRDefault="00D1511D">
      <w:pPr>
        <w:pStyle w:val="BodyText"/>
        <w:rPr>
          <w:rFonts w:ascii="Arial"/>
          <w:sz w:val="16"/>
        </w:rPr>
      </w:pPr>
    </w:p>
    <w:p w:rsidR="00D1511D" w:rsidRDefault="00D1511D">
      <w:pPr>
        <w:pStyle w:val="BodyText"/>
        <w:rPr>
          <w:rFonts w:ascii="Arial"/>
          <w:sz w:val="16"/>
        </w:rPr>
      </w:pPr>
    </w:p>
    <w:p w:rsidR="00D1511D" w:rsidRDefault="00D1511D">
      <w:pPr>
        <w:pStyle w:val="BodyText"/>
        <w:spacing w:before="10"/>
        <w:rPr>
          <w:rFonts w:ascii="Arial"/>
          <w:sz w:val="23"/>
        </w:rPr>
      </w:pPr>
    </w:p>
    <w:p w:rsidR="00D1511D" w:rsidRDefault="003F0CB3">
      <w:pPr>
        <w:pStyle w:val="ListParagraph"/>
        <w:numPr>
          <w:ilvl w:val="0"/>
          <w:numId w:val="21"/>
        </w:numPr>
        <w:tabs>
          <w:tab w:val="left" w:pos="713"/>
        </w:tabs>
        <w:spacing w:line="256" w:lineRule="auto"/>
        <w:ind w:left="714" w:right="584" w:hanging="354"/>
        <w:rPr>
          <w:rFonts w:ascii="Arial"/>
          <w:sz w:val="14"/>
        </w:rPr>
      </w:pPr>
      <w:r>
        <w:rPr>
          <w:rFonts w:ascii="Arial"/>
          <w:color w:val="030303"/>
          <w:w w:val="105"/>
          <w:sz w:val="14"/>
        </w:rPr>
        <w:t>The</w:t>
      </w:r>
      <w:r>
        <w:rPr>
          <w:rFonts w:ascii="Arial"/>
          <w:color w:val="030303"/>
          <w:spacing w:val="-14"/>
          <w:w w:val="105"/>
          <w:sz w:val="14"/>
        </w:rPr>
        <w:t xml:space="preserve"> </w:t>
      </w:r>
      <w:r>
        <w:rPr>
          <w:rFonts w:ascii="Arial"/>
          <w:color w:val="262626"/>
          <w:w w:val="105"/>
          <w:sz w:val="14"/>
        </w:rPr>
        <w:t>wor</w:t>
      </w:r>
      <w:r>
        <w:rPr>
          <w:rFonts w:ascii="Arial"/>
          <w:color w:val="030303"/>
          <w:w w:val="105"/>
          <w:sz w:val="14"/>
        </w:rPr>
        <w:t>ld's</w:t>
      </w:r>
      <w:r>
        <w:rPr>
          <w:rFonts w:ascii="Arial"/>
          <w:color w:val="030303"/>
          <w:spacing w:val="-16"/>
          <w:w w:val="105"/>
          <w:sz w:val="14"/>
        </w:rPr>
        <w:t xml:space="preserve"> </w:t>
      </w:r>
      <w:r>
        <w:rPr>
          <w:rFonts w:ascii="Arial"/>
          <w:color w:val="131313"/>
          <w:w w:val="105"/>
          <w:sz w:val="14"/>
        </w:rPr>
        <w:t>most</w:t>
      </w:r>
      <w:r>
        <w:rPr>
          <w:rFonts w:ascii="Arial"/>
          <w:color w:val="131313"/>
          <w:spacing w:val="-11"/>
          <w:w w:val="105"/>
          <w:sz w:val="14"/>
        </w:rPr>
        <w:t xml:space="preserve"> </w:t>
      </w:r>
      <w:r>
        <w:rPr>
          <w:rFonts w:ascii="Arial"/>
          <w:color w:val="131313"/>
          <w:w w:val="105"/>
          <w:sz w:val="14"/>
        </w:rPr>
        <w:t>complex</w:t>
      </w:r>
      <w:r>
        <w:rPr>
          <w:rFonts w:ascii="Arial"/>
          <w:color w:val="131313"/>
          <w:spacing w:val="-9"/>
          <w:w w:val="105"/>
          <w:sz w:val="14"/>
        </w:rPr>
        <w:t xml:space="preserve"> </w:t>
      </w:r>
      <w:r>
        <w:rPr>
          <w:rFonts w:ascii="Arial"/>
          <w:color w:val="131313"/>
          <w:w w:val="105"/>
          <w:sz w:val="14"/>
        </w:rPr>
        <w:t>expanse</w:t>
      </w:r>
      <w:r>
        <w:rPr>
          <w:rFonts w:ascii="Arial"/>
          <w:color w:val="131313"/>
          <w:spacing w:val="-10"/>
          <w:w w:val="105"/>
          <w:sz w:val="14"/>
        </w:rPr>
        <w:t xml:space="preserve"> </w:t>
      </w:r>
      <w:r>
        <w:rPr>
          <w:rFonts w:ascii="Arial"/>
          <w:color w:val="131313"/>
          <w:w w:val="105"/>
          <w:sz w:val="14"/>
        </w:rPr>
        <w:t>of</w:t>
      </w:r>
      <w:r>
        <w:rPr>
          <w:rFonts w:ascii="Arial"/>
          <w:color w:val="131313"/>
          <w:spacing w:val="-12"/>
          <w:w w:val="105"/>
          <w:sz w:val="14"/>
        </w:rPr>
        <w:t xml:space="preserve"> </w:t>
      </w:r>
      <w:r>
        <w:rPr>
          <w:rFonts w:ascii="Arial"/>
          <w:b/>
          <w:color w:val="030303"/>
          <w:w w:val="105"/>
          <w:sz w:val="14"/>
        </w:rPr>
        <w:t>coral</w:t>
      </w:r>
      <w:r>
        <w:rPr>
          <w:rFonts w:ascii="Arial"/>
          <w:b/>
          <w:color w:val="030303"/>
          <w:spacing w:val="-13"/>
          <w:w w:val="105"/>
          <w:sz w:val="14"/>
        </w:rPr>
        <w:t xml:space="preserve"> </w:t>
      </w:r>
      <w:r>
        <w:rPr>
          <w:rFonts w:ascii="Arial"/>
          <w:b/>
          <w:color w:val="030303"/>
          <w:w w:val="105"/>
          <w:sz w:val="14"/>
        </w:rPr>
        <w:t>reefs</w:t>
      </w:r>
      <w:r>
        <w:rPr>
          <w:rFonts w:ascii="Arial"/>
          <w:b/>
          <w:color w:val="030303"/>
          <w:spacing w:val="-16"/>
          <w:w w:val="105"/>
          <w:sz w:val="14"/>
        </w:rPr>
        <w:t xml:space="preserve"> </w:t>
      </w:r>
      <w:r>
        <w:rPr>
          <w:rFonts w:ascii="Arial"/>
          <w:color w:val="262626"/>
          <w:w w:val="105"/>
          <w:sz w:val="14"/>
        </w:rPr>
        <w:t>...</w:t>
      </w:r>
      <w:r>
        <w:rPr>
          <w:rFonts w:ascii="Arial"/>
          <w:color w:val="262626"/>
          <w:spacing w:val="-17"/>
          <w:w w:val="105"/>
          <w:sz w:val="14"/>
        </w:rPr>
        <w:t xml:space="preserve"> </w:t>
      </w:r>
      <w:r>
        <w:rPr>
          <w:rFonts w:ascii="Arial"/>
          <w:color w:val="131313"/>
          <w:w w:val="105"/>
          <w:sz w:val="14"/>
        </w:rPr>
        <w:t>Contain</w:t>
      </w:r>
      <w:r>
        <w:rPr>
          <w:rFonts w:ascii="Arial"/>
          <w:color w:val="131313"/>
          <w:spacing w:val="-9"/>
          <w:w w:val="105"/>
          <w:sz w:val="14"/>
        </w:rPr>
        <w:t xml:space="preserve"> </w:t>
      </w:r>
      <w:r>
        <w:rPr>
          <w:rFonts w:ascii="Arial"/>
          <w:color w:val="131313"/>
          <w:w w:val="105"/>
          <w:sz w:val="14"/>
        </w:rPr>
        <w:t>some</w:t>
      </w:r>
      <w:r>
        <w:rPr>
          <w:rFonts w:ascii="Arial"/>
          <w:color w:val="131313"/>
          <w:spacing w:val="-10"/>
          <w:w w:val="105"/>
          <w:sz w:val="14"/>
        </w:rPr>
        <w:t xml:space="preserve"> </w:t>
      </w:r>
      <w:r>
        <w:rPr>
          <w:rFonts w:ascii="Arial"/>
          <w:color w:val="131313"/>
          <w:w w:val="105"/>
          <w:sz w:val="14"/>
        </w:rPr>
        <w:t>400</w:t>
      </w:r>
      <w:r>
        <w:rPr>
          <w:rFonts w:ascii="Arial"/>
          <w:color w:val="131313"/>
          <w:spacing w:val="-11"/>
          <w:w w:val="105"/>
          <w:sz w:val="14"/>
        </w:rPr>
        <w:t xml:space="preserve"> </w:t>
      </w:r>
      <w:r>
        <w:rPr>
          <w:rFonts w:ascii="Arial"/>
          <w:color w:val="131313"/>
          <w:w w:val="105"/>
          <w:sz w:val="14"/>
        </w:rPr>
        <w:t>species</w:t>
      </w:r>
      <w:r>
        <w:rPr>
          <w:rFonts w:ascii="Arial"/>
          <w:color w:val="131313"/>
          <w:spacing w:val="-9"/>
          <w:w w:val="105"/>
          <w:sz w:val="14"/>
        </w:rPr>
        <w:t xml:space="preserve"> </w:t>
      </w:r>
      <w:r>
        <w:rPr>
          <w:rFonts w:ascii="Arial"/>
          <w:color w:val="131313"/>
          <w:w w:val="105"/>
          <w:sz w:val="14"/>
        </w:rPr>
        <w:t xml:space="preserve">of corals </w:t>
      </w:r>
      <w:r>
        <w:rPr>
          <w:rFonts w:ascii="Arial"/>
          <w:color w:val="030303"/>
          <w:w w:val="105"/>
          <w:sz w:val="14"/>
        </w:rPr>
        <w:t xml:space="preserve">in </w:t>
      </w:r>
      <w:r>
        <w:rPr>
          <w:rFonts w:ascii="Arial"/>
          <w:color w:val="131313"/>
          <w:w w:val="105"/>
          <w:sz w:val="14"/>
        </w:rPr>
        <w:t>60</w:t>
      </w:r>
      <w:r>
        <w:rPr>
          <w:rFonts w:ascii="Arial"/>
          <w:color w:val="131313"/>
          <w:spacing w:val="-18"/>
          <w:w w:val="105"/>
          <w:sz w:val="14"/>
        </w:rPr>
        <w:t xml:space="preserve"> </w:t>
      </w:r>
      <w:r>
        <w:rPr>
          <w:rFonts w:ascii="Arial"/>
          <w:color w:val="131313"/>
          <w:w w:val="105"/>
          <w:sz w:val="14"/>
        </w:rPr>
        <w:t>genera</w:t>
      </w:r>
    </w:p>
    <w:p w:rsidR="00D1511D" w:rsidRDefault="00D1511D">
      <w:pPr>
        <w:pStyle w:val="BodyText"/>
        <w:spacing w:before="5"/>
        <w:rPr>
          <w:rFonts w:ascii="Arial"/>
          <w:sz w:val="16"/>
        </w:rPr>
      </w:pPr>
    </w:p>
    <w:p w:rsidR="00D1511D" w:rsidRDefault="003F0CB3">
      <w:pPr>
        <w:pStyle w:val="ListParagraph"/>
        <w:numPr>
          <w:ilvl w:val="0"/>
          <w:numId w:val="21"/>
        </w:numPr>
        <w:tabs>
          <w:tab w:val="left" w:pos="720"/>
        </w:tabs>
        <w:spacing w:line="249" w:lineRule="auto"/>
        <w:ind w:left="713" w:right="303"/>
        <w:rPr>
          <w:rFonts w:ascii="Arial"/>
          <w:b/>
          <w:sz w:val="14"/>
        </w:rPr>
      </w:pPr>
      <w:r>
        <w:rPr>
          <w:rFonts w:ascii="Arial"/>
          <w:color w:val="030303"/>
          <w:sz w:val="14"/>
        </w:rPr>
        <w:t xml:space="preserve">Large </w:t>
      </w:r>
      <w:r>
        <w:rPr>
          <w:rFonts w:ascii="Arial"/>
          <w:color w:val="131313"/>
          <w:sz w:val="14"/>
        </w:rPr>
        <w:t xml:space="preserve">ecologically </w:t>
      </w:r>
      <w:r>
        <w:rPr>
          <w:rFonts w:ascii="Arial"/>
          <w:color w:val="030303"/>
          <w:sz w:val="14"/>
        </w:rPr>
        <w:t>important inter-</w:t>
      </w:r>
      <w:proofErr w:type="spellStart"/>
      <w:r>
        <w:rPr>
          <w:rFonts w:ascii="Arial"/>
          <w:color w:val="030303"/>
          <w:sz w:val="14"/>
        </w:rPr>
        <w:t>reefal</w:t>
      </w:r>
      <w:proofErr w:type="spellEnd"/>
      <w:r>
        <w:rPr>
          <w:rFonts w:ascii="Arial"/>
          <w:color w:val="030303"/>
          <w:sz w:val="14"/>
        </w:rPr>
        <w:t xml:space="preserve"> </w:t>
      </w:r>
      <w:r>
        <w:rPr>
          <w:rFonts w:ascii="Arial"/>
          <w:color w:val="131313"/>
          <w:sz w:val="14"/>
        </w:rPr>
        <w:t xml:space="preserve">areas. </w:t>
      </w:r>
      <w:r>
        <w:rPr>
          <w:rFonts w:ascii="Arial"/>
          <w:color w:val="030303"/>
          <w:sz w:val="14"/>
        </w:rPr>
        <w:t xml:space="preserve">The </w:t>
      </w:r>
      <w:r>
        <w:rPr>
          <w:rFonts w:ascii="Arial"/>
          <w:color w:val="131313"/>
          <w:sz w:val="14"/>
        </w:rPr>
        <w:t xml:space="preserve">shallower </w:t>
      </w:r>
      <w:r>
        <w:rPr>
          <w:rFonts w:ascii="Arial"/>
          <w:color w:val="030303"/>
          <w:sz w:val="14"/>
        </w:rPr>
        <w:t xml:space="preserve">marine </w:t>
      </w:r>
      <w:r>
        <w:rPr>
          <w:rFonts w:ascii="Arial"/>
          <w:color w:val="131313"/>
          <w:sz w:val="14"/>
        </w:rPr>
        <w:t xml:space="preserve">areas support </w:t>
      </w:r>
      <w:r>
        <w:rPr>
          <w:rFonts w:ascii="Arial"/>
          <w:color w:val="030303"/>
          <w:sz w:val="14"/>
        </w:rPr>
        <w:t>half</w:t>
      </w:r>
      <w:r>
        <w:rPr>
          <w:rFonts w:ascii="Arial"/>
          <w:color w:val="131313"/>
          <w:sz w:val="14"/>
        </w:rPr>
        <w:t xml:space="preserve"> the </w:t>
      </w:r>
      <w:r>
        <w:rPr>
          <w:rFonts w:ascii="Arial"/>
          <w:color w:val="262626"/>
          <w:sz w:val="14"/>
        </w:rPr>
        <w:t>wor</w:t>
      </w:r>
      <w:r>
        <w:rPr>
          <w:rFonts w:ascii="Arial"/>
          <w:color w:val="030303"/>
          <w:sz w:val="14"/>
        </w:rPr>
        <w:t>ld</w:t>
      </w:r>
      <w:r>
        <w:rPr>
          <w:rFonts w:ascii="Arial"/>
          <w:color w:val="262626"/>
          <w:sz w:val="14"/>
        </w:rPr>
        <w:t xml:space="preserve">'s </w:t>
      </w:r>
      <w:r>
        <w:rPr>
          <w:rFonts w:ascii="Arial"/>
          <w:color w:val="131313"/>
          <w:sz w:val="14"/>
        </w:rPr>
        <w:t>diversity of</w:t>
      </w:r>
      <w:r>
        <w:rPr>
          <w:rFonts w:ascii="Arial"/>
          <w:color w:val="131313"/>
          <w:spacing w:val="1"/>
          <w:sz w:val="14"/>
        </w:rPr>
        <w:t xml:space="preserve"> </w:t>
      </w:r>
      <w:r>
        <w:rPr>
          <w:rFonts w:ascii="Arial"/>
          <w:b/>
          <w:color w:val="030303"/>
          <w:sz w:val="14"/>
        </w:rPr>
        <w:t>mangroves</w:t>
      </w:r>
    </w:p>
    <w:p w:rsidR="00D1511D" w:rsidRDefault="00D1511D">
      <w:pPr>
        <w:spacing w:line="249" w:lineRule="auto"/>
        <w:rPr>
          <w:rFonts w:ascii="Arial"/>
          <w:sz w:val="14"/>
        </w:rPr>
        <w:sectPr w:rsidR="00D1511D">
          <w:type w:val="continuous"/>
          <w:pgSz w:w="11910" w:h="16840"/>
          <w:pgMar w:top="620" w:right="1300" w:bottom="280" w:left="1300" w:header="720" w:footer="720" w:gutter="0"/>
          <w:cols w:num="2" w:space="720" w:equalWidth="0">
            <w:col w:w="2754" w:space="40"/>
            <w:col w:w="6516"/>
          </w:cols>
        </w:sectPr>
      </w:pPr>
    </w:p>
    <w:p w:rsidR="00D1511D" w:rsidRDefault="00D1511D">
      <w:pPr>
        <w:pStyle w:val="BodyText"/>
        <w:spacing w:before="8"/>
        <w:rPr>
          <w:rFonts w:ascii="Arial"/>
          <w:b/>
          <w:sz w:val="12"/>
        </w:rPr>
      </w:pPr>
    </w:p>
    <w:p w:rsidR="00D1511D" w:rsidRDefault="003F0CB3">
      <w:pPr>
        <w:ind w:left="475"/>
        <w:rPr>
          <w:rFonts w:ascii="Arial"/>
          <w:sz w:val="14"/>
        </w:rPr>
      </w:pPr>
      <w:r>
        <w:rPr>
          <w:rFonts w:ascii="Arial"/>
          <w:color w:val="131313"/>
          <w:sz w:val="14"/>
        </w:rPr>
        <w:t>2.3.4</w:t>
      </w:r>
    </w:p>
    <w:p w:rsidR="00D1511D" w:rsidRDefault="003F0CB3">
      <w:pPr>
        <w:spacing w:before="7"/>
        <w:ind w:left="475"/>
        <w:rPr>
          <w:rFonts w:ascii="Arial"/>
          <w:sz w:val="14"/>
        </w:rPr>
      </w:pPr>
      <w:r>
        <w:pict>
          <v:shape id="_x0000_s1126" alt="" style="position:absolute;left:0;text-align:left;margin-left:0;margin-top:733.7pt;width:438.7pt;height:.1pt;z-index:251745280;mso-wrap-edited:f;mso-width-percent:0;mso-height-percent:0;mso-position-horizontal-relative:page;mso-width-percent:0;mso-height-percent:0" coordsize="8774,1270" o:spt="100" adj="0,,0" path="m1701,-14441r2676,m4377,-14441r6097,e" filled="f" strokeweight=".06244mm">
            <v:stroke joinstyle="round"/>
            <v:formulas/>
            <v:path arrowok="t" o:connecttype="custom" o:connectlocs="1080135,0;2779395,0;2779395,0;6650990,0" o:connectangles="0,0,0,0"/>
            <w10:wrap anchorx="page"/>
          </v:shape>
        </w:pict>
      </w:r>
      <w:r>
        <w:rPr>
          <w:rFonts w:ascii="Arial"/>
          <w:color w:val="131313"/>
          <w:spacing w:val="-4"/>
          <w:w w:val="105"/>
          <w:sz w:val="14"/>
        </w:rPr>
        <w:t>2.4</w:t>
      </w:r>
      <w:r>
        <w:rPr>
          <w:rFonts w:ascii="Arial"/>
          <w:color w:val="3B3B3B"/>
          <w:spacing w:val="-4"/>
          <w:w w:val="105"/>
          <w:sz w:val="14"/>
        </w:rPr>
        <w:t>.</w:t>
      </w:r>
      <w:r>
        <w:rPr>
          <w:rFonts w:ascii="Arial"/>
          <w:color w:val="131313"/>
          <w:spacing w:val="-4"/>
          <w:w w:val="105"/>
          <w:sz w:val="14"/>
        </w:rPr>
        <w:t>2</w:t>
      </w:r>
    </w:p>
    <w:p w:rsidR="00D1511D" w:rsidRDefault="003F0CB3">
      <w:pPr>
        <w:pStyle w:val="BodyText"/>
        <w:spacing w:before="8"/>
        <w:rPr>
          <w:rFonts w:ascii="Arial"/>
          <w:sz w:val="12"/>
        </w:rPr>
      </w:pPr>
      <w:r>
        <w:br w:type="column"/>
      </w:r>
    </w:p>
    <w:p w:rsidR="00D1511D" w:rsidRDefault="003F0CB3">
      <w:pPr>
        <w:spacing w:line="249" w:lineRule="auto"/>
        <w:ind w:left="134"/>
        <w:rPr>
          <w:rFonts w:ascii="Arial"/>
          <w:sz w:val="14"/>
        </w:rPr>
      </w:pPr>
      <w:r>
        <w:rPr>
          <w:rFonts w:ascii="Arial"/>
          <w:color w:val="131313"/>
          <w:sz w:val="14"/>
        </w:rPr>
        <w:t xml:space="preserve">Seagrass </w:t>
      </w:r>
      <w:r>
        <w:rPr>
          <w:rFonts w:ascii="Arial"/>
          <w:color w:val="030303"/>
          <w:sz w:val="14"/>
        </w:rPr>
        <w:t>meado</w:t>
      </w:r>
      <w:r>
        <w:rPr>
          <w:rFonts w:ascii="Arial"/>
          <w:color w:val="262626"/>
          <w:sz w:val="14"/>
        </w:rPr>
        <w:t xml:space="preserve">ws </w:t>
      </w:r>
      <w:r>
        <w:rPr>
          <w:rFonts w:ascii="Arial"/>
          <w:color w:val="030303"/>
          <w:sz w:val="14"/>
        </w:rPr>
        <w:t>Seagrasses</w:t>
      </w:r>
    </w:p>
    <w:p w:rsidR="00D1511D" w:rsidRDefault="003F0CB3">
      <w:pPr>
        <w:pStyle w:val="ListParagraph"/>
        <w:numPr>
          <w:ilvl w:val="0"/>
          <w:numId w:val="20"/>
        </w:numPr>
        <w:tabs>
          <w:tab w:val="left" w:pos="830"/>
        </w:tabs>
        <w:spacing w:before="141" w:line="256" w:lineRule="auto"/>
        <w:ind w:right="403" w:hanging="356"/>
        <w:jc w:val="left"/>
        <w:rPr>
          <w:rFonts w:ascii="Arial"/>
          <w:sz w:val="14"/>
        </w:rPr>
      </w:pPr>
      <w:r>
        <w:rPr>
          <w:rFonts w:ascii="Arial"/>
          <w:color w:val="030303"/>
          <w:spacing w:val="-1"/>
          <w:sz w:val="14"/>
        </w:rPr>
        <w:br w:type="column"/>
      </w:r>
      <w:r>
        <w:rPr>
          <w:rFonts w:ascii="Arial"/>
          <w:color w:val="030303"/>
          <w:sz w:val="14"/>
        </w:rPr>
        <w:t xml:space="preserve">Large </w:t>
      </w:r>
      <w:r>
        <w:rPr>
          <w:rFonts w:ascii="Arial"/>
          <w:color w:val="131313"/>
          <w:sz w:val="14"/>
        </w:rPr>
        <w:t>ecologically important inter-</w:t>
      </w:r>
      <w:proofErr w:type="spellStart"/>
      <w:r>
        <w:rPr>
          <w:rFonts w:ascii="Arial"/>
          <w:color w:val="131313"/>
          <w:sz w:val="14"/>
        </w:rPr>
        <w:t>reefal</w:t>
      </w:r>
      <w:proofErr w:type="spellEnd"/>
      <w:r>
        <w:rPr>
          <w:rFonts w:ascii="Arial"/>
          <w:color w:val="131313"/>
          <w:sz w:val="14"/>
        </w:rPr>
        <w:t xml:space="preserve"> areas. </w:t>
      </w:r>
      <w:r>
        <w:rPr>
          <w:rFonts w:ascii="Arial"/>
          <w:color w:val="030303"/>
          <w:sz w:val="14"/>
        </w:rPr>
        <w:t xml:space="preserve">The </w:t>
      </w:r>
      <w:r>
        <w:rPr>
          <w:rFonts w:ascii="Arial"/>
          <w:color w:val="131313"/>
          <w:sz w:val="14"/>
        </w:rPr>
        <w:t xml:space="preserve">shallower </w:t>
      </w:r>
      <w:r>
        <w:rPr>
          <w:rFonts w:ascii="Arial"/>
          <w:color w:val="030303"/>
          <w:sz w:val="14"/>
        </w:rPr>
        <w:t xml:space="preserve">marine </w:t>
      </w:r>
      <w:r>
        <w:rPr>
          <w:rFonts w:ascii="Arial"/>
          <w:color w:val="131313"/>
          <w:sz w:val="14"/>
        </w:rPr>
        <w:t xml:space="preserve">areas support </w:t>
      </w:r>
      <w:r>
        <w:rPr>
          <w:rFonts w:ascii="Arial"/>
          <w:color w:val="262626"/>
          <w:sz w:val="14"/>
        </w:rPr>
        <w:t>...</w:t>
      </w:r>
      <w:r>
        <w:rPr>
          <w:rFonts w:ascii="Arial"/>
          <w:color w:val="030303"/>
          <w:sz w:val="14"/>
        </w:rPr>
        <w:t xml:space="preserve"> </w:t>
      </w:r>
      <w:r>
        <w:rPr>
          <w:rFonts w:ascii="Arial"/>
          <w:color w:val="030303"/>
          <w:spacing w:val="-6"/>
          <w:sz w:val="14"/>
        </w:rPr>
        <w:t>man</w:t>
      </w:r>
      <w:r>
        <w:rPr>
          <w:rFonts w:ascii="Arial"/>
          <w:color w:val="262626"/>
          <w:spacing w:val="-6"/>
          <w:sz w:val="14"/>
        </w:rPr>
        <w:t xml:space="preserve">y </w:t>
      </w:r>
      <w:r>
        <w:rPr>
          <w:rFonts w:ascii="Arial"/>
          <w:b/>
          <w:color w:val="030303"/>
          <w:sz w:val="14"/>
        </w:rPr>
        <w:t>seagrass</w:t>
      </w:r>
      <w:r>
        <w:rPr>
          <w:rFonts w:ascii="Arial"/>
          <w:b/>
          <w:color w:val="030303"/>
          <w:spacing w:val="12"/>
          <w:sz w:val="14"/>
        </w:rPr>
        <w:t xml:space="preserve"> </w:t>
      </w:r>
      <w:r>
        <w:rPr>
          <w:rFonts w:ascii="Arial"/>
          <w:color w:val="131313"/>
          <w:sz w:val="14"/>
        </w:rPr>
        <w:t>species</w:t>
      </w:r>
    </w:p>
    <w:p w:rsidR="00D1511D" w:rsidRDefault="00D1511D">
      <w:pPr>
        <w:spacing w:line="256" w:lineRule="auto"/>
        <w:rPr>
          <w:rFonts w:ascii="Arial"/>
          <w:sz w:val="14"/>
        </w:rPr>
        <w:sectPr w:rsidR="00D1511D">
          <w:type w:val="continuous"/>
          <w:pgSz w:w="11910" w:h="16840"/>
          <w:pgMar w:top="620" w:right="1300" w:bottom="280" w:left="1300" w:header="720" w:footer="720" w:gutter="0"/>
          <w:cols w:num="3" w:space="720" w:equalWidth="0">
            <w:col w:w="794" w:space="40"/>
            <w:col w:w="1427" w:space="418"/>
            <w:col w:w="6631"/>
          </w:cols>
        </w:sectPr>
      </w:pPr>
    </w:p>
    <w:p w:rsidR="00D1511D" w:rsidRDefault="003F0CB3">
      <w:pPr>
        <w:spacing w:before="102"/>
        <w:ind w:left="475"/>
        <w:rPr>
          <w:rFonts w:ascii="Arial"/>
          <w:sz w:val="14"/>
        </w:rPr>
      </w:pPr>
      <w:r>
        <w:rPr>
          <w:rFonts w:ascii="Arial"/>
          <w:color w:val="131313"/>
          <w:w w:val="105"/>
          <w:sz w:val="14"/>
        </w:rPr>
        <w:t>2.4</w:t>
      </w:r>
      <w:r>
        <w:rPr>
          <w:rFonts w:ascii="Arial"/>
          <w:color w:val="3B3B3B"/>
          <w:w w:val="105"/>
          <w:sz w:val="14"/>
        </w:rPr>
        <w:t>.</w:t>
      </w:r>
      <w:r>
        <w:rPr>
          <w:rFonts w:ascii="Arial"/>
          <w:color w:val="030303"/>
          <w:w w:val="105"/>
          <w:sz w:val="14"/>
        </w:rPr>
        <w:t>16 Dugongs</w:t>
      </w:r>
    </w:p>
    <w:p w:rsidR="00D1511D" w:rsidRDefault="003F0CB3">
      <w:pPr>
        <w:spacing w:before="12" w:line="249" w:lineRule="auto"/>
        <w:ind w:left="968" w:right="365" w:hanging="496"/>
        <w:rPr>
          <w:rFonts w:ascii="Arial"/>
          <w:sz w:val="14"/>
        </w:rPr>
      </w:pPr>
      <w:r>
        <w:pict>
          <v:shape id="_x0000_s1125" alt="" style="position:absolute;left:0;text-align:left;margin-left:0;margin-top:740.75pt;width:438.7pt;height:.1pt;z-index:251746304;mso-wrap-edited:f;mso-width-percent:0;mso-height-percent:0;mso-position-horizontal-relative:page;mso-width-percent:0;mso-height-percent:0" coordsize="8774,1270" o:spt="100" adj="0,,0" path="m1701,-14441r2676,m4377,-14441r6097,e" filled="f" strokeweight=".06244mm">
            <v:stroke joinstyle="round"/>
            <v:formulas/>
            <v:path arrowok="t" o:connecttype="custom" o:connectlocs="1080135,0;2779395,0;2779395,0;6650990,0" o:connectangles="0,0,0,0"/>
            <w10:wrap anchorx="page"/>
          </v:shape>
        </w:pict>
      </w:r>
      <w:r>
        <w:rPr>
          <w:rFonts w:ascii="Arial"/>
          <w:color w:val="131313"/>
          <w:w w:val="105"/>
          <w:sz w:val="14"/>
        </w:rPr>
        <w:t xml:space="preserve">8.3.6 </w:t>
      </w:r>
      <w:r>
        <w:rPr>
          <w:rFonts w:ascii="Arial"/>
          <w:color w:val="030303"/>
          <w:w w:val="105"/>
          <w:sz w:val="14"/>
        </w:rPr>
        <w:t xml:space="preserve">Urban </w:t>
      </w:r>
      <w:r>
        <w:rPr>
          <w:rFonts w:ascii="Arial"/>
          <w:color w:val="131313"/>
          <w:w w:val="105"/>
          <w:sz w:val="14"/>
        </w:rPr>
        <w:t>coast dugongs case study</w:t>
      </w:r>
    </w:p>
    <w:p w:rsidR="00D1511D" w:rsidRDefault="003F0CB3">
      <w:pPr>
        <w:pStyle w:val="ListParagraph"/>
        <w:numPr>
          <w:ilvl w:val="2"/>
          <w:numId w:val="19"/>
        </w:numPr>
        <w:tabs>
          <w:tab w:val="left" w:pos="973"/>
        </w:tabs>
        <w:spacing w:before="79"/>
        <w:rPr>
          <w:rFonts w:ascii="Arial"/>
          <w:sz w:val="14"/>
        </w:rPr>
      </w:pPr>
      <w:r>
        <w:rPr>
          <w:rFonts w:ascii="Arial"/>
          <w:color w:val="131313"/>
          <w:sz w:val="14"/>
        </w:rPr>
        <w:t>Whales</w:t>
      </w:r>
    </w:p>
    <w:p w:rsidR="00D1511D" w:rsidRDefault="003F0CB3">
      <w:pPr>
        <w:pStyle w:val="ListParagraph"/>
        <w:numPr>
          <w:ilvl w:val="2"/>
          <w:numId w:val="19"/>
        </w:numPr>
        <w:tabs>
          <w:tab w:val="left" w:pos="974"/>
        </w:tabs>
        <w:spacing w:before="7"/>
        <w:ind w:left="973" w:hanging="499"/>
        <w:rPr>
          <w:rFonts w:ascii="Arial"/>
          <w:sz w:val="14"/>
        </w:rPr>
      </w:pPr>
      <w:r>
        <w:rPr>
          <w:rFonts w:ascii="Arial"/>
          <w:color w:val="030303"/>
          <w:sz w:val="14"/>
        </w:rPr>
        <w:t>Dolphins</w:t>
      </w:r>
    </w:p>
    <w:p w:rsidR="00D1511D" w:rsidRDefault="003F0CB3">
      <w:pPr>
        <w:spacing w:before="12"/>
        <w:ind w:left="473"/>
        <w:rPr>
          <w:rFonts w:ascii="Arial"/>
          <w:sz w:val="14"/>
        </w:rPr>
      </w:pPr>
      <w:r>
        <w:pict>
          <v:shape id="_x0000_s1124" alt="" style="position:absolute;left:0;text-align:left;margin-left:0;margin-top:732.15pt;width:438.7pt;height:.1pt;z-index:251747328;mso-wrap-edited:f;mso-width-percent:0;mso-height-percent:0;mso-position-horizontal-relative:page;mso-width-percent:0;mso-height-percent:0" coordsize="8774,1270" o:spt="100" adj="0,,0" path="m1701,-14441r2676,m4377,-14441r6097,e" filled="f" strokeweight=".06244mm">
            <v:stroke joinstyle="round"/>
            <v:formulas/>
            <v:path arrowok="t" o:connecttype="custom" o:connectlocs="1080135,0;2779395,0;2779395,0;6650990,0" o:connectangles="0,0,0,0"/>
            <w10:wrap anchorx="page"/>
          </v:shape>
        </w:pict>
      </w:r>
      <w:r>
        <w:rPr>
          <w:rFonts w:ascii="Arial"/>
          <w:color w:val="131313"/>
          <w:sz w:val="14"/>
        </w:rPr>
        <w:t xml:space="preserve">8.3.7 </w:t>
      </w:r>
      <w:r>
        <w:rPr>
          <w:rFonts w:ascii="Arial"/>
          <w:color w:val="030303"/>
          <w:sz w:val="14"/>
        </w:rPr>
        <w:t xml:space="preserve">Humpback </w:t>
      </w:r>
      <w:r>
        <w:rPr>
          <w:rFonts w:ascii="Arial"/>
          <w:color w:val="262626"/>
          <w:sz w:val="14"/>
        </w:rPr>
        <w:t xml:space="preserve">whales </w:t>
      </w:r>
      <w:r>
        <w:rPr>
          <w:rFonts w:ascii="Arial"/>
          <w:color w:val="131313"/>
          <w:sz w:val="14"/>
        </w:rPr>
        <w:t>case study</w:t>
      </w:r>
    </w:p>
    <w:p w:rsidR="00D1511D" w:rsidRDefault="00D1511D">
      <w:pPr>
        <w:pStyle w:val="BodyText"/>
        <w:rPr>
          <w:rFonts w:ascii="Arial"/>
          <w:sz w:val="16"/>
        </w:rPr>
      </w:pPr>
    </w:p>
    <w:p w:rsidR="00D1511D" w:rsidRDefault="00D1511D">
      <w:pPr>
        <w:pStyle w:val="BodyText"/>
        <w:spacing w:before="7"/>
        <w:rPr>
          <w:rFonts w:ascii="Arial"/>
          <w:sz w:val="17"/>
        </w:rPr>
      </w:pPr>
    </w:p>
    <w:p w:rsidR="00D1511D" w:rsidRDefault="003F0CB3">
      <w:pPr>
        <w:ind w:left="475"/>
        <w:rPr>
          <w:rFonts w:ascii="Arial"/>
          <w:sz w:val="14"/>
        </w:rPr>
      </w:pPr>
      <w:r>
        <w:rPr>
          <w:rFonts w:ascii="Arial"/>
          <w:color w:val="131313"/>
          <w:w w:val="105"/>
          <w:sz w:val="14"/>
        </w:rPr>
        <w:t>2.3</w:t>
      </w:r>
      <w:r>
        <w:rPr>
          <w:rFonts w:ascii="Arial"/>
          <w:color w:val="3B3B3B"/>
          <w:w w:val="105"/>
          <w:sz w:val="14"/>
        </w:rPr>
        <w:t>.</w:t>
      </w:r>
      <w:r>
        <w:rPr>
          <w:rFonts w:ascii="Arial"/>
          <w:color w:val="030303"/>
          <w:w w:val="105"/>
          <w:sz w:val="14"/>
        </w:rPr>
        <w:t>1 Islands</w:t>
      </w:r>
    </w:p>
    <w:p w:rsidR="00D1511D" w:rsidRDefault="003F0CB3">
      <w:pPr>
        <w:spacing w:before="8"/>
        <w:ind w:left="475"/>
        <w:rPr>
          <w:rFonts w:ascii="Arial"/>
          <w:sz w:val="14"/>
        </w:rPr>
      </w:pPr>
      <w:r>
        <w:rPr>
          <w:rFonts w:ascii="Arial"/>
          <w:color w:val="131313"/>
          <w:w w:val="105"/>
          <w:sz w:val="14"/>
        </w:rPr>
        <w:t>2.4</w:t>
      </w:r>
      <w:r>
        <w:rPr>
          <w:rFonts w:ascii="Arial"/>
          <w:color w:val="3B3B3B"/>
          <w:w w:val="105"/>
          <w:sz w:val="14"/>
        </w:rPr>
        <w:t>.</w:t>
      </w:r>
      <w:r>
        <w:rPr>
          <w:rFonts w:ascii="Arial"/>
          <w:color w:val="030303"/>
          <w:w w:val="105"/>
          <w:sz w:val="14"/>
        </w:rPr>
        <w:t>10 Marine turtles</w:t>
      </w:r>
    </w:p>
    <w:p w:rsidR="00D1511D" w:rsidRDefault="003F0CB3">
      <w:pPr>
        <w:pStyle w:val="ListParagraph"/>
        <w:numPr>
          <w:ilvl w:val="2"/>
          <w:numId w:val="18"/>
        </w:numPr>
        <w:tabs>
          <w:tab w:val="left" w:pos="968"/>
        </w:tabs>
        <w:spacing w:before="7"/>
        <w:rPr>
          <w:rFonts w:ascii="Arial"/>
          <w:sz w:val="14"/>
        </w:rPr>
      </w:pPr>
      <w:r>
        <w:rPr>
          <w:rFonts w:ascii="Arial"/>
          <w:color w:val="131313"/>
          <w:sz w:val="14"/>
        </w:rPr>
        <w:t>Seabirds</w:t>
      </w:r>
    </w:p>
    <w:p w:rsidR="00D1511D" w:rsidRDefault="003F0CB3">
      <w:pPr>
        <w:pStyle w:val="ListParagraph"/>
        <w:numPr>
          <w:ilvl w:val="2"/>
          <w:numId w:val="18"/>
        </w:numPr>
        <w:tabs>
          <w:tab w:val="left" w:pos="968"/>
        </w:tabs>
        <w:spacing w:before="12"/>
        <w:rPr>
          <w:rFonts w:ascii="Arial"/>
          <w:sz w:val="14"/>
        </w:rPr>
      </w:pPr>
      <w:r>
        <w:rPr>
          <w:rFonts w:ascii="Arial"/>
          <w:color w:val="030303"/>
          <w:sz w:val="14"/>
        </w:rPr>
        <w:t>Shorebirds</w:t>
      </w:r>
    </w:p>
    <w:p w:rsidR="00D1511D" w:rsidRDefault="003F0CB3">
      <w:pPr>
        <w:spacing w:before="7"/>
        <w:ind w:left="473"/>
        <w:rPr>
          <w:rFonts w:ascii="Arial"/>
          <w:sz w:val="14"/>
        </w:rPr>
      </w:pPr>
      <w:r>
        <w:rPr>
          <w:rFonts w:ascii="Arial"/>
          <w:color w:val="131313"/>
          <w:w w:val="105"/>
          <w:sz w:val="14"/>
        </w:rPr>
        <w:t>8.3</w:t>
      </w:r>
      <w:r>
        <w:rPr>
          <w:rFonts w:ascii="Arial"/>
          <w:color w:val="3B3B3B"/>
          <w:w w:val="105"/>
          <w:sz w:val="14"/>
        </w:rPr>
        <w:t>.</w:t>
      </w:r>
      <w:r>
        <w:rPr>
          <w:rFonts w:ascii="Arial"/>
          <w:color w:val="131313"/>
          <w:w w:val="105"/>
          <w:sz w:val="14"/>
        </w:rPr>
        <w:t xml:space="preserve">5 </w:t>
      </w:r>
      <w:r>
        <w:rPr>
          <w:rFonts w:ascii="Arial"/>
          <w:color w:val="030303"/>
          <w:w w:val="105"/>
          <w:sz w:val="14"/>
        </w:rPr>
        <w:t xml:space="preserve">Loggerhead turtles </w:t>
      </w:r>
      <w:r>
        <w:rPr>
          <w:rFonts w:ascii="Arial"/>
          <w:color w:val="131313"/>
          <w:w w:val="105"/>
          <w:sz w:val="14"/>
        </w:rPr>
        <w:t>case study</w:t>
      </w:r>
    </w:p>
    <w:p w:rsidR="00D1511D" w:rsidRDefault="00D1511D">
      <w:pPr>
        <w:pStyle w:val="BodyText"/>
        <w:rPr>
          <w:rFonts w:ascii="Arial"/>
          <w:sz w:val="16"/>
        </w:rPr>
      </w:pPr>
    </w:p>
    <w:p w:rsidR="00D1511D" w:rsidRDefault="00D1511D">
      <w:pPr>
        <w:pStyle w:val="BodyText"/>
        <w:spacing w:before="7"/>
        <w:rPr>
          <w:rFonts w:ascii="Arial"/>
          <w:sz w:val="17"/>
        </w:rPr>
      </w:pPr>
    </w:p>
    <w:p w:rsidR="00D1511D" w:rsidRDefault="003F0CB3">
      <w:pPr>
        <w:ind w:left="477"/>
        <w:rPr>
          <w:rFonts w:ascii="Arial"/>
          <w:sz w:val="14"/>
        </w:rPr>
      </w:pPr>
      <w:r>
        <w:pict>
          <v:shape id="_x0000_s1123" alt="" style="position:absolute;left:0;text-align:left;margin-left:0;margin-top:719.5pt;width:438.7pt;height:.1pt;z-index:251748352;mso-wrap-edited:f;mso-width-percent:0;mso-height-percent:0;mso-position-horizontal-relative:page;mso-width-percent:0;mso-height-percent:0" coordsize="8774,1270" o:spt="100" adj="0,,0" path="m1701,-14441r2676,m4377,-14441r6097,e" filled="f" strokeweight=".06244mm">
            <v:stroke joinstyle="round"/>
            <v:formulas/>
            <v:path arrowok="t" o:connecttype="custom" o:connectlocs="1080135,0;2779395,0;2779395,0;6650990,0" o:connectangles="0,0,0,0"/>
            <w10:wrap anchorx="page"/>
          </v:shape>
        </w:pict>
      </w:r>
      <w:r>
        <w:rPr>
          <w:rFonts w:ascii="Arial"/>
          <w:color w:val="030303"/>
          <w:sz w:val="14"/>
        </w:rPr>
        <w:t>4.3</w:t>
      </w:r>
      <w:r>
        <w:rPr>
          <w:rFonts w:ascii="Arial"/>
          <w:color w:val="3B3B3B"/>
          <w:sz w:val="14"/>
        </w:rPr>
        <w:t>.</w:t>
      </w:r>
      <w:r>
        <w:rPr>
          <w:rFonts w:ascii="Arial"/>
          <w:color w:val="131313"/>
          <w:sz w:val="14"/>
        </w:rPr>
        <w:t xml:space="preserve">6 </w:t>
      </w:r>
      <w:r>
        <w:rPr>
          <w:rFonts w:ascii="Arial"/>
          <w:color w:val="030303"/>
          <w:sz w:val="14"/>
        </w:rPr>
        <w:t>Integrity</w:t>
      </w:r>
    </w:p>
    <w:p w:rsidR="00D1511D" w:rsidRDefault="003F0CB3">
      <w:pPr>
        <w:tabs>
          <w:tab w:val="left" w:pos="968"/>
        </w:tabs>
        <w:spacing w:before="60"/>
        <w:ind w:left="473"/>
        <w:rPr>
          <w:rFonts w:ascii="Arial"/>
          <w:b/>
          <w:sz w:val="14"/>
        </w:rPr>
      </w:pPr>
      <w:r>
        <w:rPr>
          <w:rFonts w:ascii="Arial"/>
          <w:b/>
          <w:color w:val="030303"/>
          <w:sz w:val="13"/>
        </w:rPr>
        <w:t>7</w:t>
      </w:r>
      <w:r>
        <w:rPr>
          <w:rFonts w:ascii="Arial"/>
          <w:b/>
          <w:color w:val="030303"/>
          <w:sz w:val="13"/>
        </w:rPr>
        <w:tab/>
      </w:r>
      <w:r>
        <w:rPr>
          <w:rFonts w:ascii="Arial"/>
          <w:b/>
          <w:color w:val="030303"/>
          <w:sz w:val="14"/>
        </w:rPr>
        <w:t>Existing protection</w:t>
      </w:r>
      <w:r>
        <w:rPr>
          <w:rFonts w:ascii="Arial"/>
          <w:b/>
          <w:color w:val="030303"/>
          <w:spacing w:val="6"/>
          <w:sz w:val="14"/>
        </w:rPr>
        <w:t xml:space="preserve"> </w:t>
      </w:r>
      <w:r>
        <w:rPr>
          <w:rFonts w:ascii="Arial"/>
          <w:b/>
          <w:color w:val="030303"/>
          <w:sz w:val="14"/>
        </w:rPr>
        <w:t>and</w:t>
      </w:r>
    </w:p>
    <w:p w:rsidR="00D1511D" w:rsidRDefault="003F0CB3">
      <w:pPr>
        <w:pStyle w:val="BodyText"/>
        <w:spacing w:before="5"/>
        <w:rPr>
          <w:rFonts w:ascii="Arial"/>
          <w:b/>
          <w:sz w:val="16"/>
        </w:rPr>
      </w:pPr>
      <w:r>
        <w:br w:type="column"/>
      </w:r>
    </w:p>
    <w:p w:rsidR="00D1511D" w:rsidRDefault="003F0CB3">
      <w:pPr>
        <w:pStyle w:val="ListParagraph"/>
        <w:numPr>
          <w:ilvl w:val="0"/>
          <w:numId w:val="20"/>
        </w:numPr>
        <w:tabs>
          <w:tab w:val="left" w:pos="580"/>
        </w:tabs>
        <w:spacing w:line="249" w:lineRule="auto"/>
        <w:ind w:left="573" w:right="286" w:hanging="353"/>
        <w:jc w:val="left"/>
        <w:rPr>
          <w:rFonts w:ascii="Arial"/>
          <w:b/>
          <w:sz w:val="14"/>
        </w:rPr>
      </w:pPr>
      <w:r>
        <w:rPr>
          <w:rFonts w:ascii="Arial"/>
          <w:color w:val="131313"/>
          <w:sz w:val="14"/>
        </w:rPr>
        <w:t xml:space="preserve">Waters also </w:t>
      </w:r>
      <w:r>
        <w:rPr>
          <w:rFonts w:ascii="Arial"/>
          <w:color w:val="030303"/>
          <w:sz w:val="14"/>
        </w:rPr>
        <w:t xml:space="preserve">provide major feeding </w:t>
      </w:r>
      <w:r>
        <w:rPr>
          <w:rFonts w:ascii="Arial"/>
          <w:color w:val="131313"/>
          <w:sz w:val="14"/>
        </w:rPr>
        <w:t xml:space="preserve">grounds </w:t>
      </w:r>
      <w:r>
        <w:rPr>
          <w:rFonts w:ascii="Arial"/>
          <w:color w:val="030303"/>
          <w:sz w:val="14"/>
        </w:rPr>
        <w:t xml:space="preserve">for </w:t>
      </w:r>
      <w:r>
        <w:rPr>
          <w:rFonts w:ascii="Arial"/>
          <w:color w:val="131313"/>
          <w:sz w:val="14"/>
        </w:rPr>
        <w:t xml:space="preserve">one of </w:t>
      </w:r>
      <w:r>
        <w:rPr>
          <w:rFonts w:ascii="Arial"/>
          <w:color w:val="030303"/>
          <w:sz w:val="14"/>
        </w:rPr>
        <w:t xml:space="preserve">the </w:t>
      </w:r>
      <w:r>
        <w:rPr>
          <w:rFonts w:ascii="Arial"/>
          <w:color w:val="131313"/>
          <w:sz w:val="14"/>
        </w:rPr>
        <w:t xml:space="preserve">world's </w:t>
      </w:r>
      <w:r>
        <w:rPr>
          <w:rFonts w:ascii="Arial"/>
          <w:color w:val="030303"/>
          <w:sz w:val="14"/>
        </w:rPr>
        <w:t xml:space="preserve">largest populations </w:t>
      </w:r>
      <w:r>
        <w:rPr>
          <w:rFonts w:ascii="Arial"/>
          <w:color w:val="131313"/>
          <w:sz w:val="14"/>
        </w:rPr>
        <w:t>of</w:t>
      </w:r>
      <w:r>
        <w:rPr>
          <w:rFonts w:ascii="Arial"/>
          <w:color w:val="030303"/>
          <w:sz w:val="14"/>
        </w:rPr>
        <w:t xml:space="preserve"> the </w:t>
      </w:r>
      <w:r>
        <w:rPr>
          <w:rFonts w:ascii="Arial"/>
          <w:color w:val="131313"/>
          <w:sz w:val="14"/>
        </w:rPr>
        <w:t>threatened</w:t>
      </w:r>
      <w:r>
        <w:rPr>
          <w:rFonts w:ascii="Arial"/>
          <w:color w:val="131313"/>
          <w:spacing w:val="1"/>
          <w:sz w:val="14"/>
        </w:rPr>
        <w:t xml:space="preserve"> </w:t>
      </w:r>
      <w:r>
        <w:rPr>
          <w:rFonts w:ascii="Arial"/>
          <w:b/>
          <w:color w:val="030303"/>
          <w:sz w:val="14"/>
        </w:rPr>
        <w:t>dugong</w:t>
      </w:r>
    </w:p>
    <w:p w:rsidR="00D1511D" w:rsidRDefault="00D1511D">
      <w:pPr>
        <w:pStyle w:val="BodyText"/>
        <w:spacing w:before="4"/>
        <w:rPr>
          <w:rFonts w:ascii="Arial"/>
          <w:b/>
          <w:sz w:val="19"/>
        </w:rPr>
      </w:pPr>
    </w:p>
    <w:p w:rsidR="00D1511D" w:rsidRDefault="003F0CB3">
      <w:pPr>
        <w:pStyle w:val="ListParagraph"/>
        <w:numPr>
          <w:ilvl w:val="0"/>
          <w:numId w:val="20"/>
        </w:numPr>
        <w:tabs>
          <w:tab w:val="left" w:pos="577"/>
        </w:tabs>
        <w:ind w:left="576" w:hanging="356"/>
        <w:jc w:val="left"/>
        <w:rPr>
          <w:rFonts w:ascii="Arial"/>
          <w:sz w:val="14"/>
        </w:rPr>
      </w:pPr>
      <w:r>
        <w:rPr>
          <w:rFonts w:ascii="Arial"/>
          <w:color w:val="030303"/>
          <w:sz w:val="14"/>
        </w:rPr>
        <w:t xml:space="preserve">At least </w:t>
      </w:r>
      <w:r>
        <w:rPr>
          <w:rFonts w:ascii="Arial"/>
          <w:color w:val="131313"/>
          <w:sz w:val="14"/>
        </w:rPr>
        <w:t xml:space="preserve">30 species of </w:t>
      </w:r>
      <w:r>
        <w:rPr>
          <w:rFonts w:ascii="Arial"/>
          <w:b/>
          <w:color w:val="030303"/>
          <w:sz w:val="14"/>
        </w:rPr>
        <w:t xml:space="preserve">whales </w:t>
      </w:r>
      <w:r>
        <w:rPr>
          <w:rFonts w:ascii="Arial"/>
          <w:color w:val="131313"/>
          <w:sz w:val="14"/>
        </w:rPr>
        <w:t xml:space="preserve">and </w:t>
      </w:r>
      <w:r>
        <w:rPr>
          <w:rFonts w:ascii="Arial"/>
          <w:b/>
          <w:color w:val="030303"/>
          <w:sz w:val="14"/>
        </w:rPr>
        <w:t xml:space="preserve">dolphins </w:t>
      </w:r>
      <w:r>
        <w:rPr>
          <w:rFonts w:ascii="Arial"/>
          <w:color w:val="131313"/>
          <w:sz w:val="14"/>
        </w:rPr>
        <w:t>occur</w:t>
      </w:r>
      <w:r>
        <w:rPr>
          <w:rFonts w:ascii="Arial"/>
          <w:color w:val="131313"/>
          <w:spacing w:val="13"/>
          <w:sz w:val="14"/>
        </w:rPr>
        <w:t xml:space="preserve"> </w:t>
      </w:r>
      <w:r>
        <w:rPr>
          <w:rFonts w:ascii="Arial"/>
          <w:color w:val="030303"/>
          <w:sz w:val="14"/>
        </w:rPr>
        <w:t>here</w:t>
      </w:r>
    </w:p>
    <w:p w:rsidR="00D1511D" w:rsidRDefault="003F0CB3">
      <w:pPr>
        <w:pStyle w:val="ListParagraph"/>
        <w:numPr>
          <w:ilvl w:val="0"/>
          <w:numId w:val="20"/>
        </w:numPr>
        <w:tabs>
          <w:tab w:val="left" w:pos="577"/>
        </w:tabs>
        <w:spacing w:before="60"/>
        <w:ind w:left="576" w:hanging="356"/>
        <w:jc w:val="left"/>
        <w:rPr>
          <w:rFonts w:ascii="Arial"/>
          <w:sz w:val="14"/>
        </w:rPr>
      </w:pPr>
      <w:r>
        <w:rPr>
          <w:rFonts w:ascii="Arial"/>
          <w:color w:val="131313"/>
          <w:w w:val="105"/>
          <w:sz w:val="14"/>
        </w:rPr>
        <w:t xml:space="preserve">A </w:t>
      </w:r>
      <w:r>
        <w:rPr>
          <w:rFonts w:ascii="Arial"/>
          <w:color w:val="030303"/>
          <w:spacing w:val="-3"/>
          <w:w w:val="105"/>
          <w:sz w:val="14"/>
        </w:rPr>
        <w:t>signifi</w:t>
      </w:r>
      <w:r>
        <w:rPr>
          <w:rFonts w:ascii="Arial"/>
          <w:color w:val="262626"/>
          <w:spacing w:val="-3"/>
          <w:w w:val="105"/>
          <w:sz w:val="14"/>
        </w:rPr>
        <w:t>ca</w:t>
      </w:r>
      <w:r>
        <w:rPr>
          <w:rFonts w:ascii="Arial"/>
          <w:color w:val="030303"/>
          <w:spacing w:val="-3"/>
          <w:w w:val="105"/>
          <w:sz w:val="14"/>
        </w:rPr>
        <w:t xml:space="preserve">nt </w:t>
      </w:r>
      <w:r>
        <w:rPr>
          <w:rFonts w:ascii="Arial"/>
          <w:color w:val="131313"/>
          <w:w w:val="105"/>
          <w:sz w:val="14"/>
        </w:rPr>
        <w:t xml:space="preserve">area </w:t>
      </w:r>
      <w:r>
        <w:rPr>
          <w:rFonts w:ascii="Arial"/>
          <w:color w:val="030303"/>
          <w:w w:val="105"/>
          <w:sz w:val="14"/>
        </w:rPr>
        <w:t>for humpba</w:t>
      </w:r>
      <w:r>
        <w:rPr>
          <w:rFonts w:ascii="Arial"/>
          <w:color w:val="262626"/>
          <w:w w:val="105"/>
          <w:sz w:val="14"/>
        </w:rPr>
        <w:t xml:space="preserve">ck </w:t>
      </w:r>
      <w:r>
        <w:rPr>
          <w:rFonts w:ascii="Arial"/>
          <w:b/>
          <w:color w:val="030303"/>
          <w:w w:val="105"/>
          <w:sz w:val="14"/>
        </w:rPr>
        <w:t>whale</w:t>
      </w:r>
      <w:r>
        <w:rPr>
          <w:rFonts w:ascii="Arial"/>
          <w:b/>
          <w:color w:val="030303"/>
          <w:spacing w:val="-9"/>
          <w:w w:val="105"/>
          <w:sz w:val="14"/>
        </w:rPr>
        <w:t xml:space="preserve"> </w:t>
      </w:r>
      <w:r>
        <w:rPr>
          <w:rFonts w:ascii="Arial"/>
          <w:color w:val="131313"/>
          <w:w w:val="105"/>
          <w:sz w:val="14"/>
        </w:rPr>
        <w:t>calving</w:t>
      </w:r>
    </w:p>
    <w:p w:rsidR="00D1511D" w:rsidRDefault="003F0CB3">
      <w:pPr>
        <w:pStyle w:val="ListParagraph"/>
        <w:numPr>
          <w:ilvl w:val="0"/>
          <w:numId w:val="20"/>
        </w:numPr>
        <w:tabs>
          <w:tab w:val="left" w:pos="575"/>
        </w:tabs>
        <w:spacing w:before="142" w:line="254" w:lineRule="auto"/>
        <w:ind w:left="575" w:right="271"/>
        <w:jc w:val="left"/>
        <w:rPr>
          <w:rFonts w:ascii="Arial"/>
          <w:sz w:val="14"/>
        </w:rPr>
      </w:pPr>
      <w:r>
        <w:rPr>
          <w:rFonts w:ascii="Arial"/>
          <w:color w:val="131313"/>
          <w:sz w:val="14"/>
        </w:rPr>
        <w:t xml:space="preserve">Six of the </w:t>
      </w:r>
      <w:r>
        <w:rPr>
          <w:rFonts w:ascii="Arial"/>
          <w:color w:val="262626"/>
          <w:sz w:val="14"/>
        </w:rPr>
        <w:t>wo</w:t>
      </w:r>
      <w:r>
        <w:rPr>
          <w:rFonts w:ascii="Arial"/>
          <w:color w:val="030303"/>
          <w:sz w:val="14"/>
        </w:rPr>
        <w:t>rld</w:t>
      </w:r>
      <w:r>
        <w:rPr>
          <w:rFonts w:ascii="Arial"/>
          <w:color w:val="3B3B3B"/>
          <w:sz w:val="14"/>
        </w:rPr>
        <w:t>'</w:t>
      </w:r>
      <w:r>
        <w:rPr>
          <w:rFonts w:ascii="Arial"/>
          <w:color w:val="131313"/>
          <w:sz w:val="14"/>
        </w:rPr>
        <w:t xml:space="preserve">s seven species of </w:t>
      </w:r>
      <w:r>
        <w:rPr>
          <w:rFonts w:ascii="Arial"/>
          <w:color w:val="030303"/>
          <w:sz w:val="14"/>
        </w:rPr>
        <w:t xml:space="preserve">marine turtle </w:t>
      </w:r>
      <w:r>
        <w:rPr>
          <w:rFonts w:ascii="Arial"/>
          <w:color w:val="131313"/>
          <w:sz w:val="14"/>
        </w:rPr>
        <w:t xml:space="preserve">occur </w:t>
      </w:r>
      <w:r>
        <w:rPr>
          <w:rFonts w:ascii="Arial"/>
          <w:color w:val="030303"/>
          <w:sz w:val="14"/>
        </w:rPr>
        <w:t xml:space="preserve">in the </w:t>
      </w:r>
      <w:r>
        <w:rPr>
          <w:rFonts w:ascii="Arial"/>
          <w:color w:val="131313"/>
          <w:sz w:val="14"/>
        </w:rPr>
        <w:t xml:space="preserve">Great </w:t>
      </w:r>
      <w:r>
        <w:rPr>
          <w:rFonts w:ascii="Arial"/>
          <w:color w:val="030303"/>
          <w:sz w:val="14"/>
        </w:rPr>
        <w:t xml:space="preserve">Barrier Reef. </w:t>
      </w:r>
      <w:r>
        <w:rPr>
          <w:rFonts w:ascii="Arial"/>
          <w:color w:val="131313"/>
          <w:sz w:val="14"/>
        </w:rPr>
        <w:t xml:space="preserve">As </w:t>
      </w:r>
      <w:r>
        <w:rPr>
          <w:rFonts w:ascii="Arial"/>
          <w:color w:val="262626"/>
          <w:spacing w:val="-3"/>
          <w:sz w:val="14"/>
        </w:rPr>
        <w:t>we</w:t>
      </w:r>
      <w:r>
        <w:rPr>
          <w:rFonts w:ascii="Arial"/>
          <w:color w:val="030303"/>
          <w:spacing w:val="-3"/>
          <w:sz w:val="14"/>
        </w:rPr>
        <w:t>ll</w:t>
      </w:r>
      <w:r>
        <w:rPr>
          <w:rFonts w:ascii="Arial"/>
          <w:color w:val="131313"/>
          <w:spacing w:val="-3"/>
          <w:sz w:val="14"/>
        </w:rPr>
        <w:t xml:space="preserve"> </w:t>
      </w:r>
      <w:r>
        <w:rPr>
          <w:rFonts w:ascii="Arial"/>
          <w:color w:val="131313"/>
          <w:sz w:val="14"/>
        </w:rPr>
        <w:t xml:space="preserve">as </w:t>
      </w:r>
      <w:r>
        <w:rPr>
          <w:rFonts w:ascii="Arial"/>
          <w:color w:val="030303"/>
          <w:sz w:val="14"/>
        </w:rPr>
        <w:t xml:space="preserve">the </w:t>
      </w:r>
      <w:r>
        <w:rPr>
          <w:rFonts w:ascii="Arial"/>
          <w:color w:val="262626"/>
          <w:sz w:val="14"/>
        </w:rPr>
        <w:t>wor</w:t>
      </w:r>
      <w:r>
        <w:rPr>
          <w:rFonts w:ascii="Arial"/>
          <w:color w:val="030303"/>
          <w:sz w:val="14"/>
        </w:rPr>
        <w:t>ld</w:t>
      </w:r>
      <w:r>
        <w:rPr>
          <w:rFonts w:ascii="Arial"/>
          <w:color w:val="3B3B3B"/>
          <w:sz w:val="14"/>
        </w:rPr>
        <w:t>'</w:t>
      </w:r>
      <w:r>
        <w:rPr>
          <w:rFonts w:ascii="Arial"/>
          <w:color w:val="131313"/>
          <w:sz w:val="14"/>
        </w:rPr>
        <w:t xml:space="preserve">s </w:t>
      </w:r>
      <w:r>
        <w:rPr>
          <w:rFonts w:ascii="Arial"/>
          <w:color w:val="030303"/>
          <w:sz w:val="14"/>
        </w:rPr>
        <w:t xml:space="preserve">largest </w:t>
      </w:r>
      <w:r>
        <w:rPr>
          <w:rFonts w:ascii="Arial"/>
          <w:color w:val="131313"/>
          <w:sz w:val="14"/>
        </w:rPr>
        <w:t xml:space="preserve">green </w:t>
      </w:r>
      <w:r>
        <w:rPr>
          <w:rFonts w:ascii="Arial"/>
          <w:b/>
          <w:color w:val="030303"/>
          <w:sz w:val="14"/>
        </w:rPr>
        <w:t xml:space="preserve">turtle </w:t>
      </w:r>
      <w:r>
        <w:rPr>
          <w:rFonts w:ascii="Arial"/>
          <w:color w:val="131313"/>
          <w:sz w:val="14"/>
        </w:rPr>
        <w:t xml:space="preserve">breeding site at </w:t>
      </w:r>
      <w:r>
        <w:rPr>
          <w:rFonts w:ascii="Arial"/>
          <w:color w:val="030303"/>
          <w:sz w:val="14"/>
        </w:rPr>
        <w:t xml:space="preserve">Raine </w:t>
      </w:r>
      <w:proofErr w:type="gramStart"/>
      <w:r>
        <w:rPr>
          <w:rFonts w:ascii="Arial"/>
          <w:color w:val="131313"/>
          <w:sz w:val="14"/>
        </w:rPr>
        <w:t xml:space="preserve">Island </w:t>
      </w:r>
      <w:r>
        <w:rPr>
          <w:rFonts w:ascii="Arial"/>
          <w:color w:val="3B3B3B"/>
          <w:sz w:val="14"/>
        </w:rPr>
        <w:t>,</w:t>
      </w:r>
      <w:proofErr w:type="gramEnd"/>
      <w:r>
        <w:rPr>
          <w:rFonts w:ascii="Arial"/>
          <w:color w:val="3B3B3B"/>
          <w:sz w:val="14"/>
        </w:rPr>
        <w:t xml:space="preserve"> </w:t>
      </w:r>
      <w:r>
        <w:rPr>
          <w:rFonts w:ascii="Arial"/>
          <w:color w:val="030303"/>
          <w:sz w:val="14"/>
        </w:rPr>
        <w:t xml:space="preserve">the </w:t>
      </w:r>
      <w:r>
        <w:rPr>
          <w:rFonts w:ascii="Arial"/>
          <w:color w:val="131313"/>
          <w:sz w:val="14"/>
        </w:rPr>
        <w:t xml:space="preserve">Great </w:t>
      </w:r>
      <w:r>
        <w:rPr>
          <w:rFonts w:ascii="Arial"/>
          <w:color w:val="030303"/>
          <w:sz w:val="14"/>
        </w:rPr>
        <w:t>Barrier Reef</w:t>
      </w:r>
      <w:r>
        <w:rPr>
          <w:rFonts w:ascii="Arial"/>
          <w:color w:val="131313"/>
          <w:sz w:val="14"/>
        </w:rPr>
        <w:t xml:space="preserve"> also </w:t>
      </w:r>
      <w:r>
        <w:rPr>
          <w:rFonts w:ascii="Arial"/>
          <w:color w:val="030303"/>
          <w:sz w:val="14"/>
        </w:rPr>
        <w:t xml:space="preserve">includes many </w:t>
      </w:r>
      <w:r>
        <w:rPr>
          <w:rFonts w:ascii="Arial"/>
          <w:color w:val="131313"/>
          <w:sz w:val="14"/>
        </w:rPr>
        <w:t xml:space="preserve">regionally </w:t>
      </w:r>
      <w:r>
        <w:rPr>
          <w:rFonts w:ascii="Arial"/>
          <w:color w:val="030303"/>
          <w:sz w:val="14"/>
        </w:rPr>
        <w:t>important marine turtle</w:t>
      </w:r>
      <w:r>
        <w:rPr>
          <w:rFonts w:ascii="Arial"/>
          <w:color w:val="030303"/>
          <w:spacing w:val="25"/>
          <w:sz w:val="14"/>
        </w:rPr>
        <w:t xml:space="preserve"> </w:t>
      </w:r>
      <w:r>
        <w:rPr>
          <w:rFonts w:ascii="Arial"/>
          <w:color w:val="030303"/>
          <w:sz w:val="14"/>
        </w:rPr>
        <w:t>rookeries</w:t>
      </w:r>
    </w:p>
    <w:p w:rsidR="00D1511D" w:rsidRDefault="003F0CB3">
      <w:pPr>
        <w:pStyle w:val="ListParagraph"/>
        <w:numPr>
          <w:ilvl w:val="0"/>
          <w:numId w:val="20"/>
        </w:numPr>
        <w:tabs>
          <w:tab w:val="left" w:pos="575"/>
        </w:tabs>
        <w:spacing w:before="50" w:line="254" w:lineRule="auto"/>
        <w:ind w:left="576" w:right="447" w:hanging="356"/>
        <w:jc w:val="left"/>
        <w:rPr>
          <w:rFonts w:ascii="Arial" w:hAnsi="Arial"/>
          <w:sz w:val="14"/>
        </w:rPr>
      </w:pPr>
      <w:r>
        <w:rPr>
          <w:rFonts w:ascii="Arial" w:hAnsi="Arial"/>
          <w:color w:val="131313"/>
          <w:sz w:val="14"/>
        </w:rPr>
        <w:t xml:space="preserve">Some 242 species of </w:t>
      </w:r>
      <w:r>
        <w:rPr>
          <w:rFonts w:ascii="Arial" w:hAnsi="Arial"/>
          <w:b/>
          <w:color w:val="030303"/>
          <w:sz w:val="14"/>
        </w:rPr>
        <w:t xml:space="preserve">birds </w:t>
      </w:r>
      <w:r>
        <w:rPr>
          <w:rFonts w:ascii="Arial" w:hAnsi="Arial"/>
          <w:color w:val="030303"/>
          <w:sz w:val="14"/>
        </w:rPr>
        <w:t xml:space="preserve">have </w:t>
      </w:r>
      <w:r>
        <w:rPr>
          <w:rFonts w:ascii="Arial" w:hAnsi="Arial"/>
          <w:color w:val="131313"/>
          <w:sz w:val="14"/>
        </w:rPr>
        <w:t xml:space="preserve">been </w:t>
      </w:r>
      <w:r>
        <w:rPr>
          <w:rFonts w:ascii="Arial" w:hAnsi="Arial"/>
          <w:color w:val="030303"/>
          <w:sz w:val="14"/>
        </w:rPr>
        <w:t xml:space="preserve">recorded in the </w:t>
      </w:r>
      <w:r>
        <w:rPr>
          <w:rFonts w:ascii="Arial" w:hAnsi="Arial"/>
          <w:color w:val="131313"/>
          <w:sz w:val="14"/>
        </w:rPr>
        <w:t xml:space="preserve">Great </w:t>
      </w:r>
      <w:proofErr w:type="gramStart"/>
      <w:r>
        <w:rPr>
          <w:rFonts w:ascii="Arial" w:hAnsi="Arial"/>
          <w:color w:val="030303"/>
          <w:sz w:val="14"/>
        </w:rPr>
        <w:t>Barrier  Reef</w:t>
      </w:r>
      <w:proofErr w:type="gramEnd"/>
      <w:r>
        <w:rPr>
          <w:rFonts w:ascii="Arial" w:hAnsi="Arial"/>
          <w:color w:val="030303"/>
          <w:sz w:val="14"/>
        </w:rPr>
        <w:t xml:space="preserve">. </w:t>
      </w:r>
      <w:r>
        <w:rPr>
          <w:rFonts w:ascii="Arial" w:hAnsi="Arial"/>
          <w:color w:val="030303"/>
          <w:spacing w:val="-5"/>
          <w:sz w:val="14"/>
        </w:rPr>
        <w:t>T</w:t>
      </w:r>
      <w:r>
        <w:rPr>
          <w:rFonts w:ascii="Arial" w:hAnsi="Arial"/>
          <w:color w:val="262626"/>
          <w:spacing w:val="-5"/>
          <w:sz w:val="14"/>
        </w:rPr>
        <w:t>we</w:t>
      </w:r>
      <w:r>
        <w:rPr>
          <w:rFonts w:ascii="Arial" w:hAnsi="Arial"/>
          <w:color w:val="030303"/>
          <w:spacing w:val="-5"/>
          <w:sz w:val="14"/>
        </w:rPr>
        <w:t xml:space="preserve">nty­ </w:t>
      </w:r>
      <w:r>
        <w:rPr>
          <w:rFonts w:ascii="Arial" w:hAnsi="Arial"/>
          <w:color w:val="030303"/>
          <w:sz w:val="14"/>
        </w:rPr>
        <w:t xml:space="preserve">two </w:t>
      </w:r>
      <w:r>
        <w:rPr>
          <w:rFonts w:ascii="Arial" w:hAnsi="Arial"/>
          <w:color w:val="131313"/>
          <w:sz w:val="14"/>
        </w:rPr>
        <w:t xml:space="preserve">seabird species breed on cays and some continental </w:t>
      </w:r>
      <w:r>
        <w:rPr>
          <w:rFonts w:ascii="Arial" w:hAnsi="Arial"/>
          <w:color w:val="030303"/>
          <w:sz w:val="14"/>
        </w:rPr>
        <w:t xml:space="preserve">islands, </w:t>
      </w:r>
      <w:r>
        <w:rPr>
          <w:rFonts w:ascii="Arial" w:hAnsi="Arial"/>
          <w:color w:val="131313"/>
          <w:sz w:val="14"/>
        </w:rPr>
        <w:t xml:space="preserve">and some of </w:t>
      </w:r>
      <w:r>
        <w:rPr>
          <w:rFonts w:ascii="Arial" w:hAnsi="Arial"/>
          <w:color w:val="030303"/>
          <w:sz w:val="14"/>
        </w:rPr>
        <w:t>these</w:t>
      </w:r>
      <w:r>
        <w:rPr>
          <w:rFonts w:ascii="Arial" w:hAnsi="Arial"/>
          <w:color w:val="131313"/>
          <w:sz w:val="14"/>
        </w:rPr>
        <w:t xml:space="preserve"> breeding sites are globally</w:t>
      </w:r>
      <w:r>
        <w:rPr>
          <w:rFonts w:ascii="Arial" w:hAnsi="Arial"/>
          <w:color w:val="131313"/>
          <w:spacing w:val="12"/>
          <w:sz w:val="14"/>
        </w:rPr>
        <w:t xml:space="preserve"> </w:t>
      </w:r>
      <w:r>
        <w:rPr>
          <w:rFonts w:ascii="Arial" w:hAnsi="Arial"/>
          <w:color w:val="030303"/>
          <w:sz w:val="14"/>
        </w:rPr>
        <w:t>significant</w:t>
      </w:r>
    </w:p>
    <w:p w:rsidR="00D1511D" w:rsidRDefault="003F0CB3">
      <w:pPr>
        <w:pStyle w:val="ListParagraph"/>
        <w:numPr>
          <w:ilvl w:val="0"/>
          <w:numId w:val="20"/>
        </w:numPr>
        <w:tabs>
          <w:tab w:val="left" w:pos="573"/>
        </w:tabs>
        <w:spacing w:before="46" w:line="256" w:lineRule="auto"/>
        <w:ind w:left="576" w:right="395" w:hanging="356"/>
        <w:jc w:val="left"/>
        <w:rPr>
          <w:rFonts w:ascii="Arial"/>
          <w:sz w:val="14"/>
        </w:rPr>
      </w:pPr>
      <w:r>
        <w:rPr>
          <w:rFonts w:ascii="Arial"/>
          <w:color w:val="030303"/>
          <w:sz w:val="14"/>
        </w:rPr>
        <w:t xml:space="preserve">The </w:t>
      </w:r>
      <w:r>
        <w:rPr>
          <w:rFonts w:ascii="Arial"/>
          <w:color w:val="131313"/>
          <w:sz w:val="14"/>
        </w:rPr>
        <w:t xml:space="preserve">continental </w:t>
      </w:r>
      <w:r>
        <w:rPr>
          <w:rFonts w:ascii="Arial"/>
          <w:b/>
          <w:color w:val="030303"/>
          <w:sz w:val="14"/>
        </w:rPr>
        <w:t xml:space="preserve">islands </w:t>
      </w:r>
      <w:r>
        <w:rPr>
          <w:rFonts w:ascii="Arial"/>
          <w:color w:val="131313"/>
          <w:sz w:val="14"/>
        </w:rPr>
        <w:t xml:space="preserve">support </w:t>
      </w:r>
      <w:r>
        <w:rPr>
          <w:rFonts w:ascii="Arial"/>
          <w:color w:val="030303"/>
          <w:sz w:val="14"/>
        </w:rPr>
        <w:t xml:space="preserve">thousands </w:t>
      </w:r>
      <w:r>
        <w:rPr>
          <w:rFonts w:ascii="Arial"/>
          <w:color w:val="131313"/>
          <w:sz w:val="14"/>
        </w:rPr>
        <w:t xml:space="preserve">of </w:t>
      </w:r>
      <w:r>
        <w:rPr>
          <w:rFonts w:ascii="Arial"/>
          <w:color w:val="030303"/>
          <w:sz w:val="14"/>
        </w:rPr>
        <w:t xml:space="preserve">plant </w:t>
      </w:r>
      <w:r>
        <w:rPr>
          <w:rFonts w:ascii="Arial"/>
          <w:color w:val="131313"/>
          <w:sz w:val="14"/>
        </w:rPr>
        <w:t xml:space="preserve">species, </w:t>
      </w:r>
      <w:r>
        <w:rPr>
          <w:rFonts w:ascii="Arial"/>
          <w:color w:val="262626"/>
          <w:sz w:val="14"/>
        </w:rPr>
        <w:t>whi</w:t>
      </w:r>
      <w:r>
        <w:rPr>
          <w:rFonts w:ascii="Arial"/>
          <w:color w:val="030303"/>
          <w:sz w:val="14"/>
        </w:rPr>
        <w:t xml:space="preserve">le the </w:t>
      </w:r>
      <w:r>
        <w:rPr>
          <w:rFonts w:ascii="Arial"/>
          <w:color w:val="131313"/>
          <w:sz w:val="14"/>
        </w:rPr>
        <w:t>coral cays also</w:t>
      </w:r>
      <w:r>
        <w:rPr>
          <w:rFonts w:ascii="Arial"/>
          <w:color w:val="030303"/>
          <w:sz w:val="14"/>
        </w:rPr>
        <w:t xml:space="preserve"> ha</w:t>
      </w:r>
      <w:r>
        <w:rPr>
          <w:rFonts w:ascii="Arial"/>
          <w:color w:val="262626"/>
          <w:sz w:val="14"/>
        </w:rPr>
        <w:t xml:space="preserve">ve </w:t>
      </w:r>
      <w:r>
        <w:rPr>
          <w:rFonts w:ascii="Arial"/>
          <w:color w:val="131313"/>
          <w:sz w:val="14"/>
        </w:rPr>
        <w:t xml:space="preserve">their own distinct </w:t>
      </w:r>
      <w:r>
        <w:rPr>
          <w:rFonts w:ascii="Arial"/>
          <w:color w:val="030303"/>
          <w:sz w:val="14"/>
        </w:rPr>
        <w:t>flora and</w:t>
      </w:r>
      <w:r>
        <w:rPr>
          <w:rFonts w:ascii="Arial"/>
          <w:color w:val="030303"/>
          <w:spacing w:val="2"/>
          <w:sz w:val="14"/>
        </w:rPr>
        <w:t xml:space="preserve"> </w:t>
      </w:r>
      <w:r>
        <w:rPr>
          <w:rFonts w:ascii="Arial"/>
          <w:color w:val="030303"/>
          <w:sz w:val="14"/>
        </w:rPr>
        <w:t>fauna</w:t>
      </w:r>
    </w:p>
    <w:p w:rsidR="00D1511D" w:rsidRDefault="00D1511D">
      <w:pPr>
        <w:pStyle w:val="BodyText"/>
        <w:spacing w:before="1"/>
        <w:rPr>
          <w:rFonts w:ascii="Arial"/>
          <w:sz w:val="23"/>
        </w:rPr>
      </w:pPr>
    </w:p>
    <w:p w:rsidR="00D1511D" w:rsidRDefault="003F0CB3">
      <w:pPr>
        <w:ind w:left="223"/>
        <w:rPr>
          <w:rFonts w:ascii="Arial"/>
          <w:sz w:val="14"/>
        </w:rPr>
      </w:pPr>
      <w:r>
        <w:rPr>
          <w:rFonts w:ascii="Arial"/>
          <w:color w:val="030303"/>
          <w:sz w:val="14"/>
        </w:rPr>
        <w:t xml:space="preserve">Related to </w:t>
      </w:r>
      <w:r>
        <w:rPr>
          <w:rFonts w:ascii="Arial"/>
          <w:color w:val="131313"/>
          <w:sz w:val="14"/>
        </w:rPr>
        <w:t xml:space="preserve">assessment of </w:t>
      </w:r>
      <w:r>
        <w:rPr>
          <w:rFonts w:ascii="Arial"/>
          <w:color w:val="030303"/>
          <w:sz w:val="14"/>
        </w:rPr>
        <w:t xml:space="preserve">integrity </w:t>
      </w:r>
      <w:r>
        <w:rPr>
          <w:rFonts w:ascii="Arial"/>
          <w:color w:val="131313"/>
          <w:sz w:val="14"/>
        </w:rPr>
        <w:t xml:space="preserve">of </w:t>
      </w:r>
      <w:r>
        <w:rPr>
          <w:rFonts w:ascii="Arial"/>
          <w:color w:val="030303"/>
          <w:sz w:val="14"/>
        </w:rPr>
        <w:t>the property</w:t>
      </w:r>
      <w:r>
        <w:rPr>
          <w:rFonts w:ascii="Arial"/>
          <w:color w:val="262626"/>
          <w:sz w:val="14"/>
        </w:rPr>
        <w:t xml:space="preserve">'s </w:t>
      </w:r>
      <w:r>
        <w:rPr>
          <w:rFonts w:ascii="Arial"/>
          <w:color w:val="131313"/>
          <w:sz w:val="14"/>
        </w:rPr>
        <w:t xml:space="preserve">outstanding </w:t>
      </w:r>
      <w:r>
        <w:rPr>
          <w:rFonts w:ascii="Arial"/>
          <w:color w:val="030303"/>
          <w:sz w:val="14"/>
        </w:rPr>
        <w:t xml:space="preserve">universal </w:t>
      </w:r>
      <w:r>
        <w:rPr>
          <w:rFonts w:ascii="Arial"/>
          <w:color w:val="131313"/>
          <w:sz w:val="14"/>
        </w:rPr>
        <w:t>value</w:t>
      </w:r>
    </w:p>
    <w:p w:rsidR="00D1511D" w:rsidRDefault="00D1511D">
      <w:pPr>
        <w:rPr>
          <w:rFonts w:ascii="Arial"/>
          <w:sz w:val="14"/>
        </w:rPr>
        <w:sectPr w:rsidR="00D1511D">
          <w:type w:val="continuous"/>
          <w:pgSz w:w="11910" w:h="16840"/>
          <w:pgMar w:top="620" w:right="1300" w:bottom="280" w:left="1300" w:header="720" w:footer="720" w:gutter="0"/>
          <w:cols w:num="2" w:space="720" w:equalWidth="0">
            <w:col w:w="2893" w:space="40"/>
            <w:col w:w="6377"/>
          </w:cols>
        </w:sectPr>
      </w:pPr>
    </w:p>
    <w:p w:rsidR="00D1511D" w:rsidRDefault="003F0CB3">
      <w:pPr>
        <w:pStyle w:val="BodyText"/>
        <w:ind w:left="398"/>
        <w:rPr>
          <w:rFonts w:ascii="Arial"/>
        </w:rPr>
      </w:pPr>
      <w:r>
        <w:rPr>
          <w:rFonts w:ascii="Arial"/>
        </w:rPr>
      </w:r>
      <w:r>
        <w:rPr>
          <w:rFonts w:ascii="Arial"/>
        </w:rPr>
        <w:pict>
          <v:group id="_x0000_s1116" alt="" style="width:438.7pt;height:22.1pt;mso-position-horizontal-relative:char;mso-position-vertical-relative:line" coordsize="8774,442">
            <v:rect id="_x0000_s1117" alt="" style="position:absolute;top:188;width:8774;height:251" fillcolor="#cfd4d5" stroked="f"/>
            <v:line id="_x0000_s1118" alt="" style="position:absolute" from="0,189" to="2676,189" strokeweight=".06244mm"/>
            <v:line id="_x0000_s1119" alt="" style="position:absolute" from="2676,189" to="8774,189" strokeweight=".06244mm"/>
            <v:line id="_x0000_s1120" alt="" style="position:absolute" from="0,439" to="2676,439" strokeweight=".06244mm"/>
            <v:line id="_x0000_s1121" alt="" style="position:absolute" from="2676,439" to="8774,439" strokeweight=".06244mm"/>
            <v:shape id="_x0000_s1122" type="#_x0000_t202" alt="" style="position:absolute;width:8774;height:442;mso-wrap-style:square;v-text-anchor:top" filled="f" stroked="f">
              <v:textbox inset="0,0,0,0">
                <w:txbxContent>
                  <w:p w:rsidR="00D1511D" w:rsidRDefault="003F0CB3">
                    <w:pPr>
                      <w:spacing w:line="157" w:lineRule="exact"/>
                      <w:ind w:left="569"/>
                      <w:rPr>
                        <w:rFonts w:ascii="Arial"/>
                        <w:b/>
                        <w:sz w:val="14"/>
                      </w:rPr>
                    </w:pPr>
                    <w:r>
                      <w:rPr>
                        <w:rFonts w:ascii="Arial"/>
                        <w:b/>
                        <w:color w:val="030303"/>
                        <w:sz w:val="14"/>
                      </w:rPr>
                      <w:t>management</w:t>
                    </w:r>
                  </w:p>
                  <w:p w:rsidR="00D1511D" w:rsidRDefault="003F0CB3">
                    <w:pPr>
                      <w:spacing w:before="89"/>
                      <w:ind w:left="568"/>
                      <w:rPr>
                        <w:rFonts w:ascii="Arial"/>
                        <w:b/>
                        <w:sz w:val="14"/>
                      </w:rPr>
                    </w:pPr>
                    <w:r>
                      <w:rPr>
                        <w:rFonts w:ascii="Arial"/>
                        <w:b/>
                        <w:color w:val="030303"/>
                        <w:sz w:val="14"/>
                      </w:rPr>
                      <w:t>Broader than outstanding universal value</w:t>
                    </w:r>
                  </w:p>
                </w:txbxContent>
              </v:textbox>
            </v:shape>
            <w10:anchorlock/>
          </v:group>
        </w:pict>
      </w:r>
    </w:p>
    <w:p w:rsidR="00D1511D" w:rsidRDefault="00D1511D">
      <w:pPr>
        <w:pStyle w:val="BodyText"/>
        <w:spacing w:before="1"/>
        <w:rPr>
          <w:rFonts w:ascii="Arial"/>
          <w:sz w:val="6"/>
        </w:rPr>
      </w:pPr>
    </w:p>
    <w:p w:rsidR="00D1511D" w:rsidRDefault="00D1511D">
      <w:pPr>
        <w:rPr>
          <w:rFonts w:ascii="Arial"/>
          <w:sz w:val="6"/>
        </w:rPr>
        <w:sectPr w:rsidR="00D1511D">
          <w:type w:val="continuous"/>
          <w:pgSz w:w="11910" w:h="16840"/>
          <w:pgMar w:top="620" w:right="1300" w:bottom="280" w:left="1300" w:header="720" w:footer="720" w:gutter="0"/>
          <w:cols w:space="720"/>
        </w:sectPr>
      </w:pPr>
    </w:p>
    <w:p w:rsidR="00D1511D" w:rsidRDefault="003F0CB3">
      <w:pPr>
        <w:tabs>
          <w:tab w:val="left" w:pos="966"/>
          <w:tab w:val="left" w:pos="3153"/>
        </w:tabs>
        <w:spacing w:before="34"/>
        <w:ind w:left="477"/>
        <w:rPr>
          <w:rFonts w:ascii="Arial"/>
          <w:sz w:val="14"/>
        </w:rPr>
      </w:pPr>
      <w:r>
        <w:rPr>
          <w:rFonts w:ascii="Arial"/>
          <w:color w:val="030303"/>
          <w:sz w:val="14"/>
        </w:rPr>
        <w:t>4.3</w:t>
      </w:r>
      <w:r>
        <w:rPr>
          <w:rFonts w:ascii="Arial"/>
          <w:color w:val="030303"/>
          <w:sz w:val="14"/>
        </w:rPr>
        <w:tab/>
        <w:t>Indigenous</w:t>
      </w:r>
      <w:r>
        <w:rPr>
          <w:rFonts w:ascii="Arial"/>
          <w:color w:val="030303"/>
          <w:spacing w:val="5"/>
          <w:sz w:val="14"/>
        </w:rPr>
        <w:t xml:space="preserve"> </w:t>
      </w:r>
      <w:r>
        <w:rPr>
          <w:rFonts w:ascii="Arial"/>
          <w:color w:val="030303"/>
          <w:sz w:val="14"/>
        </w:rPr>
        <w:t xml:space="preserve">heritage </w:t>
      </w:r>
      <w:r>
        <w:rPr>
          <w:rFonts w:ascii="Arial"/>
          <w:color w:val="131313"/>
          <w:sz w:val="14"/>
        </w:rPr>
        <w:t>values</w:t>
      </w:r>
      <w:r>
        <w:rPr>
          <w:rFonts w:ascii="Arial"/>
          <w:color w:val="131313"/>
          <w:sz w:val="14"/>
        </w:rPr>
        <w:tab/>
      </w:r>
      <w:r>
        <w:rPr>
          <w:rFonts w:ascii="Arial"/>
          <w:color w:val="131313"/>
          <w:spacing w:val="-6"/>
          <w:w w:val="95"/>
          <w:position w:val="9"/>
          <w:sz w:val="14"/>
        </w:rPr>
        <w:t>(27)</w:t>
      </w:r>
    </w:p>
    <w:p w:rsidR="00D1511D" w:rsidRDefault="003F0CB3">
      <w:pPr>
        <w:tabs>
          <w:tab w:val="left" w:pos="966"/>
        </w:tabs>
        <w:spacing w:before="7" w:line="256" w:lineRule="auto"/>
        <w:ind w:left="970" w:right="862" w:hanging="497"/>
        <w:rPr>
          <w:rFonts w:ascii="Arial"/>
          <w:sz w:val="14"/>
        </w:rPr>
      </w:pPr>
      <w:r>
        <w:pict>
          <v:shape id="_x0000_s1115" alt="" style="position:absolute;left:0;text-align:left;margin-left:0;margin-top:740.4pt;width:438.7pt;height:.1pt;z-index:251749376;mso-wrap-edited:f;mso-width-percent:0;mso-height-percent:0;mso-position-horizontal-relative:page;mso-width-percent:0;mso-height-percent:0" coordsize="8774,1270" o:spt="100" adj="0,,0" path="m1701,-14441r2676,m4377,-14441r6097,e" filled="f" strokeweight=".06244mm">
            <v:stroke joinstyle="round"/>
            <v:formulas/>
            <v:path arrowok="t" o:connecttype="custom" o:connectlocs="1080135,0;2779395,0;2779395,0;6650990,0" o:connectangles="0,0,0,0"/>
            <w10:wrap anchorx="page"/>
          </v:shape>
        </w:pict>
      </w:r>
      <w:r>
        <w:rPr>
          <w:rFonts w:ascii="Arial"/>
          <w:color w:val="131313"/>
          <w:sz w:val="14"/>
        </w:rPr>
        <w:t>5.9</w:t>
      </w:r>
      <w:r>
        <w:rPr>
          <w:rFonts w:ascii="Arial"/>
          <w:color w:val="131313"/>
          <w:sz w:val="14"/>
        </w:rPr>
        <w:tab/>
      </w:r>
      <w:r>
        <w:rPr>
          <w:rFonts w:ascii="Arial"/>
          <w:color w:val="030303"/>
          <w:sz w:val="14"/>
        </w:rPr>
        <w:t xml:space="preserve">Traditional use </w:t>
      </w:r>
      <w:r>
        <w:rPr>
          <w:rFonts w:ascii="Arial"/>
          <w:color w:val="131313"/>
          <w:sz w:val="14"/>
        </w:rPr>
        <w:t xml:space="preserve">of </w:t>
      </w:r>
      <w:r>
        <w:rPr>
          <w:rFonts w:ascii="Arial"/>
          <w:color w:val="030303"/>
          <w:sz w:val="14"/>
        </w:rPr>
        <w:t>marine</w:t>
      </w:r>
      <w:r>
        <w:rPr>
          <w:rFonts w:ascii="Arial"/>
          <w:color w:val="131313"/>
          <w:sz w:val="14"/>
        </w:rPr>
        <w:t xml:space="preserve"> resources</w:t>
      </w:r>
    </w:p>
    <w:p w:rsidR="00D1511D" w:rsidRDefault="003F0CB3">
      <w:pPr>
        <w:tabs>
          <w:tab w:val="left" w:pos="973"/>
        </w:tabs>
        <w:spacing w:before="69"/>
        <w:ind w:left="475"/>
        <w:rPr>
          <w:rFonts w:ascii="Arial"/>
          <w:sz w:val="14"/>
        </w:rPr>
      </w:pPr>
      <w:r>
        <w:rPr>
          <w:rFonts w:ascii="Arial"/>
          <w:color w:val="131313"/>
          <w:sz w:val="14"/>
        </w:rPr>
        <w:t>2.2</w:t>
      </w:r>
      <w:r>
        <w:rPr>
          <w:rFonts w:ascii="Arial"/>
          <w:color w:val="131313"/>
          <w:sz w:val="14"/>
        </w:rPr>
        <w:tab/>
      </w:r>
      <w:r>
        <w:rPr>
          <w:rFonts w:ascii="Arial"/>
          <w:color w:val="030303"/>
          <w:sz w:val="14"/>
        </w:rPr>
        <w:t xml:space="preserve">Legacies </w:t>
      </w:r>
      <w:r>
        <w:rPr>
          <w:rFonts w:ascii="Arial"/>
          <w:color w:val="131313"/>
          <w:sz w:val="14"/>
        </w:rPr>
        <w:t>and shifted</w:t>
      </w:r>
      <w:r>
        <w:rPr>
          <w:rFonts w:ascii="Arial"/>
          <w:color w:val="131313"/>
          <w:spacing w:val="5"/>
          <w:sz w:val="14"/>
        </w:rPr>
        <w:t xml:space="preserve"> </w:t>
      </w:r>
      <w:r>
        <w:rPr>
          <w:rFonts w:ascii="Arial"/>
          <w:color w:val="131313"/>
          <w:sz w:val="14"/>
        </w:rPr>
        <w:t>baselines</w:t>
      </w:r>
    </w:p>
    <w:p w:rsidR="00D1511D" w:rsidRDefault="003F0CB3">
      <w:pPr>
        <w:tabs>
          <w:tab w:val="left" w:pos="967"/>
        </w:tabs>
        <w:spacing w:before="12" w:line="254" w:lineRule="auto"/>
        <w:ind w:left="969" w:right="611" w:hanging="497"/>
        <w:rPr>
          <w:rFonts w:ascii="Arial"/>
          <w:sz w:val="14"/>
        </w:rPr>
      </w:pPr>
      <w:r>
        <w:rPr>
          <w:rFonts w:ascii="Arial"/>
          <w:color w:val="131313"/>
          <w:w w:val="105"/>
          <w:sz w:val="14"/>
        </w:rPr>
        <w:t>3.6</w:t>
      </w:r>
      <w:r>
        <w:rPr>
          <w:rFonts w:ascii="Arial"/>
          <w:color w:val="131313"/>
          <w:w w:val="105"/>
          <w:sz w:val="14"/>
        </w:rPr>
        <w:tab/>
        <w:t xml:space="preserve">Outbreaks of </w:t>
      </w:r>
      <w:r>
        <w:rPr>
          <w:rFonts w:ascii="Arial"/>
          <w:color w:val="131313"/>
          <w:spacing w:val="-4"/>
          <w:w w:val="105"/>
          <w:sz w:val="14"/>
        </w:rPr>
        <w:t>disease</w:t>
      </w:r>
      <w:r>
        <w:rPr>
          <w:rFonts w:ascii="Arial"/>
          <w:color w:val="3B3B3B"/>
          <w:spacing w:val="-4"/>
          <w:w w:val="105"/>
          <w:sz w:val="14"/>
        </w:rPr>
        <w:t>,</w:t>
      </w:r>
      <w:r>
        <w:rPr>
          <w:rFonts w:ascii="Arial"/>
          <w:color w:val="030303"/>
          <w:spacing w:val="-4"/>
          <w:w w:val="105"/>
          <w:sz w:val="14"/>
        </w:rPr>
        <w:t xml:space="preserve"> </w:t>
      </w:r>
      <w:r>
        <w:rPr>
          <w:rFonts w:ascii="Arial"/>
          <w:color w:val="030303"/>
          <w:w w:val="105"/>
          <w:sz w:val="14"/>
        </w:rPr>
        <w:t>introduced</w:t>
      </w:r>
      <w:r>
        <w:rPr>
          <w:rFonts w:ascii="Arial"/>
          <w:color w:val="030303"/>
          <w:spacing w:val="-11"/>
          <w:w w:val="105"/>
          <w:sz w:val="14"/>
        </w:rPr>
        <w:t xml:space="preserve"> </w:t>
      </w:r>
      <w:r>
        <w:rPr>
          <w:rFonts w:ascii="Arial"/>
          <w:color w:val="131313"/>
          <w:w w:val="105"/>
          <w:sz w:val="14"/>
        </w:rPr>
        <w:t>species</w:t>
      </w:r>
      <w:r>
        <w:rPr>
          <w:rFonts w:ascii="Arial"/>
          <w:color w:val="131313"/>
          <w:spacing w:val="-13"/>
          <w:w w:val="105"/>
          <w:sz w:val="14"/>
        </w:rPr>
        <w:t xml:space="preserve"> </w:t>
      </w:r>
      <w:r>
        <w:rPr>
          <w:rFonts w:ascii="Arial"/>
          <w:color w:val="131313"/>
          <w:w w:val="105"/>
          <w:sz w:val="14"/>
        </w:rPr>
        <w:t>and</w:t>
      </w:r>
      <w:r>
        <w:rPr>
          <w:rFonts w:ascii="Arial"/>
          <w:color w:val="131313"/>
          <w:spacing w:val="-17"/>
          <w:w w:val="105"/>
          <w:sz w:val="14"/>
        </w:rPr>
        <w:t xml:space="preserve"> </w:t>
      </w:r>
      <w:r>
        <w:rPr>
          <w:rFonts w:ascii="Arial"/>
          <w:color w:val="030303"/>
          <w:w w:val="105"/>
          <w:sz w:val="14"/>
        </w:rPr>
        <w:t>pest</w:t>
      </w:r>
      <w:r>
        <w:rPr>
          <w:rFonts w:ascii="Arial"/>
          <w:color w:val="131313"/>
          <w:w w:val="105"/>
          <w:sz w:val="14"/>
        </w:rPr>
        <w:t xml:space="preserve"> species</w:t>
      </w:r>
    </w:p>
    <w:p w:rsidR="00D1511D" w:rsidRDefault="003F0CB3">
      <w:pPr>
        <w:tabs>
          <w:tab w:val="left" w:pos="972"/>
        </w:tabs>
        <w:spacing w:line="158" w:lineRule="exact"/>
        <w:ind w:left="477"/>
        <w:rPr>
          <w:rFonts w:ascii="Arial"/>
          <w:sz w:val="14"/>
        </w:rPr>
      </w:pPr>
      <w:r>
        <w:rPr>
          <w:rFonts w:ascii="Arial"/>
          <w:color w:val="030303"/>
          <w:sz w:val="14"/>
        </w:rPr>
        <w:t>4.4</w:t>
      </w:r>
      <w:r>
        <w:rPr>
          <w:rFonts w:ascii="Arial"/>
          <w:color w:val="030303"/>
          <w:sz w:val="14"/>
        </w:rPr>
        <w:tab/>
      </w:r>
      <w:r>
        <w:rPr>
          <w:rFonts w:ascii="Arial"/>
          <w:color w:val="030303"/>
          <w:sz w:val="14"/>
        </w:rPr>
        <w:t>Historic heritage</w:t>
      </w:r>
      <w:r>
        <w:rPr>
          <w:rFonts w:ascii="Arial"/>
          <w:color w:val="030303"/>
          <w:spacing w:val="9"/>
          <w:sz w:val="14"/>
        </w:rPr>
        <w:t xml:space="preserve"> </w:t>
      </w:r>
      <w:r>
        <w:rPr>
          <w:rFonts w:ascii="Arial"/>
          <w:color w:val="131313"/>
          <w:sz w:val="14"/>
        </w:rPr>
        <w:t>values</w:t>
      </w:r>
    </w:p>
    <w:p w:rsidR="00D1511D" w:rsidRDefault="003F0CB3">
      <w:pPr>
        <w:pStyle w:val="ListParagraph"/>
        <w:numPr>
          <w:ilvl w:val="0"/>
          <w:numId w:val="17"/>
        </w:numPr>
        <w:tabs>
          <w:tab w:val="left" w:pos="967"/>
          <w:tab w:val="left" w:pos="968"/>
        </w:tabs>
        <w:spacing w:before="12" w:line="242" w:lineRule="auto"/>
        <w:ind w:right="1021" w:hanging="496"/>
        <w:rPr>
          <w:rFonts w:ascii="Arial"/>
          <w:b/>
          <w:color w:val="030303"/>
          <w:sz w:val="13"/>
        </w:rPr>
      </w:pPr>
      <w:r>
        <w:rPr>
          <w:rFonts w:ascii="Arial"/>
          <w:b/>
          <w:color w:val="030303"/>
          <w:sz w:val="14"/>
        </w:rPr>
        <w:t>Commercial and non-commercial</w:t>
      </w:r>
      <w:r>
        <w:rPr>
          <w:rFonts w:ascii="Arial"/>
          <w:b/>
          <w:color w:val="030303"/>
          <w:spacing w:val="4"/>
          <w:sz w:val="14"/>
        </w:rPr>
        <w:t xml:space="preserve"> </w:t>
      </w:r>
      <w:r>
        <w:rPr>
          <w:rFonts w:ascii="Arial"/>
          <w:b/>
          <w:color w:val="030303"/>
          <w:sz w:val="14"/>
        </w:rPr>
        <w:t>use</w:t>
      </w:r>
    </w:p>
    <w:p w:rsidR="00D1511D" w:rsidRDefault="003F0CB3">
      <w:pPr>
        <w:pStyle w:val="ListParagraph"/>
        <w:numPr>
          <w:ilvl w:val="0"/>
          <w:numId w:val="17"/>
        </w:numPr>
        <w:tabs>
          <w:tab w:val="left" w:pos="968"/>
          <w:tab w:val="left" w:pos="969"/>
        </w:tabs>
        <w:spacing w:before="16" w:line="249" w:lineRule="auto"/>
        <w:ind w:left="968" w:right="851" w:hanging="496"/>
        <w:rPr>
          <w:rFonts w:ascii="Arial"/>
          <w:b/>
          <w:color w:val="030303"/>
          <w:sz w:val="14"/>
        </w:rPr>
      </w:pPr>
      <w:r>
        <w:rPr>
          <w:rFonts w:ascii="Arial"/>
          <w:b/>
          <w:color w:val="030303"/>
          <w:sz w:val="14"/>
        </w:rPr>
        <w:t>Factors influencing the Region</w:t>
      </w:r>
      <w:r>
        <w:rPr>
          <w:rFonts w:ascii="Arial"/>
          <w:b/>
          <w:color w:val="030303"/>
          <w:spacing w:val="-29"/>
          <w:sz w:val="14"/>
        </w:rPr>
        <w:t xml:space="preserve"> </w:t>
      </w:r>
      <w:r>
        <w:rPr>
          <w:rFonts w:ascii="Arial"/>
          <w:b/>
          <w:color w:val="262626"/>
          <w:spacing w:val="-5"/>
          <w:sz w:val="14"/>
        </w:rPr>
        <w:t>'</w:t>
      </w:r>
      <w:r>
        <w:rPr>
          <w:rFonts w:ascii="Arial"/>
          <w:b/>
          <w:color w:val="030303"/>
          <w:spacing w:val="-5"/>
          <w:sz w:val="14"/>
        </w:rPr>
        <w:t xml:space="preserve">s </w:t>
      </w:r>
      <w:r>
        <w:rPr>
          <w:rFonts w:ascii="Arial"/>
          <w:b/>
          <w:color w:val="030303"/>
          <w:sz w:val="14"/>
        </w:rPr>
        <w:t>values</w:t>
      </w:r>
    </w:p>
    <w:p w:rsidR="00D1511D" w:rsidRDefault="003F0CB3">
      <w:pPr>
        <w:pStyle w:val="ListParagraph"/>
        <w:numPr>
          <w:ilvl w:val="0"/>
          <w:numId w:val="17"/>
        </w:numPr>
        <w:tabs>
          <w:tab w:val="left" w:pos="968"/>
          <w:tab w:val="left" w:pos="969"/>
        </w:tabs>
        <w:spacing w:before="1" w:line="249" w:lineRule="auto"/>
        <w:ind w:left="970" w:right="844" w:hanging="498"/>
        <w:rPr>
          <w:rFonts w:ascii="Arial"/>
          <w:b/>
          <w:color w:val="030303"/>
          <w:sz w:val="14"/>
        </w:rPr>
      </w:pPr>
      <w:r>
        <w:rPr>
          <w:rFonts w:ascii="Arial"/>
          <w:b/>
          <w:color w:val="030303"/>
          <w:sz w:val="14"/>
        </w:rPr>
        <w:t>Existing protection and management</w:t>
      </w:r>
    </w:p>
    <w:p w:rsidR="00D1511D" w:rsidRDefault="003F0CB3">
      <w:pPr>
        <w:tabs>
          <w:tab w:val="left" w:pos="972"/>
        </w:tabs>
        <w:spacing w:before="7" w:line="249" w:lineRule="auto"/>
        <w:ind w:left="969" w:right="471" w:hanging="496"/>
        <w:rPr>
          <w:rFonts w:ascii="Arial"/>
          <w:sz w:val="14"/>
        </w:rPr>
      </w:pPr>
      <w:r>
        <w:rPr>
          <w:rFonts w:ascii="Arial"/>
          <w:color w:val="131313"/>
          <w:sz w:val="14"/>
        </w:rPr>
        <w:t>8.5</w:t>
      </w:r>
      <w:r>
        <w:rPr>
          <w:rFonts w:ascii="Arial"/>
          <w:color w:val="131313"/>
          <w:sz w:val="14"/>
        </w:rPr>
        <w:tab/>
      </w:r>
      <w:r>
        <w:rPr>
          <w:rFonts w:ascii="Arial"/>
          <w:color w:val="131313"/>
          <w:sz w:val="14"/>
        </w:rPr>
        <w:tab/>
      </w:r>
      <w:r>
        <w:rPr>
          <w:rFonts w:ascii="Arial"/>
          <w:color w:val="030303"/>
          <w:sz w:val="14"/>
        </w:rPr>
        <w:t xml:space="preserve">Heritage </w:t>
      </w:r>
      <w:r>
        <w:rPr>
          <w:rFonts w:ascii="Arial"/>
          <w:color w:val="131313"/>
          <w:sz w:val="14"/>
        </w:rPr>
        <w:t xml:space="preserve">resilience (Indigenous and </w:t>
      </w:r>
      <w:r>
        <w:rPr>
          <w:rFonts w:ascii="Arial"/>
          <w:color w:val="030303"/>
          <w:sz w:val="14"/>
        </w:rPr>
        <w:t>historic heritage</w:t>
      </w:r>
      <w:r>
        <w:rPr>
          <w:rFonts w:ascii="Arial"/>
          <w:color w:val="030303"/>
          <w:spacing w:val="6"/>
          <w:sz w:val="14"/>
        </w:rPr>
        <w:t xml:space="preserve"> </w:t>
      </w:r>
      <w:r>
        <w:rPr>
          <w:rFonts w:ascii="Arial"/>
          <w:color w:val="131313"/>
          <w:sz w:val="14"/>
        </w:rPr>
        <w:t>value)</w:t>
      </w:r>
    </w:p>
    <w:p w:rsidR="00D1511D" w:rsidRDefault="003F0CB3">
      <w:pPr>
        <w:pStyle w:val="ListParagraph"/>
        <w:numPr>
          <w:ilvl w:val="0"/>
          <w:numId w:val="16"/>
        </w:numPr>
        <w:tabs>
          <w:tab w:val="left" w:pos="968"/>
          <w:tab w:val="left" w:pos="969"/>
        </w:tabs>
        <w:spacing w:before="6"/>
        <w:rPr>
          <w:rFonts w:ascii="Arial"/>
          <w:b/>
          <w:color w:val="030303"/>
          <w:sz w:val="14"/>
        </w:rPr>
      </w:pPr>
      <w:r>
        <w:rPr>
          <w:rFonts w:ascii="Arial"/>
          <w:b/>
          <w:color w:val="030303"/>
          <w:sz w:val="14"/>
        </w:rPr>
        <w:t>Risks to the Region's</w:t>
      </w:r>
      <w:r>
        <w:rPr>
          <w:rFonts w:ascii="Arial"/>
          <w:b/>
          <w:color w:val="030303"/>
          <w:spacing w:val="-5"/>
          <w:sz w:val="14"/>
        </w:rPr>
        <w:t xml:space="preserve"> </w:t>
      </w:r>
      <w:r>
        <w:rPr>
          <w:rFonts w:ascii="Arial"/>
          <w:b/>
          <w:color w:val="030303"/>
          <w:sz w:val="14"/>
        </w:rPr>
        <w:t>values</w:t>
      </w:r>
    </w:p>
    <w:p w:rsidR="00D1511D" w:rsidRDefault="003F0CB3">
      <w:pPr>
        <w:pStyle w:val="ListParagraph"/>
        <w:numPr>
          <w:ilvl w:val="0"/>
          <w:numId w:val="16"/>
        </w:numPr>
        <w:tabs>
          <w:tab w:val="left" w:pos="968"/>
          <w:tab w:val="left" w:pos="969"/>
        </w:tabs>
        <w:spacing w:before="7"/>
        <w:ind w:hanging="496"/>
        <w:rPr>
          <w:rFonts w:ascii="Arial"/>
          <w:b/>
          <w:color w:val="030303"/>
          <w:sz w:val="13"/>
        </w:rPr>
      </w:pPr>
      <w:r>
        <w:rPr>
          <w:rFonts w:ascii="Arial"/>
          <w:b/>
          <w:color w:val="030303"/>
          <w:sz w:val="14"/>
        </w:rPr>
        <w:t>Long-term</w:t>
      </w:r>
      <w:r>
        <w:rPr>
          <w:rFonts w:ascii="Arial"/>
          <w:b/>
          <w:color w:val="030303"/>
          <w:spacing w:val="9"/>
          <w:sz w:val="14"/>
        </w:rPr>
        <w:t xml:space="preserve"> </w:t>
      </w:r>
      <w:r>
        <w:rPr>
          <w:rFonts w:ascii="Arial"/>
          <w:b/>
          <w:color w:val="030303"/>
          <w:sz w:val="14"/>
        </w:rPr>
        <w:t>outlook</w:t>
      </w:r>
    </w:p>
    <w:p w:rsidR="00D1511D" w:rsidRDefault="003F0CB3">
      <w:pPr>
        <w:spacing w:before="38" w:line="254" w:lineRule="auto"/>
        <w:ind w:left="85" w:hanging="3"/>
        <w:rPr>
          <w:rFonts w:ascii="Arial"/>
          <w:sz w:val="14"/>
        </w:rPr>
      </w:pPr>
      <w:r>
        <w:br w:type="column"/>
      </w:r>
      <w:r>
        <w:rPr>
          <w:rFonts w:ascii="Arial"/>
          <w:color w:val="030303"/>
          <w:w w:val="105"/>
          <w:sz w:val="14"/>
        </w:rPr>
        <w:t xml:space="preserve">Human interaction </w:t>
      </w:r>
      <w:r>
        <w:rPr>
          <w:rFonts w:ascii="Arial"/>
          <w:color w:val="131313"/>
          <w:w w:val="105"/>
          <w:sz w:val="14"/>
        </w:rPr>
        <w:t xml:space="preserve">with </w:t>
      </w:r>
      <w:r>
        <w:rPr>
          <w:rFonts w:ascii="Arial"/>
          <w:color w:val="030303"/>
          <w:w w:val="105"/>
          <w:sz w:val="14"/>
        </w:rPr>
        <w:t xml:space="preserve">the natural </w:t>
      </w:r>
      <w:r>
        <w:rPr>
          <w:rFonts w:ascii="Arial"/>
          <w:color w:val="131313"/>
          <w:w w:val="105"/>
          <w:sz w:val="14"/>
        </w:rPr>
        <w:t xml:space="preserve">environment </w:t>
      </w:r>
      <w:r>
        <w:rPr>
          <w:rFonts w:ascii="Arial"/>
          <w:color w:val="030303"/>
          <w:w w:val="105"/>
          <w:sz w:val="14"/>
        </w:rPr>
        <w:t xml:space="preserve">is illustrated </w:t>
      </w:r>
      <w:r>
        <w:rPr>
          <w:rFonts w:ascii="Arial"/>
          <w:color w:val="131313"/>
          <w:w w:val="105"/>
          <w:sz w:val="14"/>
        </w:rPr>
        <w:t xml:space="preserve">by strong ongoing </w:t>
      </w:r>
      <w:r>
        <w:rPr>
          <w:rFonts w:ascii="Arial"/>
          <w:color w:val="030303"/>
          <w:w w:val="105"/>
          <w:sz w:val="14"/>
        </w:rPr>
        <w:t xml:space="preserve">links </w:t>
      </w:r>
      <w:r>
        <w:rPr>
          <w:rFonts w:ascii="Arial"/>
          <w:color w:val="131313"/>
          <w:w w:val="105"/>
          <w:sz w:val="14"/>
        </w:rPr>
        <w:t>between</w:t>
      </w:r>
      <w:r>
        <w:rPr>
          <w:rFonts w:ascii="Arial"/>
          <w:color w:val="131313"/>
          <w:spacing w:val="-14"/>
          <w:w w:val="105"/>
          <w:sz w:val="14"/>
        </w:rPr>
        <w:t xml:space="preserve"> </w:t>
      </w:r>
      <w:r>
        <w:rPr>
          <w:rFonts w:ascii="Arial"/>
          <w:color w:val="030303"/>
          <w:w w:val="105"/>
          <w:sz w:val="14"/>
        </w:rPr>
        <w:t>Indigenous</w:t>
      </w:r>
      <w:r>
        <w:rPr>
          <w:rFonts w:ascii="Arial"/>
          <w:color w:val="030303"/>
          <w:spacing w:val="-14"/>
          <w:w w:val="105"/>
          <w:sz w:val="14"/>
        </w:rPr>
        <w:t xml:space="preserve"> </w:t>
      </w:r>
      <w:r>
        <w:rPr>
          <w:rFonts w:ascii="Arial"/>
          <w:color w:val="131313"/>
          <w:w w:val="105"/>
          <w:sz w:val="14"/>
        </w:rPr>
        <w:t>people</w:t>
      </w:r>
      <w:r>
        <w:rPr>
          <w:rFonts w:ascii="Arial"/>
          <w:color w:val="131313"/>
          <w:spacing w:val="-17"/>
          <w:w w:val="105"/>
          <w:sz w:val="14"/>
        </w:rPr>
        <w:t xml:space="preserve"> </w:t>
      </w:r>
      <w:r>
        <w:rPr>
          <w:rFonts w:ascii="Arial"/>
          <w:color w:val="131313"/>
          <w:w w:val="105"/>
          <w:sz w:val="14"/>
        </w:rPr>
        <w:t>and</w:t>
      </w:r>
      <w:r>
        <w:rPr>
          <w:rFonts w:ascii="Arial"/>
          <w:color w:val="131313"/>
          <w:spacing w:val="-19"/>
          <w:w w:val="105"/>
          <w:sz w:val="14"/>
        </w:rPr>
        <w:t xml:space="preserve"> </w:t>
      </w:r>
      <w:r>
        <w:rPr>
          <w:rFonts w:ascii="Arial"/>
          <w:color w:val="030303"/>
          <w:w w:val="105"/>
          <w:sz w:val="14"/>
        </w:rPr>
        <w:t>their</w:t>
      </w:r>
      <w:r>
        <w:rPr>
          <w:rFonts w:ascii="Arial"/>
          <w:color w:val="030303"/>
          <w:spacing w:val="-16"/>
          <w:w w:val="105"/>
          <w:sz w:val="14"/>
        </w:rPr>
        <w:t xml:space="preserve"> </w:t>
      </w:r>
      <w:r>
        <w:rPr>
          <w:rFonts w:ascii="Arial"/>
          <w:color w:val="131313"/>
          <w:w w:val="105"/>
          <w:sz w:val="14"/>
        </w:rPr>
        <w:t>sea</w:t>
      </w:r>
      <w:r>
        <w:rPr>
          <w:rFonts w:ascii="Arial"/>
          <w:color w:val="131313"/>
          <w:spacing w:val="-20"/>
          <w:w w:val="105"/>
          <w:sz w:val="14"/>
        </w:rPr>
        <w:t xml:space="preserve"> </w:t>
      </w:r>
      <w:r>
        <w:rPr>
          <w:rFonts w:ascii="Arial"/>
          <w:color w:val="131313"/>
          <w:w w:val="105"/>
          <w:sz w:val="14"/>
        </w:rPr>
        <w:t>country,</w:t>
      </w:r>
      <w:r>
        <w:rPr>
          <w:rFonts w:ascii="Arial"/>
          <w:color w:val="131313"/>
          <w:spacing w:val="-15"/>
          <w:w w:val="105"/>
          <w:sz w:val="14"/>
        </w:rPr>
        <w:t xml:space="preserve"> </w:t>
      </w:r>
      <w:r>
        <w:rPr>
          <w:rFonts w:ascii="Arial"/>
          <w:color w:val="131313"/>
          <w:w w:val="105"/>
          <w:sz w:val="14"/>
        </w:rPr>
        <w:t>and</w:t>
      </w:r>
      <w:r>
        <w:rPr>
          <w:rFonts w:ascii="Arial"/>
          <w:color w:val="131313"/>
          <w:spacing w:val="-20"/>
          <w:w w:val="105"/>
          <w:sz w:val="14"/>
        </w:rPr>
        <w:t xml:space="preserve"> </w:t>
      </w:r>
      <w:r>
        <w:rPr>
          <w:rFonts w:ascii="Arial"/>
          <w:color w:val="131313"/>
          <w:w w:val="105"/>
          <w:sz w:val="14"/>
        </w:rPr>
        <w:t>includes</w:t>
      </w:r>
      <w:r>
        <w:rPr>
          <w:rFonts w:ascii="Arial"/>
          <w:color w:val="131313"/>
          <w:spacing w:val="-19"/>
          <w:w w:val="105"/>
          <w:sz w:val="14"/>
        </w:rPr>
        <w:t xml:space="preserve"> </w:t>
      </w:r>
      <w:r>
        <w:rPr>
          <w:rFonts w:ascii="Arial"/>
          <w:color w:val="131313"/>
          <w:w w:val="105"/>
          <w:sz w:val="14"/>
        </w:rPr>
        <w:t>numerous</w:t>
      </w:r>
      <w:r>
        <w:rPr>
          <w:rFonts w:ascii="Arial"/>
          <w:color w:val="131313"/>
          <w:spacing w:val="-16"/>
          <w:w w:val="105"/>
          <w:sz w:val="14"/>
        </w:rPr>
        <w:t xml:space="preserve"> </w:t>
      </w:r>
      <w:r>
        <w:rPr>
          <w:rFonts w:ascii="Arial"/>
          <w:color w:val="131313"/>
          <w:w w:val="105"/>
          <w:sz w:val="14"/>
        </w:rPr>
        <w:t>shell</w:t>
      </w:r>
      <w:r>
        <w:rPr>
          <w:rFonts w:ascii="Arial"/>
          <w:color w:val="131313"/>
          <w:spacing w:val="-19"/>
          <w:w w:val="105"/>
          <w:sz w:val="14"/>
        </w:rPr>
        <w:t xml:space="preserve"> </w:t>
      </w:r>
      <w:r>
        <w:rPr>
          <w:rFonts w:ascii="Arial"/>
          <w:color w:val="131313"/>
          <w:w w:val="105"/>
          <w:sz w:val="14"/>
        </w:rPr>
        <w:t>deposits (middens)</w:t>
      </w:r>
      <w:r>
        <w:rPr>
          <w:rFonts w:ascii="Arial"/>
          <w:color w:val="131313"/>
          <w:spacing w:val="-2"/>
          <w:w w:val="105"/>
          <w:sz w:val="14"/>
        </w:rPr>
        <w:t xml:space="preserve"> </w:t>
      </w:r>
      <w:r>
        <w:rPr>
          <w:rFonts w:ascii="Arial"/>
          <w:color w:val="131313"/>
          <w:w w:val="105"/>
          <w:sz w:val="14"/>
        </w:rPr>
        <w:t>and</w:t>
      </w:r>
      <w:r>
        <w:rPr>
          <w:rFonts w:ascii="Arial"/>
          <w:color w:val="131313"/>
          <w:spacing w:val="-7"/>
          <w:w w:val="105"/>
          <w:sz w:val="14"/>
        </w:rPr>
        <w:t xml:space="preserve"> </w:t>
      </w:r>
      <w:r>
        <w:rPr>
          <w:rFonts w:ascii="Arial"/>
          <w:color w:val="030303"/>
          <w:w w:val="105"/>
          <w:sz w:val="14"/>
        </w:rPr>
        <w:t>fish</w:t>
      </w:r>
      <w:r>
        <w:rPr>
          <w:rFonts w:ascii="Arial"/>
          <w:color w:val="030303"/>
          <w:spacing w:val="-10"/>
          <w:w w:val="105"/>
          <w:sz w:val="14"/>
        </w:rPr>
        <w:t xml:space="preserve"> </w:t>
      </w:r>
      <w:r>
        <w:rPr>
          <w:rFonts w:ascii="Arial"/>
          <w:color w:val="030303"/>
          <w:w w:val="105"/>
          <w:sz w:val="14"/>
        </w:rPr>
        <w:t>traps,</w:t>
      </w:r>
      <w:r>
        <w:rPr>
          <w:rFonts w:ascii="Arial"/>
          <w:color w:val="030303"/>
          <w:spacing w:val="-9"/>
          <w:w w:val="105"/>
          <w:sz w:val="14"/>
        </w:rPr>
        <w:t xml:space="preserve"> </w:t>
      </w:r>
      <w:r>
        <w:rPr>
          <w:rFonts w:ascii="Arial"/>
          <w:color w:val="131313"/>
          <w:w w:val="105"/>
          <w:sz w:val="14"/>
        </w:rPr>
        <w:t>plus</w:t>
      </w:r>
      <w:r>
        <w:rPr>
          <w:rFonts w:ascii="Arial"/>
          <w:color w:val="131313"/>
          <w:spacing w:val="-11"/>
          <w:w w:val="105"/>
          <w:sz w:val="14"/>
        </w:rPr>
        <w:t xml:space="preserve"> </w:t>
      </w:r>
      <w:r>
        <w:rPr>
          <w:rFonts w:ascii="Arial"/>
          <w:color w:val="030303"/>
          <w:w w:val="105"/>
          <w:sz w:val="14"/>
        </w:rPr>
        <w:t>the</w:t>
      </w:r>
      <w:r>
        <w:rPr>
          <w:rFonts w:ascii="Arial"/>
          <w:color w:val="030303"/>
          <w:spacing w:val="-10"/>
          <w:w w:val="105"/>
          <w:sz w:val="14"/>
        </w:rPr>
        <w:t xml:space="preserve"> </w:t>
      </w:r>
      <w:r>
        <w:rPr>
          <w:rFonts w:ascii="Arial"/>
          <w:color w:val="131313"/>
          <w:w w:val="105"/>
          <w:sz w:val="14"/>
        </w:rPr>
        <w:t>application</w:t>
      </w:r>
      <w:r>
        <w:rPr>
          <w:rFonts w:ascii="Arial"/>
          <w:color w:val="131313"/>
          <w:spacing w:val="-2"/>
          <w:w w:val="105"/>
          <w:sz w:val="14"/>
        </w:rPr>
        <w:t xml:space="preserve"> </w:t>
      </w:r>
      <w:r>
        <w:rPr>
          <w:rFonts w:ascii="Arial"/>
          <w:color w:val="131313"/>
          <w:w w:val="105"/>
          <w:sz w:val="14"/>
        </w:rPr>
        <w:t>of</w:t>
      </w:r>
      <w:r>
        <w:rPr>
          <w:rFonts w:ascii="Arial"/>
          <w:color w:val="131313"/>
          <w:spacing w:val="-7"/>
          <w:w w:val="105"/>
          <w:sz w:val="14"/>
        </w:rPr>
        <w:t xml:space="preserve"> </w:t>
      </w:r>
      <w:r>
        <w:rPr>
          <w:rFonts w:ascii="Arial"/>
          <w:color w:val="131313"/>
          <w:w w:val="105"/>
          <w:sz w:val="14"/>
        </w:rPr>
        <w:t>story</w:t>
      </w:r>
      <w:r>
        <w:rPr>
          <w:rFonts w:ascii="Arial"/>
          <w:color w:val="131313"/>
          <w:spacing w:val="-5"/>
          <w:w w:val="105"/>
          <w:sz w:val="14"/>
        </w:rPr>
        <w:t xml:space="preserve"> </w:t>
      </w:r>
      <w:r>
        <w:rPr>
          <w:rFonts w:ascii="Arial"/>
          <w:color w:val="131313"/>
          <w:w w:val="105"/>
          <w:sz w:val="14"/>
        </w:rPr>
        <w:t>places</w:t>
      </w:r>
      <w:r>
        <w:rPr>
          <w:rFonts w:ascii="Arial"/>
          <w:color w:val="131313"/>
          <w:spacing w:val="-8"/>
          <w:w w:val="105"/>
          <w:sz w:val="14"/>
        </w:rPr>
        <w:t xml:space="preserve"> </w:t>
      </w:r>
      <w:r>
        <w:rPr>
          <w:rFonts w:ascii="Arial"/>
          <w:color w:val="131313"/>
          <w:w w:val="105"/>
          <w:sz w:val="14"/>
        </w:rPr>
        <w:t>and</w:t>
      </w:r>
      <w:r>
        <w:rPr>
          <w:rFonts w:ascii="Arial"/>
          <w:color w:val="131313"/>
          <w:spacing w:val="-10"/>
          <w:w w:val="105"/>
          <w:sz w:val="14"/>
        </w:rPr>
        <w:t xml:space="preserve"> </w:t>
      </w:r>
      <w:r>
        <w:rPr>
          <w:rFonts w:ascii="Arial"/>
          <w:color w:val="030303"/>
          <w:w w:val="105"/>
          <w:sz w:val="14"/>
        </w:rPr>
        <w:t>marine</w:t>
      </w:r>
      <w:r>
        <w:rPr>
          <w:rFonts w:ascii="Arial"/>
          <w:color w:val="030303"/>
          <w:spacing w:val="-7"/>
          <w:w w:val="105"/>
          <w:sz w:val="14"/>
        </w:rPr>
        <w:t xml:space="preserve"> </w:t>
      </w:r>
      <w:r>
        <w:rPr>
          <w:rFonts w:ascii="Arial"/>
          <w:color w:val="030303"/>
          <w:w w:val="105"/>
          <w:sz w:val="14"/>
        </w:rPr>
        <w:t>totems</w:t>
      </w:r>
    </w:p>
    <w:p w:rsidR="00D1511D" w:rsidRDefault="00D1511D">
      <w:pPr>
        <w:spacing w:line="254" w:lineRule="auto"/>
        <w:rPr>
          <w:rFonts w:ascii="Arial"/>
          <w:sz w:val="14"/>
        </w:rPr>
        <w:sectPr w:rsidR="00D1511D">
          <w:type w:val="continuous"/>
          <w:pgSz w:w="11910" w:h="16840"/>
          <w:pgMar w:top="620" w:right="1300" w:bottom="280" w:left="1300" w:header="720" w:footer="720" w:gutter="0"/>
          <w:cols w:num="2" w:space="720" w:equalWidth="0">
            <w:col w:w="3384" w:space="40"/>
            <w:col w:w="5886"/>
          </w:cols>
        </w:sectPr>
      </w:pPr>
    </w:p>
    <w:p w:rsidR="00D1511D" w:rsidRDefault="003F0CB3">
      <w:pPr>
        <w:pStyle w:val="BodyText"/>
        <w:spacing w:line="20" w:lineRule="exact"/>
        <w:ind w:left="398"/>
        <w:rPr>
          <w:rFonts w:ascii="Arial"/>
          <w:sz w:val="2"/>
        </w:rPr>
      </w:pPr>
      <w:r>
        <w:rPr>
          <w:rFonts w:ascii="Arial"/>
          <w:sz w:val="2"/>
        </w:rPr>
      </w:r>
      <w:r>
        <w:rPr>
          <w:rFonts w:ascii="Arial"/>
          <w:sz w:val="2"/>
        </w:rPr>
        <w:pict>
          <v:group id="_x0000_s1112" alt="" style="width:438.7pt;height:.2pt;mso-position-horizontal-relative:char;mso-position-vertical-relative:line" coordsize="8774,4">
            <v:line id="_x0000_s1113" alt="" style="position:absolute" from="0,2" to="2676,2" strokeweight=".06244mm"/>
            <v:line id="_x0000_s1114" alt="" style="position:absolute" from="2676,2" to="8774,2" strokeweight=".06244mm"/>
            <w10:anchorlock/>
          </v:group>
        </w:pict>
      </w:r>
    </w:p>
    <w:p w:rsidR="00D1511D" w:rsidRDefault="00D1511D">
      <w:pPr>
        <w:pStyle w:val="BodyText"/>
        <w:rPr>
          <w:rFonts w:ascii="Arial"/>
        </w:rPr>
      </w:pPr>
    </w:p>
    <w:p w:rsidR="00D1511D" w:rsidRDefault="00D1511D">
      <w:pPr>
        <w:pStyle w:val="BodyText"/>
        <w:rPr>
          <w:rFonts w:ascii="Arial"/>
        </w:rPr>
      </w:pPr>
    </w:p>
    <w:p w:rsidR="00D1511D" w:rsidRDefault="00D1511D">
      <w:pPr>
        <w:pStyle w:val="BodyText"/>
        <w:rPr>
          <w:rFonts w:ascii="Arial"/>
        </w:rPr>
      </w:pPr>
    </w:p>
    <w:p w:rsidR="00D1511D" w:rsidRDefault="00D1511D">
      <w:pPr>
        <w:pStyle w:val="BodyText"/>
        <w:rPr>
          <w:rFonts w:ascii="Arial"/>
        </w:rPr>
      </w:pPr>
    </w:p>
    <w:p w:rsidR="00D1511D" w:rsidRDefault="00D1511D">
      <w:pPr>
        <w:pStyle w:val="BodyText"/>
        <w:rPr>
          <w:rFonts w:ascii="Arial"/>
        </w:rPr>
      </w:pPr>
    </w:p>
    <w:p w:rsidR="00D1511D" w:rsidRDefault="00D1511D">
      <w:pPr>
        <w:pStyle w:val="BodyText"/>
        <w:rPr>
          <w:rFonts w:ascii="Arial"/>
        </w:rPr>
      </w:pPr>
    </w:p>
    <w:p w:rsidR="00D1511D" w:rsidRDefault="00D1511D">
      <w:pPr>
        <w:pStyle w:val="BodyText"/>
        <w:rPr>
          <w:rFonts w:ascii="Arial"/>
          <w:sz w:val="21"/>
        </w:rPr>
      </w:pPr>
    </w:p>
    <w:p w:rsidR="00D1511D" w:rsidRDefault="003F0CB3">
      <w:pPr>
        <w:spacing w:before="101"/>
        <w:ind w:right="115"/>
        <w:jc w:val="right"/>
        <w:rPr>
          <w:rFonts w:ascii="Myriad Pro"/>
          <w:sz w:val="16"/>
        </w:rPr>
      </w:pPr>
      <w:r>
        <w:rPr>
          <w:rFonts w:ascii="Myriad Pro"/>
          <w:color w:val="231F20"/>
          <w:sz w:val="16"/>
        </w:rPr>
        <w:t>63</w:t>
      </w:r>
    </w:p>
    <w:p w:rsidR="00D1511D" w:rsidRDefault="00D1511D">
      <w:pPr>
        <w:jc w:val="right"/>
        <w:rPr>
          <w:rFonts w:ascii="Myriad Pro"/>
          <w:sz w:val="16"/>
        </w:rPr>
        <w:sectPr w:rsidR="00D1511D">
          <w:type w:val="continuous"/>
          <w:pgSz w:w="11910" w:h="16840"/>
          <w:pgMar w:top="620" w:right="1300" w:bottom="280" w:left="1300" w:header="720" w:footer="720" w:gutter="0"/>
          <w:cols w:space="720"/>
        </w:sectPr>
      </w:pPr>
    </w:p>
    <w:p w:rsidR="00D1511D" w:rsidRDefault="00D1511D">
      <w:pPr>
        <w:pStyle w:val="BodyText"/>
        <w:rPr>
          <w:rFonts w:ascii="Myriad Pro"/>
        </w:rPr>
      </w:pPr>
    </w:p>
    <w:p w:rsidR="00D1511D" w:rsidRDefault="00D1511D">
      <w:pPr>
        <w:pStyle w:val="BodyText"/>
        <w:rPr>
          <w:rFonts w:ascii="Myriad Pro"/>
        </w:rPr>
      </w:pPr>
    </w:p>
    <w:p w:rsidR="00D1511D" w:rsidRDefault="00D1511D">
      <w:pPr>
        <w:pStyle w:val="BodyText"/>
        <w:rPr>
          <w:rFonts w:ascii="Myriad Pro"/>
        </w:rPr>
      </w:pPr>
    </w:p>
    <w:p w:rsidR="00D1511D" w:rsidRDefault="003F0CB3">
      <w:pPr>
        <w:pStyle w:val="Heading1"/>
        <w:spacing w:before="283" w:line="237" w:lineRule="auto"/>
        <w:ind w:right="366" w:hanging="1"/>
        <w:jc w:val="both"/>
      </w:pPr>
      <w:r>
        <w:pict>
          <v:rect id="_x0000_s1111" alt="" style="position:absolute;left:0;text-align:left;margin-left:88.45pt;margin-top:151.85pt;width:19.2pt;height:19.2pt;z-index:251752448;mso-wrap-edited:f;mso-width-percent:0;mso-height-percent:0;mso-position-horizontal-relative:page;mso-width-percent:0;mso-height-percent:0" fillcolor="#7fcbaf" stroked="f">
            <w10:wrap anchorx="page"/>
          </v:rect>
        </w:pict>
      </w:r>
      <w:r>
        <w:pict>
          <v:group id="_x0000_s1108" alt="" style="position:absolute;left:0;text-align:left;margin-left:111.4pt;margin-top:160.3pt;width:32.1pt;height:6.2pt;z-index:251753472;mso-position-horizontal-relative:page" coordorigin="2228,3206" coordsize="642,124">
            <v:shape id="_x0000_s1109" type="#_x0000_t75" alt="" style="position:absolute;left:2227;top:3205;width:281;height:122">
              <v:imagedata r:id="rId152" o:title=""/>
            </v:shape>
            <v:shape id="_x0000_s1110" type="#_x0000_t75" alt="" style="position:absolute;left:2550;top:3205;width:319;height:124">
              <v:imagedata r:id="rId153" o:title=""/>
            </v:shape>
            <w10:wrap anchorx="page"/>
          </v:group>
        </w:pict>
      </w:r>
      <w:r>
        <w:pict>
          <v:rect id="_x0000_s1107" alt="" style="position:absolute;left:0;text-align:left;margin-left:176.3pt;margin-top:151.85pt;width:19.2pt;height:19.2pt;z-index:251754496;mso-wrap-edited:f;mso-width-percent:0;mso-height-percent:0;mso-position-horizontal-relative:page;mso-width-percent:0;mso-height-percent:0" fillcolor="#bcdb88" stroked="f">
            <w10:wrap anchorx="page"/>
          </v:rect>
        </w:pict>
      </w:r>
      <w:r>
        <w:rPr>
          <w:noProof/>
        </w:rPr>
        <w:drawing>
          <wp:anchor distT="0" distB="0" distL="0" distR="0" simplePos="0" relativeHeight="251755520" behindDoc="0" locked="0" layoutInCell="1" allowOverlap="1">
            <wp:simplePos x="0" y="0"/>
            <wp:positionH relativeFrom="page">
              <wp:posOffset>2534129</wp:posOffset>
            </wp:positionH>
            <wp:positionV relativeFrom="paragraph">
              <wp:posOffset>2034267</wp:posOffset>
            </wp:positionV>
            <wp:extent cx="215558" cy="64389"/>
            <wp:effectExtent l="0" t="0" r="0" b="0"/>
            <wp:wrapNone/>
            <wp:docPr id="2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8.png"/>
                    <pic:cNvPicPr/>
                  </pic:nvPicPr>
                  <pic:blipFill>
                    <a:blip r:embed="rId154" cstate="print"/>
                    <a:stretch>
                      <a:fillRect/>
                    </a:stretch>
                  </pic:blipFill>
                  <pic:spPr>
                    <a:xfrm>
                      <a:off x="0" y="0"/>
                      <a:ext cx="215558" cy="64389"/>
                    </a:xfrm>
                    <a:prstGeom prst="rect">
                      <a:avLst/>
                    </a:prstGeom>
                  </pic:spPr>
                </pic:pic>
              </a:graphicData>
            </a:graphic>
          </wp:anchor>
        </w:drawing>
      </w:r>
      <w:r>
        <w:pict>
          <v:rect id="_x0000_s1106" alt="" style="position:absolute;left:0;text-align:left;margin-left:264.15pt;margin-top:151.85pt;width:19.2pt;height:19.2pt;z-index:251756544;mso-wrap-edited:f;mso-width-percent:0;mso-height-percent:0;mso-position-horizontal-relative:page;mso-position-vertical-relative:text;mso-width-percent:0;mso-height-percent:0" fillcolor="#f7a18d" stroked="f">
            <w10:wrap anchorx="page"/>
          </v:rect>
        </w:pict>
      </w:r>
      <w:r>
        <w:pict>
          <v:shape id="_x0000_s1105" alt="" style="position:absolute;left:0;text-align:left;margin-left:287.6pt;margin-top:160.3pt;width:15pt;height:4.95pt;z-index:251757568;mso-wrap-edited:f;mso-width-percent:0;mso-height-percent:0;mso-position-horizontal-relative:page;mso-position-vertical-relative:text;mso-width-percent:0;mso-height-percent:0" coordsize="300,99" o:spt="100" adj="0,,0" path="m77,27l76,23,74,16,72,12,67,7,63,4,56,1r,34l56,37r-2,3l52,42r-3,2l47,45r-5,l40,45r-19,l21,16r19,l42,17r5,l49,18r3,2l54,22r2,3l56,27r,8l56,1r-1,l49,,,,,97r21,l21,62r28,l55,61r8,-3l67,55r5,-6l74,46r,-1l76,39r1,-4l77,27t82,29l158,51r-4,-9l153,39r-1,-1l149,35r-3,-3l142,29r-3,-1l139,59r,6l139,67r-1,6l137,75r-3,4l133,81r-5,2l125,84r-6,l116,83r-4,-2l110,79r-2,-4l107,73r-1,-6l105,65r,-6l106,56r1,-5l108,48r2,-4l112,42r4,-2l119,39r6,l128,40r5,2l134,44r3,4l138,51r1,5l139,59r,-31l133,26r-5,-1l117,25r-5,1l103,29r-4,3l93,38r-3,4l89,46r-2,5l86,56r,11l87,72r3,9l93,85r6,7l103,94r9,4l117,98r11,l133,98r9,-4l146,92r6,-7l153,84r1,-3l158,72r1,-5l159,56t82,l241,51r-4,-9l235,39r,-1l228,32r-3,-3l222,28r,31l222,65r,2l221,73r-1,2l217,79r-2,2l211,83r-3,1l202,84r-3,-1l195,81r-2,-2l190,75r,-2l188,67r,-2l188,59r,-3l190,51r,-3l193,44r2,-2l199,40r3,-1l208,39r3,1l215,42r2,2l220,48r1,3l221,53r1,3l222,59r,-31l216,26r-5,-1l200,25r-5,1l186,29r-4,3l176,38r-3,4l171,46r-1,5l169,56r,11l170,72r1,5l173,81r3,4l182,92r4,2l195,98r5,l211,98r5,l225,94r3,-2l235,85r,-1l237,81r4,-9l241,67r,-11m299,25r-1,l296,25r-4,l290,25r-4,2l283,28r-4,2l278,32r-3,3l273,37r,3l272,40r,-13l254,27r,70l273,97r,-35l273,59r2,-5l276,51r3,-4l281,46r5,-3l289,43r4,l295,43r3,l299,43r,-3l299,25e" fillcolor="black" stroked="f">
            <v:stroke joinstyle="round"/>
            <v:formulas/>
            <v:path arrowok="t" o:connecttype="custom" o:connectlocs="46990,2045970;35560,2036445;33020,2062480;25400,2064385;26670,2046605;34290,2049780;35560,2036445;0,2097405;34925,2074545;46990,2065020;48895,2052955;97155,2060575;90170,2054225;88265,2078355;84455,2087245;73660,2088515;67945,2082165;67310,2071370;71120,2062480;81280,2061210;87630,2068195;84455,2052320;65405,2054225;56515,2065020;55245,2081530;65405,2095500;84455,2098040;97155,2089150;100965,2071370;149225,2060575;140970,2053590;140335,2082165;133985,2088515;123825,2087245;119380,2078355;120650,2068195;126365,2061210;136525,2062480;140335,2069465;137160,2052320;118110,2054225;108585,2065020;107950,2081530;115570,2094230;133985,2098040;149225,2089785;153035,2078355;187960,2051685;179705,2053590;173355,2059305;161290,2052955;173355,2073275;178435,2065020;187325,2063115;189865,2061210" o:connectangles="0,0,0,0,0,0,0,0,0,0,0,0,0,0,0,0,0,0,0,0,0,0,0,0,0,0,0,0,0,0,0,0,0,0,0,0,0,0,0,0,0,0,0,0,0,0,0,0,0,0,0,0,0,0,0"/>
            <w10:wrap anchorx="page"/>
          </v:shape>
        </w:pict>
      </w:r>
      <w:r>
        <w:pict>
          <v:rect id="_x0000_s1104" alt="" style="position:absolute;left:0;text-align:left;margin-left:352pt;margin-top:151.85pt;width:19.2pt;height:19.2pt;z-index:251758592;mso-wrap-edited:f;mso-width-percent:0;mso-height-percent:0;mso-position-horizontal-relative:page;mso-position-vertical-relative:text;mso-width-percent:0;mso-height-percent:0" fillcolor="#f05256" stroked="f">
            <w10:wrap anchorx="page"/>
          </v:rect>
        </w:pict>
      </w:r>
      <w:r>
        <w:pict>
          <v:group id="_x0000_s1101" alt="" style="position:absolute;left:0;text-align:left;margin-left:374.9pt;margin-top:160.3pt;width:30.95pt;height:6.1pt;z-index:251759616;mso-position-horizontal-relative:page;mso-position-vertical-relative:text" coordorigin="7498,3206" coordsize="619,122">
            <v:shape id="_x0000_s1102" type="#_x0000_t75" alt="" style="position:absolute;left:7498;top:3205;width:281;height:122">
              <v:imagedata r:id="rId155" o:title=""/>
            </v:shape>
            <v:shape id="_x0000_s1103" alt="" style="position:absolute;left:7823;top:3230;width:294;height:97" coordorigin="7824,3231" coordsize="294,97" o:spt="100" adj="0,,0" path="m7895,3273r,-11l7894,3259r-2,-9l7890,3246r-1,-1l7887,3242r-3,-3l7881,3236r-5,-3l7876,3271r-1,2l7874,3279r-1,2l7871,3285r-2,2l7865,3289r-3,1l7856,3290r-3,-1l7849,3287r-2,-2l7844,3281r,-2l7842,3273r,-2l7842,3263r,-1l7843,3257r1,-3l7847,3250r2,-2l7853,3246r3,-1l7862,3245r2,1l7869,3248r1,2l7873,3254r1,3l7875,3262r,1l7876,3271r,-38l7873,3232r-5,-1l7859,3231r-4,1l7847,3235r-3,3l7842,3242r,l7842,3233r-18,l7824,3327r19,l7843,3294r,l7845,3297r3,3l7856,3304r4,l7869,3304r5,-1l7881,3299r4,-2l7887,3294r3,-4l7892,3286r2,-8l7895,3273t82,-11l7976,3257r-4,-9l7971,3245r-1,-1l7967,3241r-3,-3l7960,3235r-3,-1l7957,3265r,6l7957,3273r-1,6l7955,3281r-2,4l7951,3287r-5,2l7944,3290r-7,l7934,3289r-4,-2l7928,3285r-2,-4l7925,3279r-1,-6l7923,3271r,-6l7924,3262r1,-5l7926,3254r2,-4l7930,3248r4,-2l7937,3245r7,l7946,3246r5,2l7953,3250r2,4l7956,3257r1,5l7957,3265r,-31l7951,3232r-5,-1l7935,3231r-5,1l7921,3235r-4,3l7911,3244r-2,4l7905,3257r-1,5l7904,3273r1,5l7909,3287r2,4l7917,3298r4,2l7930,3304r5,l7946,3304r5,l7960,3300r4,-2l7970,3291r1,-1l7972,3287r4,-9l7977,3273r,-11m8060,3262r-1,-5l8055,3248r-1,-3l8053,3244r-6,-6l8043,3235r-3,-1l8040,3265r,6l8040,3273r-1,6l8038,3281r-3,4l8034,3287r-5,2l8027,3290r-7,l8017,3289r-4,-2l8011,3285r-2,-4l8008,3279r-1,-6l8006,3271r,-6l8007,3262r1,-5l8009,3254r2,-4l8013,3248r4,-2l8020,3245r7,l8029,3246r5,2l8035,3250r3,4l8039,3257r1,2l8040,3262r,3l8040,3234r-6,-2l8029,3231r-11,l8013,3232r-9,3l8000,3238r-6,6l7991,3248r-1,4l7988,3257r-1,5l7987,3273r1,5l7991,3287r3,4l8000,3298r4,2l8013,3304r5,l8029,3304r5,l8043,3300r4,-2l8053,3291r1,-1l8055,3287r4,-9l8060,3273r,-11m8117,3231r-1,l8114,3231r-3,l8108,3231r-4,2l8102,3234r-4,2l8096,3238r-3,3l8092,3243r-1,3l8090,3246r,-13l8072,3233r,70l8091,3303r,-35l8092,3265r1,-5l8094,3257r3,-4l8099,3252r5,-3l8107,3249r5,l8113,3249r3,l8117,3249r,l8117,3246r,-15e" fillcolor="black" stroked="f">
              <v:stroke joinstyle="round"/>
              <v:formulas/>
              <v:path arrowok="t" o:connecttype="segments"/>
            </v:shape>
            <w10:wrap anchorx="page"/>
          </v:group>
        </w:pict>
      </w:r>
      <w:r>
        <w:rPr>
          <w:noProof/>
        </w:rPr>
        <w:drawing>
          <wp:anchor distT="0" distB="0" distL="0" distR="0" simplePos="0" relativeHeight="251760640" behindDoc="0" locked="0" layoutInCell="1" allowOverlap="1">
            <wp:simplePos x="0" y="0"/>
            <wp:positionH relativeFrom="page">
              <wp:posOffset>1123235</wp:posOffset>
            </wp:positionH>
            <wp:positionV relativeFrom="paragraph">
              <wp:posOffset>2972005</wp:posOffset>
            </wp:positionV>
            <wp:extent cx="1105205" cy="595312"/>
            <wp:effectExtent l="0" t="0" r="0" b="0"/>
            <wp:wrapNone/>
            <wp:docPr id="25"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0.png"/>
                    <pic:cNvPicPr/>
                  </pic:nvPicPr>
                  <pic:blipFill>
                    <a:blip r:embed="rId156" cstate="print"/>
                    <a:stretch>
                      <a:fillRect/>
                    </a:stretch>
                  </pic:blipFill>
                  <pic:spPr>
                    <a:xfrm>
                      <a:off x="0" y="0"/>
                      <a:ext cx="1105205" cy="595312"/>
                    </a:xfrm>
                    <a:prstGeom prst="rect">
                      <a:avLst/>
                    </a:prstGeom>
                  </pic:spPr>
                </pic:pic>
              </a:graphicData>
            </a:graphic>
          </wp:anchor>
        </w:drawing>
      </w:r>
      <w:r>
        <w:rPr>
          <w:noProof/>
        </w:rPr>
        <w:drawing>
          <wp:anchor distT="0" distB="0" distL="0" distR="0" simplePos="0" relativeHeight="251761664" behindDoc="0" locked="0" layoutInCell="1" allowOverlap="1">
            <wp:simplePos x="0" y="0"/>
            <wp:positionH relativeFrom="page">
              <wp:posOffset>1123235</wp:posOffset>
            </wp:positionH>
            <wp:positionV relativeFrom="paragraph">
              <wp:posOffset>4197363</wp:posOffset>
            </wp:positionV>
            <wp:extent cx="1035240" cy="490537"/>
            <wp:effectExtent l="0" t="0" r="0" b="0"/>
            <wp:wrapNone/>
            <wp:docPr id="2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1.png"/>
                    <pic:cNvPicPr/>
                  </pic:nvPicPr>
                  <pic:blipFill>
                    <a:blip r:embed="rId157" cstate="print"/>
                    <a:stretch>
                      <a:fillRect/>
                    </a:stretch>
                  </pic:blipFill>
                  <pic:spPr>
                    <a:xfrm>
                      <a:off x="0" y="0"/>
                      <a:ext cx="1035240" cy="490537"/>
                    </a:xfrm>
                    <a:prstGeom prst="rect">
                      <a:avLst/>
                    </a:prstGeom>
                  </pic:spPr>
                </pic:pic>
              </a:graphicData>
            </a:graphic>
          </wp:anchor>
        </w:drawing>
      </w:r>
      <w:r>
        <w:pict>
          <v:group id="_x0000_s1097" alt="" style="position:absolute;left:0;text-align:left;margin-left:88.45pt;margin-top:406.65pt;width:91.5pt;height:71.5pt;z-index:251762688;mso-position-horizontal-relative:page;mso-position-vertical-relative:text" coordorigin="1769,8133" coordsize="1830,1430">
            <v:shape id="_x0000_s1098" type="#_x0000_t75" alt="" style="position:absolute;left:1768;top:8132;width:1601;height:102">
              <v:imagedata r:id="rId158" o:title=""/>
            </v:shape>
            <v:shape id="_x0000_s1099" type="#_x0000_t75" alt="" style="position:absolute;left:1769;top:8296;width:1806;height:1266">
              <v:imagedata r:id="rId159" o:title=""/>
            </v:shape>
            <v:rect id="_x0000_s1100" alt="" style="position:absolute;left:3586;top:9274;width:12;height:97" fillcolor="black" stroked="f"/>
            <w10:wrap anchorx="page"/>
          </v:group>
        </w:pict>
      </w:r>
      <w:bookmarkStart w:id="8" w:name="_TOC_250000"/>
      <w:r>
        <w:rPr>
          <w:color w:val="005695"/>
          <w:spacing w:val="-5"/>
        </w:rPr>
        <w:t xml:space="preserve">Appendix </w:t>
      </w:r>
      <w:r>
        <w:rPr>
          <w:color w:val="005695"/>
          <w:spacing w:val="-4"/>
        </w:rPr>
        <w:t xml:space="preserve">E: </w:t>
      </w:r>
      <w:r>
        <w:rPr>
          <w:color w:val="005695"/>
          <w:spacing w:val="-5"/>
        </w:rPr>
        <w:t xml:space="preserve">Integrity </w:t>
      </w:r>
      <w:r>
        <w:rPr>
          <w:color w:val="005695"/>
          <w:spacing w:val="-6"/>
        </w:rPr>
        <w:t xml:space="preserve">test </w:t>
      </w:r>
      <w:r>
        <w:rPr>
          <w:color w:val="005695"/>
        </w:rPr>
        <w:t xml:space="preserve">– </w:t>
      </w:r>
      <w:r>
        <w:rPr>
          <w:color w:val="005695"/>
          <w:spacing w:val="-6"/>
        </w:rPr>
        <w:t xml:space="preserve">Great </w:t>
      </w:r>
      <w:r>
        <w:rPr>
          <w:color w:val="005695"/>
          <w:spacing w:val="-5"/>
        </w:rPr>
        <w:t xml:space="preserve">Barrier </w:t>
      </w:r>
      <w:r>
        <w:rPr>
          <w:color w:val="005695"/>
          <w:spacing w:val="-3"/>
        </w:rPr>
        <w:t xml:space="preserve">Reef </w:t>
      </w:r>
      <w:r>
        <w:rPr>
          <w:color w:val="005695"/>
          <w:spacing w:val="-8"/>
        </w:rPr>
        <w:t xml:space="preserve">World </w:t>
      </w:r>
      <w:r>
        <w:rPr>
          <w:color w:val="005695"/>
          <w:spacing w:val="-5"/>
        </w:rPr>
        <w:t xml:space="preserve">Heritage </w:t>
      </w:r>
      <w:r>
        <w:rPr>
          <w:color w:val="005695"/>
          <w:spacing w:val="-6"/>
        </w:rPr>
        <w:t xml:space="preserve">Area </w:t>
      </w:r>
      <w:r>
        <w:rPr>
          <w:color w:val="005695"/>
          <w:spacing w:val="-8"/>
        </w:rPr>
        <w:t xml:space="preserve">(from </w:t>
      </w:r>
      <w:r>
        <w:rPr>
          <w:color w:val="005695"/>
          <w:spacing w:val="-5"/>
        </w:rPr>
        <w:t xml:space="preserve">the </w:t>
      </w:r>
      <w:r>
        <w:rPr>
          <w:color w:val="005695"/>
          <w:spacing w:val="-21"/>
        </w:rPr>
        <w:t xml:space="preserve">2019 </w:t>
      </w:r>
      <w:r>
        <w:rPr>
          <w:color w:val="005695"/>
          <w:spacing w:val="-5"/>
        </w:rPr>
        <w:t xml:space="preserve">Outlook </w:t>
      </w:r>
      <w:bookmarkEnd w:id="8"/>
      <w:r>
        <w:rPr>
          <w:color w:val="005695"/>
          <w:spacing w:val="-4"/>
        </w:rPr>
        <w:t>Report)</w:t>
      </w:r>
    </w:p>
    <w:p w:rsidR="00D1511D" w:rsidRDefault="00D1511D">
      <w:pPr>
        <w:pStyle w:val="BodyText"/>
        <w:rPr>
          <w:rFonts w:ascii="Myriad Pro"/>
        </w:rPr>
      </w:pPr>
    </w:p>
    <w:p w:rsidR="00D1511D" w:rsidRDefault="003F0CB3">
      <w:pPr>
        <w:pStyle w:val="BodyText"/>
        <w:spacing w:before="10"/>
        <w:rPr>
          <w:rFonts w:ascii="Myriad Pro"/>
          <w:sz w:val="25"/>
        </w:rPr>
      </w:pPr>
      <w:r>
        <w:pict>
          <v:group id="_x0000_s1081" alt="" style="position:absolute;margin-left:85.05pt;margin-top:17.45pt;width:439.4pt;height:35.25pt;z-index:-251566080;mso-wrap-distance-left:0;mso-wrap-distance-right:0;mso-position-horizontal-relative:page" coordorigin="1701,349" coordsize="8788,705">
            <v:shape id="_x0000_s1082" type="#_x0000_t75" alt="" style="position:absolute;left:1700;top:349;width:8788;height:235">
              <v:imagedata r:id="rId160" o:title=""/>
            </v:shape>
            <v:rect id="_x0000_s1083" alt="" style="position:absolute;left:8804;top:660;width:385;height:385" filled="f" strokeweight=".29917mm"/>
            <v:line id="_x0000_s1084" alt="" style="position:absolute" from="8822,667" to="8822,1054" strokeweight=".89711mm"/>
            <v:rect id="_x0000_s1085" alt="" style="position:absolute;left:9244;top:660;width:385;height:385" filled="f" strokeweight=".29917mm"/>
            <v:line id="_x0000_s1086" alt="" style="position:absolute" from="9612,667" to="9612,1054" strokeweight=".89711mm"/>
            <v:shape id="_x0000_s1087" alt="" style="position:absolute;left:9684;top:838;width:82;height:97" coordorigin="9684,838" coordsize="82,97" o:spt="100" adj="0,,0" path="m9734,838r-50,l9684,935r51,l9740,934r8,-2l9751,931r7,-5l9760,923r3,-5l9705,918r,-26l9761,892r-3,-5l9753,884r-6,-2l9752,880r3,-2l9755,877r-50,l9705,855r55,l9760,854r-3,-6l9755,845r-6,-3l9746,840r-8,-1l9734,838xm9761,892r-28,l9737,893r5,4l9744,901r,7l9743,910r-1,4l9741,915r-3,2l9736,917r-4,1l9730,918r33,l9764,916r1,-4l9765,901r-1,-5l9761,892xm9760,855r-33,l9729,855r4,l9734,856r3,2l9738,859r2,3l9740,864r,6l9739,873r-5,3l9731,877r24,l9759,871r2,-4l9761,858r-1,-3xe" fillcolor="black" stroked="f">
              <v:stroke joinstyle="round"/>
              <v:formulas/>
              <v:path arrowok="t" o:connecttype="segments"/>
            </v:shape>
            <v:shape id="_x0000_s1088" alt="" style="position:absolute;left:9775;top:862;width:73;height:74" coordorigin="9775,863" coordsize="73,74" o:spt="100" adj="0,,0" path="m9817,863r-11,l9801,864r-9,3l9788,870r-6,6l9780,880r-4,9l9775,894r,12l9776,911r4,9l9782,924r6,6l9792,932r9,4l9806,937r11,l9822,936r9,-4l9835,930r6,-6l9842,922r-34,l9806,922r-5,-3l9799,917r-2,-4l9796,911r-1,-6l9795,903r,-6l9795,894r1,-5l9797,887r2,-5l9801,881r5,-3l9808,877r34,l9841,876r-3,-3l9835,870r-4,-3l9822,864r-5,-1xm9842,877r-27,l9818,878r4,3l9824,882r2,5l9827,889r1,3l9828,894r1,3l9829,903r-1,3l9827,911r-1,2l9824,917r-2,2l9818,922r-3,l9842,922r2,-2l9847,911r1,-5l9848,894r-1,-5l9844,880r-2,-3xe" fillcolor="black" stroked="f">
              <v:stroke joinstyle="round"/>
              <v:formulas/>
              <v:path arrowok="t" o:connecttype="segments"/>
            </v:shape>
            <v:shape id="_x0000_s1089" alt="" style="position:absolute;left:9860;top:862;width:46;height:72" coordorigin="9860,863" coordsize="46,72" o:spt="100" adj="0,,0" path="m9879,865r-19,l9860,935r20,l9880,900r,-3l9881,892r1,-3l9885,885r2,-1l9892,881r3,l9906,881r,-3l9879,878r,-13xm9906,881r-6,l9901,881r4,l9906,882r,-1xm9903,863r-4,l9896,863r-4,2l9890,866r-4,2l9884,870r-3,4l9880,876r-1,2l9906,878r,-14l9904,863r-1,xe" fillcolor="black" stroked="f">
              <v:stroke joinstyle="round"/>
              <v:formulas/>
              <v:path arrowok="t" o:connecttype="segments"/>
            </v:shape>
            <v:shape id="_x0000_s1090" alt="" style="position:absolute;left:9907;top:838;width:72;height:99" coordorigin="9908,838" coordsize="72,99" o:spt="100" adj="0,,0" path="m9943,863r-9,l9929,864r-8,4l9918,871r-5,6l9911,881r-2,9l9908,894r,11l9909,909r2,9l9913,922r5,7l9921,932r8,4l9934,937r10,l9948,936r7,-3l9958,930r3,-4l9979,926r,-4l9941,922r-2,l9934,919r-2,-2l9930,913r-1,-2l9927,905r,-1l9927,897r,-3l9929,889r1,-3l9932,882r2,-1l9938,878r3,-1l9979,877r,-4l9960,873r-3,-3l9955,867r-8,-3l9943,863xm9979,926r-18,l9961,935r18,l9979,926xm9979,877r-32,l9950,878r4,3l9956,882r2,4l9959,889r1,5l9960,904r,1l9959,911r-1,2l9956,917r-2,2l9950,922r-3,l9979,922r,-45xm9979,838r-19,l9960,873r19,l9979,838xe" fillcolor="black" stroked="f">
              <v:stroke joinstyle="round"/>
              <v:formulas/>
              <v:path arrowok="t" o:connecttype="segments"/>
            </v:shape>
            <v:shape id="_x0000_s1091" alt="" style="position:absolute;left:9990;top:862;width:71;height:74" coordorigin="9990,863" coordsize="71,74" o:spt="100" adj="0,,0" path="m10032,863r-11,l10016,864r-9,4l10003,870r-6,7l9995,881r-4,9l9990,894r,11l9991,910r4,9l9997,923r3,4l10003,930r4,2l10016,936r5,1l10034,937r7,-2l10052,928r4,-6l10021,922r-4,-1l10011,915r-1,-4l10010,905r50,l10060,899r,-5l10060,892r-50,l10010,891r,-2l10011,886r1,-2l10014,881r2,-1l10020,878r2,-1l10054,877r-4,-5l10046,869r-9,-5l10032,863xm10059,913r-17,l10041,915r-1,2l10034,921r-3,1l10056,922r,l10059,913xm10054,877r-24,l10034,879r4,5l10040,887r1,5l10060,892r-2,-8l10055,880r-1,-3xe" fillcolor="black" stroked="f">
              <v:stroke joinstyle="round"/>
              <v:formulas/>
              <v:path arrowok="t" o:connecttype="segments"/>
            </v:shape>
            <v:shape id="_x0000_s1092" alt="" style="position:absolute;left:10071;top:862;width:46;height:72" coordorigin="10072,863" coordsize="46,72" o:spt="100" adj="0,,0" path="m10090,865r-18,l10072,935r19,l10091,900r,-3l10092,892r1,-3l10096,885r2,-1l10103,881r3,l10117,881r,-3l10090,878r,-13xm10117,881r-6,l10112,881r4,l10117,882r,-1xm10114,863r-4,l10108,863r-5,2l10101,866r-4,2l10095,870r-3,4l10091,876r-1,2l10117,878r,-14l10115,863r-1,xe" fillcolor="black" stroked="f">
              <v:stroke joinstyle="round"/>
              <v:formulas/>
              <v:path arrowok="t" o:connecttype="segments"/>
            </v:shape>
            <v:rect id="_x0000_s1093" alt="" style="position:absolute;left:10124;top:838;width:20;height:97" fillcolor="black" stroked="f"/>
            <v:shape id="_x0000_s1094" alt="" style="position:absolute;left:10159;top:838;width:20;height:97" coordorigin="10160,838" coordsize="20,97" o:spt="100" adj="0,,0" path="m10179,865r-19,l10160,935r19,l10179,865xm10179,838r-19,l10160,854r19,l10179,838xe" fillcolor="black" stroked="f">
              <v:stroke joinstyle="round"/>
              <v:formulas/>
              <v:path arrowok="t" o:connecttype="segments"/>
            </v:shape>
            <v:shape id="_x0000_s1095" alt="" style="position:absolute;left:10194;top:862;width:66;height:72" coordorigin="10194,863" coordsize="66,72" o:spt="100" adj="0,,0" path="m10213,865r-19,l10194,935r20,l10214,891r1,-5l10219,880r4,-2l10258,878r,-2l10257,875r-44,l10213,865xm10258,878r-25,l10236,880r4,5l10241,890r,45l10260,935r,-49l10260,884r-2,-6xm10240,863r-10,l10226,864r-7,4l10215,871r-2,4l10257,875r,-2l10253,868r-3,-2l10244,864r-4,-1xe" fillcolor="black" stroked="f">
              <v:stroke joinstyle="round"/>
              <v:formulas/>
              <v:path arrowok="t" o:connecttype="segments"/>
            </v:shape>
            <v:shape id="_x0000_s1096" alt="" style="position:absolute;left:10271;top:862;width:71;height:74" coordorigin="10271,863" coordsize="71,74" o:spt="100" adj="0,,0" path="m10313,863r-11,l10297,864r-9,4l10284,870r-6,7l10276,881r-4,9l10271,894r,11l10272,910r4,9l10278,923r6,7l10288,932r9,4l10302,937r13,l10322,935r11,-7l10337,922r-35,l10298,921r-6,-6l10291,911r,-6l10341,905r,-6l10341,894r,-2l10291,892r,-1l10291,889r1,-3l10293,884r2,-3l10297,880r4,-2l10303,877r32,l10331,872r-4,-3l10318,864r-5,-1xm10340,913r-17,l10322,915r-1,2l10315,921r-3,1l10337,922r,l10340,913xm10335,877r-24,l10315,879r4,5l10321,887r1,5l10341,892r-2,-8l10336,880r-1,-3xe" fillcolor="black" stroked="f">
              <v:stroke joinstyle="round"/>
              <v:formulas/>
              <v:path arrowok="t" o:connecttype="segments"/>
            </v:shape>
            <w10:wrap type="topAndBottom" anchorx="page"/>
          </v:group>
        </w:pict>
      </w:r>
      <w:r>
        <w:pict>
          <v:group id="_x0000_s1027" alt="This table shows the Integrity Test scores for the Great Barrier Reef World heritage Area" style="position:absolute;margin-left:85.05pt;margin-top:64.25pt;width:439.15pt;height:405.8pt;z-index:-251565056;mso-wrap-distance-left:0;mso-wrap-distance-right:0;mso-position-horizontal-relative:page" coordorigin="1701,1285" coordsize="8783,8116">
            <v:rect id="_x0000_s1028" alt="This table shows the Integrity Test scores for the Great Barrier Reef World heritage Area" style="position:absolute;left:1700;top:1285;width:1983;height:396" fillcolor="#395b8c" stroked="f"/>
            <v:rect id="_x0000_s1029" alt="This table shows the Integrity Test scores for the Great Barrier Reef World heritage Area" style="position:absolute;left:3683;top:1285;width:5683;height:396" fillcolor="#395b8c" stroked="f"/>
            <v:rect id="_x0000_s1030" alt="This table shows the Integrity Test scores for the Great Barrier Reef World heritage Area" style="position:absolute;left:9365;top:1285;width:1118;height:396" fillcolor="#395b8c" stroked="f"/>
            <v:rect id="_x0000_s1031" alt="This table shows the Integrity Test scores for the Great Barrier Reef World heritage Area" style="position:absolute;left:1700;top:1680;width:8783;height:233" fillcolor="#cfd4d5" stroked="f"/>
            <v:line id="_x0000_s1032" alt="This table shows the Integrity Test scores for the Great Barrier Reef World heritage Area" style="position:absolute" from="1701,1681" to="3683,1681" strokeweight=".17pt"/>
            <v:line id="_x0000_s1033" alt="This table shows the Integrity Test scores for the Great Barrier Reef World heritage Area" style="position:absolute" from="3683,1681" to="9366,1681" strokeweight=".17pt"/>
            <v:line id="_x0000_s1034" alt="This table shows the Integrity Test scores for the Great Barrier Reef World heritage Area" style="position:absolute" from="9366,1681" to="10483,1681" strokeweight=".17pt"/>
            <v:line id="_x0000_s1035" alt="This table shows the Integrity Test scores for the Great Barrier Reef World heritage Area" style="position:absolute" from="1701,1913" to="3683,1913" strokeweight=".17pt"/>
            <v:line id="_x0000_s1036" alt="This table shows the Integrity Test scores for the Great Barrier Reef World heritage Area" style="position:absolute" from="3683,1913" to="9366,1913" strokeweight=".17pt"/>
            <v:line id="_x0000_s1037" alt="This table shows the Integrity Test scores for the Great Barrier Reef World heritage Area" style="position:absolute" from="9366,1913" to="10483,1913" strokeweight=".17pt"/>
            <v:shape id="_x0000_s1038" type="#_x0000_t75" alt="This table shows the Integrity Test scores for the Great Barrier Reef World heritage Area" style="position:absolute;left:1769;top:1353;width:1775;height:286">
              <v:imagedata r:id="rId161" o:title=""/>
            </v:shape>
            <v:shape id="_x0000_s1039" type="#_x0000_t75" alt="This table shows the Integrity Test scores for the Great Barrier Reef World heritage Area" style="position:absolute;left:3750;top:1353;width:817;height:99">
              <v:imagedata r:id="rId162" o:title=""/>
            </v:shape>
            <v:shape id="_x0000_s1040" type="#_x0000_t75" alt="This table shows the Integrity Test scores for the Great Barrier Reef World heritage Area" style="position:absolute;left:9443;top:1353;width:962;height:124">
              <v:imagedata r:id="rId163" o:title=""/>
            </v:shape>
            <v:shape id="_x0000_s1041" type="#_x0000_t75" alt="This table shows the Integrity Test scores for the Great Barrier Reef World heritage Area" style="position:absolute;left:1775;top:1746;width:2763;height:124">
              <v:imagedata r:id="rId164" o:title=""/>
            </v:shape>
            <v:rect id="_x0000_s1042" alt="This table shows the Integrity Test scores for the Great Barrier Reef World heritage Area" style="position:absolute;left:1700;top:3610;width:8783;height:233" fillcolor="#cfd4d5" stroked="f"/>
            <v:line id="_x0000_s1043" alt="This table shows the Integrity Test scores for the Great Barrier Reef World heritage Area" style="position:absolute" from="1701,3610" to="3683,3610" strokeweight=".17pt"/>
            <v:line id="_x0000_s1044" alt="This table shows the Integrity Test scores for the Great Barrier Reef World heritage Area" style="position:absolute" from="3683,3610" to="9366,3610" strokeweight=".17pt"/>
            <v:line id="_x0000_s1045" alt="This table shows the Integrity Test scores for the Great Barrier Reef World heritage Area" style="position:absolute" from="9366,3610" to="10483,3610" strokeweight=".17pt"/>
            <v:line id="_x0000_s1046" alt="This table shows the Integrity Test scores for the Great Barrier Reef World heritage Area" style="position:absolute" from="1701,3843" to="3683,3843" strokeweight=".17pt"/>
            <v:line id="_x0000_s1047" alt="This table shows the Integrity Test scores for the Great Barrier Reef World heritage Area" style="position:absolute" from="3683,3843" to="9366,3843" strokeweight=".17pt"/>
            <v:line id="_x0000_s1048" alt="This table shows the Integrity Test scores for the Great Barrier Reef World heritage Area" style="position:absolute" from="9366,3843" to="10483,3843" strokeweight=".17pt"/>
            <v:shape id="_x0000_s1049" type="#_x0000_t75" alt="This table shows the Integrity Test scores for the Great Barrier Reef World heritage Area" style="position:absolute;left:3751;top:1979;width:5508;height:1591">
              <v:imagedata r:id="rId165" o:title=""/>
            </v:shape>
            <v:rect id="_x0000_s1050" alt="This table shows the Integrity Test scores for the Great Barrier Reef World heritage Area" style="position:absolute;left:9732;top:2568;width:385;height:385" fillcolor="#bcdb88" stroked="f"/>
            <v:line id="_x0000_s1051" alt="This table shows the Integrity Test scores for the Great Barrier Reef World heritage Area" style="position:absolute" from="10091,2568" to="10091,2955" strokecolor="#f7a18d" strokeweight=".89711mm"/>
            <v:shape id="_x0000_s1052" type="#_x0000_t75" alt="This table shows the Integrity Test scores for the Great Barrier Reef World heritage Area" style="position:absolute;left:1775;top:3675;width:3337;height:126">
              <v:imagedata r:id="rId166" o:title=""/>
            </v:shape>
            <v:rect id="_x0000_s1053" alt="This table shows the Integrity Test scores for the Great Barrier Reef World heritage Area" style="position:absolute;left:1700;top:5377;width:8783;height:233" fillcolor="#cfd4d5" stroked="f"/>
            <v:line id="_x0000_s1054" alt="This table shows the Integrity Test scores for the Great Barrier Reef World heritage Area" style="position:absolute" from="1701,5377" to="3683,5377" strokeweight=".17pt"/>
            <v:line id="_x0000_s1055" alt="This table shows the Integrity Test scores for the Great Barrier Reef World heritage Area" style="position:absolute" from="3683,5377" to="9366,5377" strokeweight=".17pt"/>
            <v:line id="_x0000_s1056" alt="This table shows the Integrity Test scores for the Great Barrier Reef World heritage Area" style="position:absolute" from="9366,5377" to="10483,5377" strokeweight=".17pt"/>
            <v:line id="_x0000_s1057" alt="This table shows the Integrity Test scores for the Great Barrier Reef World heritage Area" style="position:absolute" from="1701,5610" to="3683,5610" strokeweight=".17pt"/>
            <v:line id="_x0000_s1058" alt="This table shows the Integrity Test scores for the Great Barrier Reef World heritage Area" style="position:absolute" from="3683,5610" to="9366,5610" strokeweight=".17pt"/>
            <v:line id="_x0000_s1059" alt="This table shows the Integrity Test scores for the Great Barrier Reef World heritage Area" style="position:absolute" from="9366,5610" to="10483,5610" strokeweight=".17pt"/>
            <v:shape id="_x0000_s1060" type="#_x0000_t75" alt="This table shows the Integrity Test scores for the Great Barrier Reef World heritage Area" style="position:absolute;left:3750;top:3909;width:5267;height:1429">
              <v:imagedata r:id="rId167" o:title=""/>
            </v:shape>
            <v:rect id="_x0000_s1061" alt="This table shows the Integrity Test scores for the Great Barrier Reef World heritage Area" style="position:absolute;left:9732;top:4417;width:385;height:385" fillcolor="#bcdb88" stroked="f"/>
            <v:shape id="_x0000_s1062" type="#_x0000_t75" alt="This table shows the Integrity Test scores for the Great Barrier Reef World heritage Area" style="position:absolute;left:1775;top:5442;width:2540;height:126">
              <v:imagedata r:id="rId168" o:title=""/>
            </v:shape>
            <v:rect id="_x0000_s1063" alt="This table shows the Integrity Test scores for the Great Barrier Reef World heritage Area" style="position:absolute;left:1700;top:7306;width:8783;height:233" fillcolor="#cfd4d5" stroked="f"/>
            <v:line id="_x0000_s1064" alt="This table shows the Integrity Test scores for the Great Barrier Reef World heritage Area" style="position:absolute" from="1701,7307" to="3683,7307" strokeweight=".17pt"/>
            <v:line id="_x0000_s1065" alt="This table shows the Integrity Test scores for the Great Barrier Reef World heritage Area" style="position:absolute" from="3683,7307" to="9366,7307" strokeweight=".17pt"/>
            <v:line id="_x0000_s1066" alt="This table shows the Integrity Test scores for the Great Barrier Reef World heritage Area" style="position:absolute" from="9366,7307" to="10483,7307" strokeweight=".17pt"/>
            <v:line id="_x0000_s1067" alt="This table shows the Integrity Test scores for the Great Barrier Reef World heritage Area" style="position:absolute" from="1701,7539" to="3683,7539" strokeweight=".17pt"/>
            <v:line id="_x0000_s1068" alt="This table shows the Integrity Test scores for the Great Barrier Reef World heritage Area" style="position:absolute" from="3683,7539" to="9366,7539" strokeweight=".17pt"/>
            <v:line id="_x0000_s1069" alt="This table shows the Integrity Test scores for the Great Barrier Reef World heritage Area" style="position:absolute" from="9366,7539" to="10483,7539" strokeweight=".17pt"/>
            <v:shape id="_x0000_s1070" type="#_x0000_t75" alt="This table shows the Integrity Test scores for the Great Barrier Reef World heritage Area" style="position:absolute;left:3751;top:5676;width:5432;height:1590">
              <v:imagedata r:id="rId169" o:title=""/>
            </v:shape>
            <v:rect id="_x0000_s1071" alt="This table shows the Integrity Test scores for the Great Barrier Reef World heritage Area" style="position:absolute;left:9732;top:6264;width:385;height:385" fillcolor="#bcdb88" stroked="f"/>
            <v:line id="_x0000_s1072" alt="This table shows the Integrity Test scores for the Great Barrier Reef World heritage Area" style="position:absolute" from="10091,6265" to="10091,6652" strokecolor="#f7a18d" strokeweight=".89711mm"/>
            <v:shape id="_x0000_s1073" type="#_x0000_t75" alt="This table shows the Integrity Test scores for the Great Barrier Reef World heritage Area" style="position:absolute;left:1775;top:7372;width:2772;height:124">
              <v:imagedata r:id="rId170" o:title=""/>
            </v:shape>
            <v:line id="_x0000_s1074" alt="This table shows the Integrity Test scores for the Great Barrier Reef World heritage Area" style="position:absolute" from="1701,9399" to="3683,9399" strokeweight=".17pt"/>
            <v:line id="_x0000_s1075" alt="This table shows the Integrity Test scores for the Great Barrier Reef World heritage Area" style="position:absolute" from="3683,9399" to="9366,9399" strokeweight=".17pt"/>
            <v:line id="_x0000_s1076" alt="This table shows the Integrity Test scores for the Great Barrier Reef World heritage Area" style="position:absolute" from="9366,9399" to="10483,9399" strokeweight=".17pt"/>
            <v:shape id="_x0000_s1077" type="#_x0000_t75" alt="This table shows the Integrity Test scores for the Great Barrier Reef World heritage Area" style="position:absolute;left:1768;top:7604;width:1757;height:1729">
              <v:imagedata r:id="rId171" o:title=""/>
            </v:shape>
            <v:shape id="_x0000_s1078" type="#_x0000_t75" alt="This table shows the Integrity Test scores for the Great Barrier Reef World heritage Area" style="position:absolute;left:3750;top:7850;width:5346;height:1264">
              <v:imagedata r:id="rId172" o:title=""/>
            </v:shape>
            <v:rect id="_x0000_s1079" alt="This table shows the Integrity Test scores for the Great Barrier Reef World heritage Area" style="position:absolute;left:9115;top:8421;width:16;height:16" fillcolor="black" stroked="f"/>
            <v:rect id="_x0000_s1080" alt="This table shows the Integrity Test scores for the Great Barrier Reef World heritage Area" style="position:absolute;left:9732;top:8277;width:385;height:385" fillcolor="#f7a18d" stroked="f"/>
            <w10:wrap type="topAndBottom" anchorx="page"/>
          </v:group>
        </w:pict>
      </w:r>
    </w:p>
    <w:p w:rsidR="00D1511D" w:rsidRDefault="00D1511D">
      <w:pPr>
        <w:pStyle w:val="BodyText"/>
        <w:spacing w:before="5"/>
        <w:rPr>
          <w:rFonts w:ascii="Myriad Pro"/>
          <w:sz w:val="11"/>
        </w:rPr>
      </w:pPr>
    </w:p>
    <w:p w:rsidR="00D1511D" w:rsidRDefault="00D1511D">
      <w:pPr>
        <w:pStyle w:val="BodyText"/>
        <w:rPr>
          <w:rFonts w:ascii="Myriad Pro"/>
          <w:sz w:val="62"/>
        </w:rPr>
      </w:pPr>
    </w:p>
    <w:p w:rsidR="00D1511D" w:rsidRDefault="00D1511D">
      <w:pPr>
        <w:pStyle w:val="BodyText"/>
        <w:rPr>
          <w:rFonts w:ascii="Myriad Pro"/>
          <w:sz w:val="62"/>
        </w:rPr>
      </w:pPr>
    </w:p>
    <w:p w:rsidR="00D1511D" w:rsidRDefault="00D1511D">
      <w:pPr>
        <w:pStyle w:val="BodyText"/>
        <w:rPr>
          <w:rFonts w:ascii="Myriad Pro"/>
          <w:sz w:val="62"/>
        </w:rPr>
      </w:pPr>
    </w:p>
    <w:p w:rsidR="00D1511D" w:rsidRDefault="00D1511D">
      <w:pPr>
        <w:pStyle w:val="BodyText"/>
        <w:spacing w:before="2"/>
        <w:rPr>
          <w:rFonts w:ascii="Myriad Pro"/>
          <w:sz w:val="55"/>
        </w:rPr>
      </w:pPr>
    </w:p>
    <w:p w:rsidR="00D1511D" w:rsidRDefault="003F0CB3" w:rsidP="00076DF0">
      <w:pPr>
        <w:ind w:left="117"/>
        <w:rPr>
          <w:rFonts w:ascii="Myriad Pro"/>
          <w:sz w:val="16"/>
        </w:rPr>
        <w:sectPr w:rsidR="00D1511D">
          <w:headerReference w:type="default" r:id="rId173"/>
          <w:pgSz w:w="11910" w:h="16840"/>
          <w:pgMar w:top="880" w:right="1300" w:bottom="0" w:left="1300" w:header="260" w:footer="0" w:gutter="0"/>
          <w:cols w:space="720"/>
        </w:sectPr>
      </w:pPr>
      <w:r>
        <w:rPr>
          <w:rFonts w:ascii="Myriad Pro"/>
          <w:color w:val="231F20"/>
          <w:sz w:val="16"/>
        </w:rPr>
        <w:t xml:space="preserve">64 / </w:t>
      </w:r>
      <w:r>
        <w:rPr>
          <w:rFonts w:ascii="Myriad Pro"/>
          <w:color w:val="005695"/>
          <w:sz w:val="16"/>
        </w:rPr>
        <w:t xml:space="preserve">State Party Report on the state of conservation of the </w:t>
      </w:r>
      <w:r>
        <w:rPr>
          <w:rFonts w:ascii="Myriad Pro"/>
          <w:b/>
          <w:color w:val="005695"/>
          <w:sz w:val="16"/>
        </w:rPr>
        <w:t>Great Barrier Reef World Heritage Area (Australia)</w:t>
      </w:r>
      <w:r>
        <w:rPr>
          <w:rFonts w:ascii="Myriad Pro"/>
          <w:b/>
          <w:color w:val="005695"/>
          <w:sz w:val="16"/>
        </w:rPr>
        <w:t xml:space="preserve"> </w:t>
      </w:r>
      <w:r>
        <w:rPr>
          <w:rFonts w:ascii="Myriad Pro"/>
          <w:color w:val="005695"/>
          <w:sz w:val="16"/>
        </w:rPr>
        <w:t>2</w:t>
      </w:r>
      <w:r>
        <w:rPr>
          <w:rFonts w:ascii="Myriad Pro"/>
          <w:color w:val="005695"/>
          <w:sz w:val="16"/>
        </w:rPr>
        <w:t>0</w:t>
      </w:r>
      <w:r>
        <w:rPr>
          <w:rFonts w:ascii="Myriad Pro"/>
          <w:color w:val="005695"/>
          <w:sz w:val="16"/>
        </w:rPr>
        <w:t>1</w:t>
      </w:r>
      <w:r>
        <w:rPr>
          <w:rFonts w:ascii="Myriad Pro"/>
          <w:color w:val="005695"/>
          <w:sz w:val="16"/>
        </w:rPr>
        <w:t>9</w:t>
      </w:r>
    </w:p>
    <w:p w:rsidR="00D1511D" w:rsidRDefault="00076DF0" w:rsidP="00076DF0">
      <w:pPr>
        <w:spacing w:before="100"/>
        <w:ind w:right="115"/>
        <w:rPr>
          <w:rFonts w:ascii="Myriad Pro"/>
          <w:sz w:val="16"/>
        </w:rPr>
      </w:pPr>
      <w:r>
        <w:rPr>
          <w:noProof/>
        </w:rPr>
        <w:lastRenderedPageBreak/>
        <w:drawing>
          <wp:anchor distT="0" distB="0" distL="0" distR="0" simplePos="0" relativeHeight="251764736" behindDoc="0" locked="0" layoutInCell="1" allowOverlap="1">
            <wp:simplePos x="0" y="0"/>
            <wp:positionH relativeFrom="page">
              <wp:posOffset>1859915</wp:posOffset>
            </wp:positionH>
            <wp:positionV relativeFrom="page">
              <wp:posOffset>2768600</wp:posOffset>
            </wp:positionV>
            <wp:extent cx="3851910" cy="7559675"/>
            <wp:effectExtent l="1854200" t="0" r="1837690" b="0"/>
            <wp:wrapNone/>
            <wp:docPr id="2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7.png"/>
                    <pic:cNvPicPr/>
                  </pic:nvPicPr>
                  <pic:blipFill>
                    <a:blip r:embed="rId174" cstate="print"/>
                    <a:stretch>
                      <a:fillRect/>
                    </a:stretch>
                  </pic:blipFill>
                  <pic:spPr>
                    <a:xfrm rot="16200000">
                      <a:off x="0" y="0"/>
                      <a:ext cx="3851910" cy="7559675"/>
                    </a:xfrm>
                    <a:prstGeom prst="rect">
                      <a:avLst/>
                    </a:prstGeom>
                  </pic:spPr>
                </pic:pic>
              </a:graphicData>
            </a:graphic>
          </wp:anchor>
        </w:drawing>
      </w:r>
    </w:p>
    <w:p w:rsidR="00D1511D" w:rsidRDefault="00D1511D" w:rsidP="00076DF0">
      <w:pPr>
        <w:jc w:val="center"/>
        <w:rPr>
          <w:rFonts w:ascii="Myriad Pro"/>
          <w:sz w:val="16"/>
        </w:rPr>
        <w:sectPr w:rsidR="00D1511D">
          <w:pgSz w:w="11910" w:h="16840"/>
          <w:pgMar w:top="880" w:right="1300" w:bottom="0" w:left="1300" w:header="260" w:footer="0" w:gutter="0"/>
          <w:cols w:space="720"/>
        </w:sectPr>
      </w:pPr>
    </w:p>
    <w:p w:rsidR="00D1511D" w:rsidRPr="00076DF0" w:rsidRDefault="003F0CB3" w:rsidP="00076DF0">
      <w:pPr>
        <w:pStyle w:val="BodyText"/>
        <w:rPr>
          <w:rFonts w:ascii="Myriad Pro"/>
        </w:rPr>
      </w:pPr>
      <w:r>
        <w:lastRenderedPageBreak/>
        <w:pict>
          <v:line id="_x0000_s1026" alt="" style="position:absolute;z-index:251763712;mso-wrap-edited:f;mso-width-percent:0;mso-height-percent:0;mso-position-horizontal-relative:page;mso-position-vertical-relative:page;mso-width-percent:0;mso-height-percent:0" from="192.5pt,6.4pt" to="192.5pt,595.3pt" strokecolor="#005695" strokeweight="2pt">
            <w10:wrap anchorx="page" anchory="page"/>
          </v:line>
        </w:pict>
      </w:r>
    </w:p>
    <w:sectPr w:rsidR="00D1511D" w:rsidRPr="00076DF0">
      <w:headerReference w:type="default" r:id="rId175"/>
      <w:pgSz w:w="16840" w:h="11910" w:orient="landscape"/>
      <w:pgMar w:top="0" w:right="2420" w:bottom="0" w:left="3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0CB3" w:rsidRDefault="003F0CB3">
      <w:r>
        <w:separator/>
      </w:r>
    </w:p>
  </w:endnote>
  <w:endnote w:type="continuationSeparator" w:id="0">
    <w:p w:rsidR="003F0CB3" w:rsidRDefault="003F0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dobe Garamond Pro">
    <w:panose1 w:val="02020502060506020403"/>
    <w:charset w:val="4D"/>
    <w:family w:val="roman"/>
    <w:notTrueType/>
    <w:pitch w:val="variable"/>
    <w:sig w:usb0="00000007"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yriadPro-Semibold">
    <w:altName w:val="Cambria"/>
    <w:panose1 w:val="020B0603030403020204"/>
    <w:charset w:val="00"/>
    <w:family w:val="roman"/>
    <w:notTrueType/>
    <w:pitch w:val="variable"/>
  </w:font>
  <w:font w:name="Calibri">
    <w:panose1 w:val="020F0502020204030204"/>
    <w:charset w:val="00"/>
    <w:family w:val="swiss"/>
    <w:pitch w:val="variable"/>
    <w:sig w:usb0="E4002EFF" w:usb1="C000247B" w:usb2="00000009" w:usb3="00000000" w:csb0="000001FF" w:csb1="00000000"/>
  </w:font>
  <w:font w:name="Arial-BoldItalicMT">
    <w:altName w:val="Arial"/>
    <w:panose1 w:val="020B0604020202020204"/>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0CB3" w:rsidRDefault="003F0CB3">
      <w:r>
        <w:separator/>
      </w:r>
    </w:p>
  </w:footnote>
  <w:footnote w:type="continuationSeparator" w:id="0">
    <w:p w:rsidR="003F0CB3" w:rsidRDefault="003F0C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11D" w:rsidRDefault="003F0CB3">
    <w:pPr>
      <w:pStyle w:val="BodyText"/>
      <w:spacing w:line="14" w:lineRule="auto"/>
    </w:pPr>
    <w:r>
      <w:pict>
        <v:line id="_x0000_s2053" alt="" style="position:absolute;z-index:-257009664;mso-wrap-edited:f;mso-width-percent:0;mso-height-percent:0;mso-position-horizontal-relative:page;mso-position-vertical-relative:page;mso-width-percent:0;mso-height-percent:0" from="0,22pt" to="588.75pt,22pt" strokecolor="#005695" strokeweight="2pt">
          <w10:wrap anchorx="page" anchory="page"/>
        </v:lin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11D" w:rsidRDefault="003F0CB3">
    <w:pPr>
      <w:pStyle w:val="BodyText"/>
      <w:spacing w:line="14" w:lineRule="auto"/>
    </w:pPr>
    <w:r>
      <w:pict>
        <v:line id="_x0000_s2049" alt="" style="position:absolute;z-index:-257005568;mso-wrap-edited:f;mso-width-percent:0;mso-height-percent:0;mso-position-horizontal-relative:page;mso-position-vertical-relative:page;mso-width-percent:0;mso-height-percent:0" from="0,22pt" to="588.75pt,22pt" strokecolor="#005695" strokeweight="2pt">
          <w10:wrap anchorx="page" anchory="page"/>
        </v:lin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11D" w:rsidRDefault="00D1511D">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11D" w:rsidRDefault="00D1511D">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11D" w:rsidRDefault="003F0CB3">
    <w:pPr>
      <w:pStyle w:val="BodyText"/>
      <w:spacing w:line="14" w:lineRule="auto"/>
    </w:pPr>
    <w:r>
      <w:pict>
        <v:line id="_x0000_s2052" alt="" style="position:absolute;z-index:-257008640;mso-wrap-edited:f;mso-width-percent:0;mso-height-percent:0;mso-position-horizontal-relative:page;mso-position-vertical-relative:page;mso-width-percent:0;mso-height-percent:0" from="4.4pt,22pt" to="595.3pt,22pt" strokecolor="#005695" strokeweight="2pt">
          <w10:wrap anchorx="page" anchory="page"/>
        </v:lin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11D" w:rsidRDefault="003F0CB3">
    <w:pPr>
      <w:pStyle w:val="BodyText"/>
      <w:spacing w:line="14" w:lineRule="auto"/>
      <w:rPr>
        <w:sz w:val="2"/>
      </w:rPr>
    </w:pPr>
    <w:r>
      <w:pict>
        <v:rect id="_x0000_s2051" alt="" style="position:absolute;margin-left:0;margin-top:0;width:595.3pt;height:841.9pt;z-index:-257007616;mso-wrap-edited:f;mso-width-percent:0;mso-height-percent:0;mso-position-horizontal-relative:page;mso-position-vertical-relative:page;mso-width-percent:0;mso-height-percent:0" fillcolor="#005695" stroked="f">
          <w10:wrap anchorx="page" anchory="page"/>
        </v:rect>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11D" w:rsidRDefault="00D1511D">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11D" w:rsidRDefault="00D1511D">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11D" w:rsidRDefault="003F0CB3">
    <w:pPr>
      <w:pStyle w:val="BodyText"/>
      <w:spacing w:line="14" w:lineRule="auto"/>
    </w:pPr>
    <w:r>
      <w:pict>
        <v:line id="_x0000_s2050" alt="" style="position:absolute;z-index:-257006592;mso-wrap-edited:f;mso-width-percent:0;mso-height-percent:0;mso-position-horizontal-relative:page;mso-position-vertical-relative:page;mso-width-percent:0;mso-height-percent:0" from="4.4pt,22pt" to="595.3pt,22pt" strokecolor="#005695" strokeweight="2pt">
          <w10:wrap anchorx="page" anchory="page"/>
        </v:lin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11D" w:rsidRDefault="00D1511D">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11D" w:rsidRDefault="00D1511D">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00E57"/>
    <w:multiLevelType w:val="hybridMultilevel"/>
    <w:tmpl w:val="C0F64EF8"/>
    <w:lvl w:ilvl="0" w:tplc="CE80BE80">
      <w:numFmt w:val="bullet"/>
      <w:lvlText w:val="•"/>
      <w:lvlJc w:val="left"/>
      <w:pPr>
        <w:ind w:left="1777" w:hanging="360"/>
      </w:pPr>
      <w:rPr>
        <w:rFonts w:ascii="Adobe Garamond Pro" w:eastAsia="Adobe Garamond Pro" w:hAnsi="Adobe Garamond Pro" w:cs="Adobe Garamond Pro" w:hint="default"/>
        <w:color w:val="231F20"/>
        <w:spacing w:val="-26"/>
        <w:w w:val="92"/>
        <w:sz w:val="20"/>
        <w:szCs w:val="20"/>
        <w:lang w:val="en-US" w:eastAsia="en-US" w:bidi="en-US"/>
      </w:rPr>
    </w:lvl>
    <w:lvl w:ilvl="1" w:tplc="ECF4F218">
      <w:numFmt w:val="bullet"/>
      <w:lvlText w:val="•"/>
      <w:lvlJc w:val="left"/>
      <w:pPr>
        <w:ind w:left="2792" w:hanging="360"/>
      </w:pPr>
      <w:rPr>
        <w:rFonts w:hint="default"/>
        <w:lang w:val="en-US" w:eastAsia="en-US" w:bidi="en-US"/>
      </w:rPr>
    </w:lvl>
    <w:lvl w:ilvl="2" w:tplc="18CC9A82">
      <w:numFmt w:val="bullet"/>
      <w:lvlText w:val="•"/>
      <w:lvlJc w:val="left"/>
      <w:pPr>
        <w:ind w:left="3805" w:hanging="360"/>
      </w:pPr>
      <w:rPr>
        <w:rFonts w:hint="default"/>
        <w:lang w:val="en-US" w:eastAsia="en-US" w:bidi="en-US"/>
      </w:rPr>
    </w:lvl>
    <w:lvl w:ilvl="3" w:tplc="FD02D6DA">
      <w:numFmt w:val="bullet"/>
      <w:lvlText w:val="•"/>
      <w:lvlJc w:val="left"/>
      <w:pPr>
        <w:ind w:left="4817" w:hanging="360"/>
      </w:pPr>
      <w:rPr>
        <w:rFonts w:hint="default"/>
        <w:lang w:val="en-US" w:eastAsia="en-US" w:bidi="en-US"/>
      </w:rPr>
    </w:lvl>
    <w:lvl w:ilvl="4" w:tplc="1C58C330">
      <w:numFmt w:val="bullet"/>
      <w:lvlText w:val="•"/>
      <w:lvlJc w:val="left"/>
      <w:pPr>
        <w:ind w:left="5830" w:hanging="360"/>
      </w:pPr>
      <w:rPr>
        <w:rFonts w:hint="default"/>
        <w:lang w:val="en-US" w:eastAsia="en-US" w:bidi="en-US"/>
      </w:rPr>
    </w:lvl>
    <w:lvl w:ilvl="5" w:tplc="89806A58">
      <w:numFmt w:val="bullet"/>
      <w:lvlText w:val="•"/>
      <w:lvlJc w:val="left"/>
      <w:pPr>
        <w:ind w:left="6842" w:hanging="360"/>
      </w:pPr>
      <w:rPr>
        <w:rFonts w:hint="default"/>
        <w:lang w:val="en-US" w:eastAsia="en-US" w:bidi="en-US"/>
      </w:rPr>
    </w:lvl>
    <w:lvl w:ilvl="6" w:tplc="3CF26330">
      <w:numFmt w:val="bullet"/>
      <w:lvlText w:val="•"/>
      <w:lvlJc w:val="left"/>
      <w:pPr>
        <w:ind w:left="7855" w:hanging="360"/>
      </w:pPr>
      <w:rPr>
        <w:rFonts w:hint="default"/>
        <w:lang w:val="en-US" w:eastAsia="en-US" w:bidi="en-US"/>
      </w:rPr>
    </w:lvl>
    <w:lvl w:ilvl="7" w:tplc="C784A01C">
      <w:numFmt w:val="bullet"/>
      <w:lvlText w:val="•"/>
      <w:lvlJc w:val="left"/>
      <w:pPr>
        <w:ind w:left="8867" w:hanging="360"/>
      </w:pPr>
      <w:rPr>
        <w:rFonts w:hint="default"/>
        <w:lang w:val="en-US" w:eastAsia="en-US" w:bidi="en-US"/>
      </w:rPr>
    </w:lvl>
    <w:lvl w:ilvl="8" w:tplc="C7FA3E0A">
      <w:numFmt w:val="bullet"/>
      <w:lvlText w:val="•"/>
      <w:lvlJc w:val="left"/>
      <w:pPr>
        <w:ind w:left="9880" w:hanging="360"/>
      </w:pPr>
      <w:rPr>
        <w:rFonts w:hint="default"/>
        <w:lang w:val="en-US" w:eastAsia="en-US" w:bidi="en-US"/>
      </w:rPr>
    </w:lvl>
  </w:abstractNum>
  <w:abstractNum w:abstractNumId="1" w15:restartNumberingAfterBreak="0">
    <w:nsid w:val="01C75A5F"/>
    <w:multiLevelType w:val="hybridMultilevel"/>
    <w:tmpl w:val="4FCE1D66"/>
    <w:lvl w:ilvl="0" w:tplc="3FBEC7CA">
      <w:start w:val="7"/>
      <w:numFmt w:val="decimal"/>
      <w:lvlText w:val="%1"/>
      <w:lvlJc w:val="left"/>
      <w:pPr>
        <w:ind w:left="1850" w:hanging="150"/>
        <w:jc w:val="left"/>
      </w:pPr>
      <w:rPr>
        <w:rFonts w:ascii="Myriad Pro" w:eastAsia="Myriad Pro" w:hAnsi="Myriad Pro" w:cs="Myriad Pro" w:hint="default"/>
        <w:color w:val="231F20"/>
        <w:spacing w:val="-1"/>
        <w:w w:val="100"/>
        <w:sz w:val="16"/>
        <w:szCs w:val="16"/>
        <w:lang w:val="en-US" w:eastAsia="en-US" w:bidi="en-US"/>
      </w:rPr>
    </w:lvl>
    <w:lvl w:ilvl="1" w:tplc="3F3A0662">
      <w:numFmt w:val="bullet"/>
      <w:lvlText w:val="•"/>
      <w:lvlJc w:val="left"/>
      <w:pPr>
        <w:ind w:left="2864" w:hanging="150"/>
      </w:pPr>
      <w:rPr>
        <w:rFonts w:hint="default"/>
        <w:lang w:val="en-US" w:eastAsia="en-US" w:bidi="en-US"/>
      </w:rPr>
    </w:lvl>
    <w:lvl w:ilvl="2" w:tplc="30881844">
      <w:numFmt w:val="bullet"/>
      <w:lvlText w:val="•"/>
      <w:lvlJc w:val="left"/>
      <w:pPr>
        <w:ind w:left="3869" w:hanging="150"/>
      </w:pPr>
      <w:rPr>
        <w:rFonts w:hint="default"/>
        <w:lang w:val="en-US" w:eastAsia="en-US" w:bidi="en-US"/>
      </w:rPr>
    </w:lvl>
    <w:lvl w:ilvl="3" w:tplc="406AA076">
      <w:numFmt w:val="bullet"/>
      <w:lvlText w:val="•"/>
      <w:lvlJc w:val="left"/>
      <w:pPr>
        <w:ind w:left="4873" w:hanging="150"/>
      </w:pPr>
      <w:rPr>
        <w:rFonts w:hint="default"/>
        <w:lang w:val="en-US" w:eastAsia="en-US" w:bidi="en-US"/>
      </w:rPr>
    </w:lvl>
    <w:lvl w:ilvl="4" w:tplc="65FCD6DE">
      <w:numFmt w:val="bullet"/>
      <w:lvlText w:val="•"/>
      <w:lvlJc w:val="left"/>
      <w:pPr>
        <w:ind w:left="5878" w:hanging="150"/>
      </w:pPr>
      <w:rPr>
        <w:rFonts w:hint="default"/>
        <w:lang w:val="en-US" w:eastAsia="en-US" w:bidi="en-US"/>
      </w:rPr>
    </w:lvl>
    <w:lvl w:ilvl="5" w:tplc="A89E2BC6">
      <w:numFmt w:val="bullet"/>
      <w:lvlText w:val="•"/>
      <w:lvlJc w:val="left"/>
      <w:pPr>
        <w:ind w:left="6882" w:hanging="150"/>
      </w:pPr>
      <w:rPr>
        <w:rFonts w:hint="default"/>
        <w:lang w:val="en-US" w:eastAsia="en-US" w:bidi="en-US"/>
      </w:rPr>
    </w:lvl>
    <w:lvl w:ilvl="6" w:tplc="B226F15E">
      <w:numFmt w:val="bullet"/>
      <w:lvlText w:val="•"/>
      <w:lvlJc w:val="left"/>
      <w:pPr>
        <w:ind w:left="7887" w:hanging="150"/>
      </w:pPr>
      <w:rPr>
        <w:rFonts w:hint="default"/>
        <w:lang w:val="en-US" w:eastAsia="en-US" w:bidi="en-US"/>
      </w:rPr>
    </w:lvl>
    <w:lvl w:ilvl="7" w:tplc="39BE9E12">
      <w:numFmt w:val="bullet"/>
      <w:lvlText w:val="•"/>
      <w:lvlJc w:val="left"/>
      <w:pPr>
        <w:ind w:left="8891" w:hanging="150"/>
      </w:pPr>
      <w:rPr>
        <w:rFonts w:hint="default"/>
        <w:lang w:val="en-US" w:eastAsia="en-US" w:bidi="en-US"/>
      </w:rPr>
    </w:lvl>
    <w:lvl w:ilvl="8" w:tplc="BB4612AC">
      <w:numFmt w:val="bullet"/>
      <w:lvlText w:val="•"/>
      <w:lvlJc w:val="left"/>
      <w:pPr>
        <w:ind w:left="9896" w:hanging="150"/>
      </w:pPr>
      <w:rPr>
        <w:rFonts w:hint="default"/>
        <w:lang w:val="en-US" w:eastAsia="en-US" w:bidi="en-US"/>
      </w:rPr>
    </w:lvl>
  </w:abstractNum>
  <w:abstractNum w:abstractNumId="2" w15:restartNumberingAfterBreak="0">
    <w:nsid w:val="05AD60A4"/>
    <w:multiLevelType w:val="hybridMultilevel"/>
    <w:tmpl w:val="93081FD8"/>
    <w:lvl w:ilvl="0" w:tplc="2914471A">
      <w:start w:val="1"/>
      <w:numFmt w:val="decimal"/>
      <w:lvlText w:val="%1."/>
      <w:lvlJc w:val="left"/>
      <w:pPr>
        <w:ind w:left="1927" w:hanging="227"/>
        <w:jc w:val="left"/>
      </w:pPr>
      <w:rPr>
        <w:rFonts w:ascii="Adobe Garamond Pro" w:eastAsia="Adobe Garamond Pro" w:hAnsi="Adobe Garamond Pro" w:cs="Adobe Garamond Pro" w:hint="default"/>
        <w:color w:val="231F20"/>
        <w:spacing w:val="-22"/>
        <w:w w:val="100"/>
        <w:sz w:val="18"/>
        <w:szCs w:val="18"/>
        <w:lang w:val="en-US" w:eastAsia="en-US" w:bidi="en-US"/>
      </w:rPr>
    </w:lvl>
    <w:lvl w:ilvl="1" w:tplc="1A20B906">
      <w:numFmt w:val="bullet"/>
      <w:lvlText w:val="•"/>
      <w:lvlJc w:val="left"/>
      <w:pPr>
        <w:ind w:left="2918" w:hanging="227"/>
      </w:pPr>
      <w:rPr>
        <w:rFonts w:hint="default"/>
        <w:lang w:val="en-US" w:eastAsia="en-US" w:bidi="en-US"/>
      </w:rPr>
    </w:lvl>
    <w:lvl w:ilvl="2" w:tplc="AA1A403A">
      <w:numFmt w:val="bullet"/>
      <w:lvlText w:val="•"/>
      <w:lvlJc w:val="left"/>
      <w:pPr>
        <w:ind w:left="3917" w:hanging="227"/>
      </w:pPr>
      <w:rPr>
        <w:rFonts w:hint="default"/>
        <w:lang w:val="en-US" w:eastAsia="en-US" w:bidi="en-US"/>
      </w:rPr>
    </w:lvl>
    <w:lvl w:ilvl="3" w:tplc="47F28496">
      <w:numFmt w:val="bullet"/>
      <w:lvlText w:val="•"/>
      <w:lvlJc w:val="left"/>
      <w:pPr>
        <w:ind w:left="4915" w:hanging="227"/>
      </w:pPr>
      <w:rPr>
        <w:rFonts w:hint="default"/>
        <w:lang w:val="en-US" w:eastAsia="en-US" w:bidi="en-US"/>
      </w:rPr>
    </w:lvl>
    <w:lvl w:ilvl="4" w:tplc="050E5B2E">
      <w:numFmt w:val="bullet"/>
      <w:lvlText w:val="•"/>
      <w:lvlJc w:val="left"/>
      <w:pPr>
        <w:ind w:left="5914" w:hanging="227"/>
      </w:pPr>
      <w:rPr>
        <w:rFonts w:hint="default"/>
        <w:lang w:val="en-US" w:eastAsia="en-US" w:bidi="en-US"/>
      </w:rPr>
    </w:lvl>
    <w:lvl w:ilvl="5" w:tplc="66ECDB2C">
      <w:numFmt w:val="bullet"/>
      <w:lvlText w:val="•"/>
      <w:lvlJc w:val="left"/>
      <w:pPr>
        <w:ind w:left="6912" w:hanging="227"/>
      </w:pPr>
      <w:rPr>
        <w:rFonts w:hint="default"/>
        <w:lang w:val="en-US" w:eastAsia="en-US" w:bidi="en-US"/>
      </w:rPr>
    </w:lvl>
    <w:lvl w:ilvl="6" w:tplc="E75C4E12">
      <w:numFmt w:val="bullet"/>
      <w:lvlText w:val="•"/>
      <w:lvlJc w:val="left"/>
      <w:pPr>
        <w:ind w:left="7911" w:hanging="227"/>
      </w:pPr>
      <w:rPr>
        <w:rFonts w:hint="default"/>
        <w:lang w:val="en-US" w:eastAsia="en-US" w:bidi="en-US"/>
      </w:rPr>
    </w:lvl>
    <w:lvl w:ilvl="7" w:tplc="8A067A80">
      <w:numFmt w:val="bullet"/>
      <w:lvlText w:val="•"/>
      <w:lvlJc w:val="left"/>
      <w:pPr>
        <w:ind w:left="8909" w:hanging="227"/>
      </w:pPr>
      <w:rPr>
        <w:rFonts w:hint="default"/>
        <w:lang w:val="en-US" w:eastAsia="en-US" w:bidi="en-US"/>
      </w:rPr>
    </w:lvl>
    <w:lvl w:ilvl="8" w:tplc="0D3E51F0">
      <w:numFmt w:val="bullet"/>
      <w:lvlText w:val="•"/>
      <w:lvlJc w:val="left"/>
      <w:pPr>
        <w:ind w:left="9908" w:hanging="227"/>
      </w:pPr>
      <w:rPr>
        <w:rFonts w:hint="default"/>
        <w:lang w:val="en-US" w:eastAsia="en-US" w:bidi="en-US"/>
      </w:rPr>
    </w:lvl>
  </w:abstractNum>
  <w:abstractNum w:abstractNumId="3" w15:restartNumberingAfterBreak="0">
    <w:nsid w:val="06F231A7"/>
    <w:multiLevelType w:val="hybridMultilevel"/>
    <w:tmpl w:val="FEBC16EE"/>
    <w:lvl w:ilvl="0" w:tplc="ECB227F2">
      <w:start w:val="2"/>
      <w:numFmt w:val="decimal"/>
      <w:lvlText w:val="%1"/>
      <w:lvlJc w:val="left"/>
      <w:pPr>
        <w:ind w:left="593" w:hanging="119"/>
        <w:jc w:val="left"/>
      </w:pPr>
      <w:rPr>
        <w:rFonts w:ascii="Arial" w:eastAsia="Arial" w:hAnsi="Arial" w:cs="Arial" w:hint="default"/>
        <w:b/>
        <w:bCs/>
        <w:color w:val="030303"/>
        <w:w w:val="100"/>
        <w:sz w:val="14"/>
        <w:szCs w:val="14"/>
        <w:lang w:val="en-US" w:eastAsia="en-US" w:bidi="en-US"/>
      </w:rPr>
    </w:lvl>
    <w:lvl w:ilvl="1" w:tplc="B476A05C">
      <w:numFmt w:val="bullet"/>
      <w:lvlText w:val="•"/>
      <w:lvlJc w:val="left"/>
      <w:pPr>
        <w:ind w:left="815" w:hanging="119"/>
      </w:pPr>
      <w:rPr>
        <w:rFonts w:hint="default"/>
        <w:lang w:val="en-US" w:eastAsia="en-US" w:bidi="en-US"/>
      </w:rPr>
    </w:lvl>
    <w:lvl w:ilvl="2" w:tplc="610CA1AC">
      <w:numFmt w:val="bullet"/>
      <w:lvlText w:val="•"/>
      <w:lvlJc w:val="left"/>
      <w:pPr>
        <w:ind w:left="1030" w:hanging="119"/>
      </w:pPr>
      <w:rPr>
        <w:rFonts w:hint="default"/>
        <w:lang w:val="en-US" w:eastAsia="en-US" w:bidi="en-US"/>
      </w:rPr>
    </w:lvl>
    <w:lvl w:ilvl="3" w:tplc="B1A69C22">
      <w:numFmt w:val="bullet"/>
      <w:lvlText w:val="•"/>
      <w:lvlJc w:val="left"/>
      <w:pPr>
        <w:ind w:left="1245" w:hanging="119"/>
      </w:pPr>
      <w:rPr>
        <w:rFonts w:hint="default"/>
        <w:lang w:val="en-US" w:eastAsia="en-US" w:bidi="en-US"/>
      </w:rPr>
    </w:lvl>
    <w:lvl w:ilvl="4" w:tplc="74C2BBF0">
      <w:numFmt w:val="bullet"/>
      <w:lvlText w:val="•"/>
      <w:lvlJc w:val="left"/>
      <w:pPr>
        <w:ind w:left="1461" w:hanging="119"/>
      </w:pPr>
      <w:rPr>
        <w:rFonts w:hint="default"/>
        <w:lang w:val="en-US" w:eastAsia="en-US" w:bidi="en-US"/>
      </w:rPr>
    </w:lvl>
    <w:lvl w:ilvl="5" w:tplc="72468866">
      <w:numFmt w:val="bullet"/>
      <w:lvlText w:val="•"/>
      <w:lvlJc w:val="left"/>
      <w:pPr>
        <w:ind w:left="1676" w:hanging="119"/>
      </w:pPr>
      <w:rPr>
        <w:rFonts w:hint="default"/>
        <w:lang w:val="en-US" w:eastAsia="en-US" w:bidi="en-US"/>
      </w:rPr>
    </w:lvl>
    <w:lvl w:ilvl="6" w:tplc="52E44B7C">
      <w:numFmt w:val="bullet"/>
      <w:lvlText w:val="•"/>
      <w:lvlJc w:val="left"/>
      <w:pPr>
        <w:ind w:left="1891" w:hanging="119"/>
      </w:pPr>
      <w:rPr>
        <w:rFonts w:hint="default"/>
        <w:lang w:val="en-US" w:eastAsia="en-US" w:bidi="en-US"/>
      </w:rPr>
    </w:lvl>
    <w:lvl w:ilvl="7" w:tplc="3C66A238">
      <w:numFmt w:val="bullet"/>
      <w:lvlText w:val="•"/>
      <w:lvlJc w:val="left"/>
      <w:pPr>
        <w:ind w:left="2107" w:hanging="119"/>
      </w:pPr>
      <w:rPr>
        <w:rFonts w:hint="default"/>
        <w:lang w:val="en-US" w:eastAsia="en-US" w:bidi="en-US"/>
      </w:rPr>
    </w:lvl>
    <w:lvl w:ilvl="8" w:tplc="C52EF324">
      <w:numFmt w:val="bullet"/>
      <w:lvlText w:val="•"/>
      <w:lvlJc w:val="left"/>
      <w:pPr>
        <w:ind w:left="2322" w:hanging="119"/>
      </w:pPr>
      <w:rPr>
        <w:rFonts w:hint="default"/>
        <w:lang w:val="en-US" w:eastAsia="en-US" w:bidi="en-US"/>
      </w:rPr>
    </w:lvl>
  </w:abstractNum>
  <w:abstractNum w:abstractNumId="4" w15:restartNumberingAfterBreak="0">
    <w:nsid w:val="0A4E112D"/>
    <w:multiLevelType w:val="hybridMultilevel"/>
    <w:tmpl w:val="5FAA66FE"/>
    <w:lvl w:ilvl="0" w:tplc="9BEE6438">
      <w:numFmt w:val="bullet"/>
      <w:lvlText w:val="•"/>
      <w:lvlJc w:val="left"/>
      <w:pPr>
        <w:ind w:left="2060" w:hanging="360"/>
      </w:pPr>
      <w:rPr>
        <w:rFonts w:ascii="Adobe Garamond Pro" w:eastAsia="Adobe Garamond Pro" w:hAnsi="Adobe Garamond Pro" w:cs="Adobe Garamond Pro" w:hint="default"/>
        <w:color w:val="231F20"/>
        <w:spacing w:val="-16"/>
        <w:w w:val="92"/>
        <w:sz w:val="20"/>
        <w:szCs w:val="20"/>
        <w:lang w:val="en-US" w:eastAsia="en-US" w:bidi="en-US"/>
      </w:rPr>
    </w:lvl>
    <w:lvl w:ilvl="1" w:tplc="346C8906">
      <w:numFmt w:val="bullet"/>
      <w:lvlText w:val="•"/>
      <w:lvlJc w:val="left"/>
      <w:pPr>
        <w:ind w:left="3044" w:hanging="360"/>
      </w:pPr>
      <w:rPr>
        <w:rFonts w:hint="default"/>
        <w:lang w:val="en-US" w:eastAsia="en-US" w:bidi="en-US"/>
      </w:rPr>
    </w:lvl>
    <w:lvl w:ilvl="2" w:tplc="32FE808C">
      <w:numFmt w:val="bullet"/>
      <w:lvlText w:val="•"/>
      <w:lvlJc w:val="left"/>
      <w:pPr>
        <w:ind w:left="4029" w:hanging="360"/>
      </w:pPr>
      <w:rPr>
        <w:rFonts w:hint="default"/>
        <w:lang w:val="en-US" w:eastAsia="en-US" w:bidi="en-US"/>
      </w:rPr>
    </w:lvl>
    <w:lvl w:ilvl="3" w:tplc="1F5A34A4">
      <w:numFmt w:val="bullet"/>
      <w:lvlText w:val="•"/>
      <w:lvlJc w:val="left"/>
      <w:pPr>
        <w:ind w:left="5013" w:hanging="360"/>
      </w:pPr>
      <w:rPr>
        <w:rFonts w:hint="default"/>
        <w:lang w:val="en-US" w:eastAsia="en-US" w:bidi="en-US"/>
      </w:rPr>
    </w:lvl>
    <w:lvl w:ilvl="4" w:tplc="FB2EA6DE">
      <w:numFmt w:val="bullet"/>
      <w:lvlText w:val="•"/>
      <w:lvlJc w:val="left"/>
      <w:pPr>
        <w:ind w:left="5998" w:hanging="360"/>
      </w:pPr>
      <w:rPr>
        <w:rFonts w:hint="default"/>
        <w:lang w:val="en-US" w:eastAsia="en-US" w:bidi="en-US"/>
      </w:rPr>
    </w:lvl>
    <w:lvl w:ilvl="5" w:tplc="3D6E0D8E">
      <w:numFmt w:val="bullet"/>
      <w:lvlText w:val="•"/>
      <w:lvlJc w:val="left"/>
      <w:pPr>
        <w:ind w:left="6982" w:hanging="360"/>
      </w:pPr>
      <w:rPr>
        <w:rFonts w:hint="default"/>
        <w:lang w:val="en-US" w:eastAsia="en-US" w:bidi="en-US"/>
      </w:rPr>
    </w:lvl>
    <w:lvl w:ilvl="6" w:tplc="48DCB3B6">
      <w:numFmt w:val="bullet"/>
      <w:lvlText w:val="•"/>
      <w:lvlJc w:val="left"/>
      <w:pPr>
        <w:ind w:left="7967" w:hanging="360"/>
      </w:pPr>
      <w:rPr>
        <w:rFonts w:hint="default"/>
        <w:lang w:val="en-US" w:eastAsia="en-US" w:bidi="en-US"/>
      </w:rPr>
    </w:lvl>
    <w:lvl w:ilvl="7" w:tplc="D6D8C366">
      <w:numFmt w:val="bullet"/>
      <w:lvlText w:val="•"/>
      <w:lvlJc w:val="left"/>
      <w:pPr>
        <w:ind w:left="8951" w:hanging="360"/>
      </w:pPr>
      <w:rPr>
        <w:rFonts w:hint="default"/>
        <w:lang w:val="en-US" w:eastAsia="en-US" w:bidi="en-US"/>
      </w:rPr>
    </w:lvl>
    <w:lvl w:ilvl="8" w:tplc="A478F7BC">
      <w:numFmt w:val="bullet"/>
      <w:lvlText w:val="•"/>
      <w:lvlJc w:val="left"/>
      <w:pPr>
        <w:ind w:left="9936" w:hanging="360"/>
      </w:pPr>
      <w:rPr>
        <w:rFonts w:hint="default"/>
        <w:lang w:val="en-US" w:eastAsia="en-US" w:bidi="en-US"/>
      </w:rPr>
    </w:lvl>
  </w:abstractNum>
  <w:abstractNum w:abstractNumId="5" w15:restartNumberingAfterBreak="0">
    <w:nsid w:val="0B8D56F1"/>
    <w:multiLevelType w:val="hybridMultilevel"/>
    <w:tmpl w:val="5DA03B20"/>
    <w:lvl w:ilvl="0" w:tplc="A51A7908">
      <w:start w:val="10"/>
      <w:numFmt w:val="decimal"/>
      <w:lvlText w:val="%1"/>
      <w:lvlJc w:val="left"/>
      <w:pPr>
        <w:ind w:left="1932" w:hanging="232"/>
        <w:jc w:val="left"/>
      </w:pPr>
      <w:rPr>
        <w:rFonts w:ascii="Myriad Pro" w:eastAsia="Myriad Pro" w:hAnsi="Myriad Pro" w:cs="Myriad Pro" w:hint="default"/>
        <w:color w:val="231F20"/>
        <w:spacing w:val="-1"/>
        <w:w w:val="100"/>
        <w:sz w:val="16"/>
        <w:szCs w:val="16"/>
        <w:lang w:val="en-US" w:eastAsia="en-US" w:bidi="en-US"/>
      </w:rPr>
    </w:lvl>
    <w:lvl w:ilvl="1" w:tplc="826E422C">
      <w:numFmt w:val="bullet"/>
      <w:lvlText w:val="•"/>
      <w:lvlJc w:val="left"/>
      <w:pPr>
        <w:ind w:left="2936" w:hanging="232"/>
      </w:pPr>
      <w:rPr>
        <w:rFonts w:hint="default"/>
        <w:lang w:val="en-US" w:eastAsia="en-US" w:bidi="en-US"/>
      </w:rPr>
    </w:lvl>
    <w:lvl w:ilvl="2" w:tplc="24F41C34">
      <w:numFmt w:val="bullet"/>
      <w:lvlText w:val="•"/>
      <w:lvlJc w:val="left"/>
      <w:pPr>
        <w:ind w:left="3933" w:hanging="232"/>
      </w:pPr>
      <w:rPr>
        <w:rFonts w:hint="default"/>
        <w:lang w:val="en-US" w:eastAsia="en-US" w:bidi="en-US"/>
      </w:rPr>
    </w:lvl>
    <w:lvl w:ilvl="3" w:tplc="821002BE">
      <w:numFmt w:val="bullet"/>
      <w:lvlText w:val="•"/>
      <w:lvlJc w:val="left"/>
      <w:pPr>
        <w:ind w:left="4929" w:hanging="232"/>
      </w:pPr>
      <w:rPr>
        <w:rFonts w:hint="default"/>
        <w:lang w:val="en-US" w:eastAsia="en-US" w:bidi="en-US"/>
      </w:rPr>
    </w:lvl>
    <w:lvl w:ilvl="4" w:tplc="AB96247C">
      <w:numFmt w:val="bullet"/>
      <w:lvlText w:val="•"/>
      <w:lvlJc w:val="left"/>
      <w:pPr>
        <w:ind w:left="5926" w:hanging="232"/>
      </w:pPr>
      <w:rPr>
        <w:rFonts w:hint="default"/>
        <w:lang w:val="en-US" w:eastAsia="en-US" w:bidi="en-US"/>
      </w:rPr>
    </w:lvl>
    <w:lvl w:ilvl="5" w:tplc="2EA01C48">
      <w:numFmt w:val="bullet"/>
      <w:lvlText w:val="•"/>
      <w:lvlJc w:val="left"/>
      <w:pPr>
        <w:ind w:left="6922" w:hanging="232"/>
      </w:pPr>
      <w:rPr>
        <w:rFonts w:hint="default"/>
        <w:lang w:val="en-US" w:eastAsia="en-US" w:bidi="en-US"/>
      </w:rPr>
    </w:lvl>
    <w:lvl w:ilvl="6" w:tplc="6D327C7A">
      <w:numFmt w:val="bullet"/>
      <w:lvlText w:val="•"/>
      <w:lvlJc w:val="left"/>
      <w:pPr>
        <w:ind w:left="7919" w:hanging="232"/>
      </w:pPr>
      <w:rPr>
        <w:rFonts w:hint="default"/>
        <w:lang w:val="en-US" w:eastAsia="en-US" w:bidi="en-US"/>
      </w:rPr>
    </w:lvl>
    <w:lvl w:ilvl="7" w:tplc="C9EAB530">
      <w:numFmt w:val="bullet"/>
      <w:lvlText w:val="•"/>
      <w:lvlJc w:val="left"/>
      <w:pPr>
        <w:ind w:left="8915" w:hanging="232"/>
      </w:pPr>
      <w:rPr>
        <w:rFonts w:hint="default"/>
        <w:lang w:val="en-US" w:eastAsia="en-US" w:bidi="en-US"/>
      </w:rPr>
    </w:lvl>
    <w:lvl w:ilvl="8" w:tplc="A2229134">
      <w:numFmt w:val="bullet"/>
      <w:lvlText w:val="•"/>
      <w:lvlJc w:val="left"/>
      <w:pPr>
        <w:ind w:left="9912" w:hanging="232"/>
      </w:pPr>
      <w:rPr>
        <w:rFonts w:hint="default"/>
        <w:lang w:val="en-US" w:eastAsia="en-US" w:bidi="en-US"/>
      </w:rPr>
    </w:lvl>
  </w:abstractNum>
  <w:abstractNum w:abstractNumId="6" w15:restartNumberingAfterBreak="0">
    <w:nsid w:val="0D7169F0"/>
    <w:multiLevelType w:val="multilevel"/>
    <w:tmpl w:val="C1E069CC"/>
    <w:lvl w:ilvl="0">
      <w:start w:val="3"/>
      <w:numFmt w:val="decimal"/>
      <w:lvlText w:val="%1"/>
      <w:lvlJc w:val="left"/>
      <w:pPr>
        <w:ind w:left="973" w:hanging="500"/>
        <w:jc w:val="left"/>
      </w:pPr>
      <w:rPr>
        <w:rFonts w:hint="default"/>
        <w:lang w:val="en-US" w:eastAsia="en-US" w:bidi="en-US"/>
      </w:rPr>
    </w:lvl>
    <w:lvl w:ilvl="1">
      <w:start w:val="4"/>
      <w:numFmt w:val="decimal"/>
      <w:lvlText w:val="%1.%2"/>
      <w:lvlJc w:val="left"/>
      <w:pPr>
        <w:ind w:left="973" w:hanging="500"/>
        <w:jc w:val="left"/>
      </w:pPr>
      <w:rPr>
        <w:rFonts w:hint="default"/>
        <w:lang w:val="en-US" w:eastAsia="en-US" w:bidi="en-US"/>
      </w:rPr>
    </w:lvl>
    <w:lvl w:ilvl="2">
      <w:start w:val="5"/>
      <w:numFmt w:val="decimal"/>
      <w:lvlText w:val="%1.%2.%3"/>
      <w:lvlJc w:val="left"/>
      <w:pPr>
        <w:ind w:left="973" w:hanging="500"/>
        <w:jc w:val="left"/>
      </w:pPr>
      <w:rPr>
        <w:rFonts w:ascii="Arial" w:eastAsia="Arial" w:hAnsi="Arial" w:cs="Arial" w:hint="default"/>
        <w:color w:val="131313"/>
        <w:spacing w:val="-16"/>
        <w:w w:val="106"/>
        <w:sz w:val="14"/>
        <w:szCs w:val="14"/>
        <w:lang w:val="en-US" w:eastAsia="en-US" w:bidi="en-US"/>
      </w:rPr>
    </w:lvl>
    <w:lvl w:ilvl="3">
      <w:numFmt w:val="bullet"/>
      <w:lvlText w:val="•"/>
      <w:lvlJc w:val="left"/>
      <w:pPr>
        <w:ind w:left="1392" w:hanging="500"/>
      </w:pPr>
      <w:rPr>
        <w:rFonts w:hint="default"/>
        <w:lang w:val="en-US" w:eastAsia="en-US" w:bidi="en-US"/>
      </w:rPr>
    </w:lvl>
    <w:lvl w:ilvl="4">
      <w:numFmt w:val="bullet"/>
      <w:lvlText w:val="•"/>
      <w:lvlJc w:val="left"/>
      <w:pPr>
        <w:ind w:left="1530" w:hanging="500"/>
      </w:pPr>
      <w:rPr>
        <w:rFonts w:hint="default"/>
        <w:lang w:val="en-US" w:eastAsia="en-US" w:bidi="en-US"/>
      </w:rPr>
    </w:lvl>
    <w:lvl w:ilvl="5">
      <w:numFmt w:val="bullet"/>
      <w:lvlText w:val="•"/>
      <w:lvlJc w:val="left"/>
      <w:pPr>
        <w:ind w:left="1667" w:hanging="500"/>
      </w:pPr>
      <w:rPr>
        <w:rFonts w:hint="default"/>
        <w:lang w:val="en-US" w:eastAsia="en-US" w:bidi="en-US"/>
      </w:rPr>
    </w:lvl>
    <w:lvl w:ilvl="6">
      <w:numFmt w:val="bullet"/>
      <w:lvlText w:val="•"/>
      <w:lvlJc w:val="left"/>
      <w:pPr>
        <w:ind w:left="1805" w:hanging="500"/>
      </w:pPr>
      <w:rPr>
        <w:rFonts w:hint="default"/>
        <w:lang w:val="en-US" w:eastAsia="en-US" w:bidi="en-US"/>
      </w:rPr>
    </w:lvl>
    <w:lvl w:ilvl="7">
      <w:numFmt w:val="bullet"/>
      <w:lvlText w:val="•"/>
      <w:lvlJc w:val="left"/>
      <w:pPr>
        <w:ind w:left="1942" w:hanging="500"/>
      </w:pPr>
      <w:rPr>
        <w:rFonts w:hint="default"/>
        <w:lang w:val="en-US" w:eastAsia="en-US" w:bidi="en-US"/>
      </w:rPr>
    </w:lvl>
    <w:lvl w:ilvl="8">
      <w:numFmt w:val="bullet"/>
      <w:lvlText w:val="•"/>
      <w:lvlJc w:val="left"/>
      <w:pPr>
        <w:ind w:left="2080" w:hanging="500"/>
      </w:pPr>
      <w:rPr>
        <w:rFonts w:hint="default"/>
        <w:lang w:val="en-US" w:eastAsia="en-US" w:bidi="en-US"/>
      </w:rPr>
    </w:lvl>
  </w:abstractNum>
  <w:abstractNum w:abstractNumId="7" w15:restartNumberingAfterBreak="0">
    <w:nsid w:val="115B003A"/>
    <w:multiLevelType w:val="hybridMultilevel"/>
    <w:tmpl w:val="C6AE8126"/>
    <w:lvl w:ilvl="0" w:tplc="08DAF9EA">
      <w:numFmt w:val="bullet"/>
      <w:lvlText w:val="•"/>
      <w:lvlJc w:val="left"/>
      <w:pPr>
        <w:ind w:left="2060" w:hanging="360"/>
      </w:pPr>
      <w:rPr>
        <w:rFonts w:ascii="Adobe Garamond Pro" w:eastAsia="Adobe Garamond Pro" w:hAnsi="Adobe Garamond Pro" w:cs="Adobe Garamond Pro" w:hint="default"/>
        <w:color w:val="231F20"/>
        <w:spacing w:val="-3"/>
        <w:w w:val="98"/>
        <w:sz w:val="20"/>
        <w:szCs w:val="20"/>
        <w:lang w:val="en-US" w:eastAsia="en-US" w:bidi="en-US"/>
      </w:rPr>
    </w:lvl>
    <w:lvl w:ilvl="1" w:tplc="3216E2F0">
      <w:numFmt w:val="bullet"/>
      <w:lvlText w:val="•"/>
      <w:lvlJc w:val="left"/>
      <w:pPr>
        <w:ind w:left="3044" w:hanging="360"/>
      </w:pPr>
      <w:rPr>
        <w:rFonts w:hint="default"/>
        <w:lang w:val="en-US" w:eastAsia="en-US" w:bidi="en-US"/>
      </w:rPr>
    </w:lvl>
    <w:lvl w:ilvl="2" w:tplc="D70EC1C2">
      <w:numFmt w:val="bullet"/>
      <w:lvlText w:val="•"/>
      <w:lvlJc w:val="left"/>
      <w:pPr>
        <w:ind w:left="4029" w:hanging="360"/>
      </w:pPr>
      <w:rPr>
        <w:rFonts w:hint="default"/>
        <w:lang w:val="en-US" w:eastAsia="en-US" w:bidi="en-US"/>
      </w:rPr>
    </w:lvl>
    <w:lvl w:ilvl="3" w:tplc="EBFA9E4E">
      <w:numFmt w:val="bullet"/>
      <w:lvlText w:val="•"/>
      <w:lvlJc w:val="left"/>
      <w:pPr>
        <w:ind w:left="5013" w:hanging="360"/>
      </w:pPr>
      <w:rPr>
        <w:rFonts w:hint="default"/>
        <w:lang w:val="en-US" w:eastAsia="en-US" w:bidi="en-US"/>
      </w:rPr>
    </w:lvl>
    <w:lvl w:ilvl="4" w:tplc="C13A5B64">
      <w:numFmt w:val="bullet"/>
      <w:lvlText w:val="•"/>
      <w:lvlJc w:val="left"/>
      <w:pPr>
        <w:ind w:left="5998" w:hanging="360"/>
      </w:pPr>
      <w:rPr>
        <w:rFonts w:hint="default"/>
        <w:lang w:val="en-US" w:eastAsia="en-US" w:bidi="en-US"/>
      </w:rPr>
    </w:lvl>
    <w:lvl w:ilvl="5" w:tplc="7AB862DA">
      <w:numFmt w:val="bullet"/>
      <w:lvlText w:val="•"/>
      <w:lvlJc w:val="left"/>
      <w:pPr>
        <w:ind w:left="6982" w:hanging="360"/>
      </w:pPr>
      <w:rPr>
        <w:rFonts w:hint="default"/>
        <w:lang w:val="en-US" w:eastAsia="en-US" w:bidi="en-US"/>
      </w:rPr>
    </w:lvl>
    <w:lvl w:ilvl="6" w:tplc="C9AA0E28">
      <w:numFmt w:val="bullet"/>
      <w:lvlText w:val="•"/>
      <w:lvlJc w:val="left"/>
      <w:pPr>
        <w:ind w:left="7967" w:hanging="360"/>
      </w:pPr>
      <w:rPr>
        <w:rFonts w:hint="default"/>
        <w:lang w:val="en-US" w:eastAsia="en-US" w:bidi="en-US"/>
      </w:rPr>
    </w:lvl>
    <w:lvl w:ilvl="7" w:tplc="7C1EE736">
      <w:numFmt w:val="bullet"/>
      <w:lvlText w:val="•"/>
      <w:lvlJc w:val="left"/>
      <w:pPr>
        <w:ind w:left="8951" w:hanging="360"/>
      </w:pPr>
      <w:rPr>
        <w:rFonts w:hint="default"/>
        <w:lang w:val="en-US" w:eastAsia="en-US" w:bidi="en-US"/>
      </w:rPr>
    </w:lvl>
    <w:lvl w:ilvl="8" w:tplc="AF8AC1C8">
      <w:numFmt w:val="bullet"/>
      <w:lvlText w:val="•"/>
      <w:lvlJc w:val="left"/>
      <w:pPr>
        <w:ind w:left="9936" w:hanging="360"/>
      </w:pPr>
      <w:rPr>
        <w:rFonts w:hint="default"/>
        <w:lang w:val="en-US" w:eastAsia="en-US" w:bidi="en-US"/>
      </w:rPr>
    </w:lvl>
  </w:abstractNum>
  <w:abstractNum w:abstractNumId="8" w15:restartNumberingAfterBreak="0">
    <w:nsid w:val="11674D2D"/>
    <w:multiLevelType w:val="multilevel"/>
    <w:tmpl w:val="1C3458C4"/>
    <w:lvl w:ilvl="0">
      <w:start w:val="1"/>
      <w:numFmt w:val="decimal"/>
      <w:lvlText w:val="%1."/>
      <w:lvlJc w:val="left"/>
      <w:pPr>
        <w:ind w:left="2153" w:hanging="453"/>
        <w:jc w:val="left"/>
      </w:pPr>
      <w:rPr>
        <w:rFonts w:ascii="Myriad Pro" w:eastAsia="Myriad Pro" w:hAnsi="Myriad Pro" w:cs="Myriad Pro" w:hint="default"/>
        <w:color w:val="005695"/>
        <w:spacing w:val="-33"/>
        <w:w w:val="100"/>
        <w:sz w:val="52"/>
        <w:szCs w:val="52"/>
        <w:lang w:val="en-US" w:eastAsia="en-US" w:bidi="en-US"/>
      </w:rPr>
    </w:lvl>
    <w:lvl w:ilvl="1">
      <w:start w:val="1"/>
      <w:numFmt w:val="decimal"/>
      <w:lvlText w:val="%1.%2"/>
      <w:lvlJc w:val="left"/>
      <w:pPr>
        <w:ind w:left="2381" w:hanging="681"/>
        <w:jc w:val="left"/>
      </w:pPr>
      <w:rPr>
        <w:rFonts w:ascii="MyriadPro-Semibold" w:eastAsia="MyriadPro-Semibold" w:hAnsi="MyriadPro-Semibold" w:cs="MyriadPro-Semibold" w:hint="default"/>
        <w:b/>
        <w:bCs/>
        <w:color w:val="005695"/>
        <w:spacing w:val="-24"/>
        <w:w w:val="100"/>
        <w:sz w:val="32"/>
        <w:szCs w:val="32"/>
        <w:lang w:val="en-US" w:eastAsia="en-US" w:bidi="en-US"/>
      </w:rPr>
    </w:lvl>
    <w:lvl w:ilvl="2">
      <w:start w:val="1"/>
      <w:numFmt w:val="decimal"/>
      <w:lvlText w:val="%1.%2.%3"/>
      <w:lvlJc w:val="left"/>
      <w:pPr>
        <w:ind w:left="2420" w:hanging="721"/>
        <w:jc w:val="left"/>
      </w:pPr>
      <w:rPr>
        <w:rFonts w:ascii="Myriad Pro" w:eastAsia="Myriad Pro" w:hAnsi="Myriad Pro" w:cs="Myriad Pro" w:hint="default"/>
        <w:color w:val="005695"/>
        <w:spacing w:val="-21"/>
        <w:w w:val="100"/>
        <w:sz w:val="28"/>
        <w:szCs w:val="28"/>
        <w:lang w:val="en-US" w:eastAsia="en-US" w:bidi="en-US"/>
      </w:rPr>
    </w:lvl>
    <w:lvl w:ilvl="3">
      <w:numFmt w:val="bullet"/>
      <w:lvlText w:val="•"/>
      <w:lvlJc w:val="left"/>
      <w:pPr>
        <w:ind w:left="2324" w:hanging="360"/>
      </w:pPr>
      <w:rPr>
        <w:rFonts w:ascii="Adobe Garamond Pro" w:eastAsia="Adobe Garamond Pro" w:hAnsi="Adobe Garamond Pro" w:cs="Adobe Garamond Pro" w:hint="default"/>
        <w:color w:val="231F20"/>
        <w:spacing w:val="-4"/>
        <w:w w:val="98"/>
        <w:sz w:val="20"/>
        <w:szCs w:val="20"/>
        <w:lang w:val="en-US" w:eastAsia="en-US" w:bidi="en-US"/>
      </w:rPr>
    </w:lvl>
    <w:lvl w:ilvl="4">
      <w:numFmt w:val="bullet"/>
      <w:lvlText w:val="•"/>
      <w:lvlJc w:val="left"/>
      <w:pPr>
        <w:ind w:left="3775" w:hanging="360"/>
      </w:pPr>
      <w:rPr>
        <w:rFonts w:hint="default"/>
        <w:lang w:val="en-US" w:eastAsia="en-US" w:bidi="en-US"/>
      </w:rPr>
    </w:lvl>
    <w:lvl w:ilvl="5">
      <w:numFmt w:val="bullet"/>
      <w:lvlText w:val="•"/>
      <w:lvlJc w:val="left"/>
      <w:pPr>
        <w:ind w:left="5130" w:hanging="360"/>
      </w:pPr>
      <w:rPr>
        <w:rFonts w:hint="default"/>
        <w:lang w:val="en-US" w:eastAsia="en-US" w:bidi="en-US"/>
      </w:rPr>
    </w:lvl>
    <w:lvl w:ilvl="6">
      <w:numFmt w:val="bullet"/>
      <w:lvlText w:val="•"/>
      <w:lvlJc w:val="left"/>
      <w:pPr>
        <w:ind w:left="6485" w:hanging="360"/>
      </w:pPr>
      <w:rPr>
        <w:rFonts w:hint="default"/>
        <w:lang w:val="en-US" w:eastAsia="en-US" w:bidi="en-US"/>
      </w:rPr>
    </w:lvl>
    <w:lvl w:ilvl="7">
      <w:numFmt w:val="bullet"/>
      <w:lvlText w:val="•"/>
      <w:lvlJc w:val="left"/>
      <w:pPr>
        <w:ind w:left="7840" w:hanging="360"/>
      </w:pPr>
      <w:rPr>
        <w:rFonts w:hint="default"/>
        <w:lang w:val="en-US" w:eastAsia="en-US" w:bidi="en-US"/>
      </w:rPr>
    </w:lvl>
    <w:lvl w:ilvl="8">
      <w:numFmt w:val="bullet"/>
      <w:lvlText w:val="•"/>
      <w:lvlJc w:val="left"/>
      <w:pPr>
        <w:ind w:left="9195" w:hanging="360"/>
      </w:pPr>
      <w:rPr>
        <w:rFonts w:hint="default"/>
        <w:lang w:val="en-US" w:eastAsia="en-US" w:bidi="en-US"/>
      </w:rPr>
    </w:lvl>
  </w:abstractNum>
  <w:abstractNum w:abstractNumId="9" w15:restartNumberingAfterBreak="0">
    <w:nsid w:val="17A011B1"/>
    <w:multiLevelType w:val="multilevel"/>
    <w:tmpl w:val="DB444128"/>
    <w:lvl w:ilvl="0">
      <w:start w:val="1"/>
      <w:numFmt w:val="decimal"/>
      <w:lvlText w:val="%1."/>
      <w:lvlJc w:val="left"/>
      <w:pPr>
        <w:ind w:left="2060" w:hanging="360"/>
        <w:jc w:val="left"/>
      </w:pPr>
      <w:rPr>
        <w:rFonts w:hint="default"/>
        <w:b/>
        <w:bCs/>
        <w:spacing w:val="-12"/>
        <w:w w:val="100"/>
        <w:lang w:val="en-US" w:eastAsia="en-US" w:bidi="en-US"/>
      </w:rPr>
    </w:lvl>
    <w:lvl w:ilvl="1">
      <w:start w:val="1"/>
      <w:numFmt w:val="decimal"/>
      <w:lvlText w:val="%1.%2"/>
      <w:lvlJc w:val="left"/>
      <w:pPr>
        <w:ind w:left="2381" w:hanging="681"/>
        <w:jc w:val="left"/>
      </w:pPr>
      <w:rPr>
        <w:rFonts w:ascii="MyriadPro-Semibold" w:eastAsia="MyriadPro-Semibold" w:hAnsi="MyriadPro-Semibold" w:cs="MyriadPro-Semibold" w:hint="default"/>
        <w:b/>
        <w:bCs/>
        <w:color w:val="005695"/>
        <w:spacing w:val="-24"/>
        <w:w w:val="100"/>
        <w:sz w:val="32"/>
        <w:szCs w:val="32"/>
        <w:lang w:val="en-US" w:eastAsia="en-US" w:bidi="en-US"/>
      </w:rPr>
    </w:lvl>
    <w:lvl w:ilvl="2">
      <w:numFmt w:val="bullet"/>
      <w:lvlText w:val="•"/>
      <w:lvlJc w:val="left"/>
      <w:pPr>
        <w:ind w:left="3438" w:hanging="681"/>
      </w:pPr>
      <w:rPr>
        <w:rFonts w:hint="default"/>
        <w:lang w:val="en-US" w:eastAsia="en-US" w:bidi="en-US"/>
      </w:rPr>
    </w:lvl>
    <w:lvl w:ilvl="3">
      <w:numFmt w:val="bullet"/>
      <w:lvlText w:val="•"/>
      <w:lvlJc w:val="left"/>
      <w:pPr>
        <w:ind w:left="4496" w:hanging="681"/>
      </w:pPr>
      <w:rPr>
        <w:rFonts w:hint="default"/>
        <w:lang w:val="en-US" w:eastAsia="en-US" w:bidi="en-US"/>
      </w:rPr>
    </w:lvl>
    <w:lvl w:ilvl="4">
      <w:numFmt w:val="bullet"/>
      <w:lvlText w:val="•"/>
      <w:lvlJc w:val="left"/>
      <w:pPr>
        <w:ind w:left="5555" w:hanging="681"/>
      </w:pPr>
      <w:rPr>
        <w:rFonts w:hint="default"/>
        <w:lang w:val="en-US" w:eastAsia="en-US" w:bidi="en-US"/>
      </w:rPr>
    </w:lvl>
    <w:lvl w:ilvl="5">
      <w:numFmt w:val="bullet"/>
      <w:lvlText w:val="•"/>
      <w:lvlJc w:val="left"/>
      <w:pPr>
        <w:ind w:left="6613" w:hanging="681"/>
      </w:pPr>
      <w:rPr>
        <w:rFonts w:hint="default"/>
        <w:lang w:val="en-US" w:eastAsia="en-US" w:bidi="en-US"/>
      </w:rPr>
    </w:lvl>
    <w:lvl w:ilvl="6">
      <w:numFmt w:val="bullet"/>
      <w:lvlText w:val="•"/>
      <w:lvlJc w:val="left"/>
      <w:pPr>
        <w:ind w:left="7671" w:hanging="681"/>
      </w:pPr>
      <w:rPr>
        <w:rFonts w:hint="default"/>
        <w:lang w:val="en-US" w:eastAsia="en-US" w:bidi="en-US"/>
      </w:rPr>
    </w:lvl>
    <w:lvl w:ilvl="7">
      <w:numFmt w:val="bullet"/>
      <w:lvlText w:val="•"/>
      <w:lvlJc w:val="left"/>
      <w:pPr>
        <w:ind w:left="8730" w:hanging="681"/>
      </w:pPr>
      <w:rPr>
        <w:rFonts w:hint="default"/>
        <w:lang w:val="en-US" w:eastAsia="en-US" w:bidi="en-US"/>
      </w:rPr>
    </w:lvl>
    <w:lvl w:ilvl="8">
      <w:numFmt w:val="bullet"/>
      <w:lvlText w:val="•"/>
      <w:lvlJc w:val="left"/>
      <w:pPr>
        <w:ind w:left="9788" w:hanging="681"/>
      </w:pPr>
      <w:rPr>
        <w:rFonts w:hint="default"/>
        <w:lang w:val="en-US" w:eastAsia="en-US" w:bidi="en-US"/>
      </w:rPr>
    </w:lvl>
  </w:abstractNum>
  <w:abstractNum w:abstractNumId="10" w15:restartNumberingAfterBreak="0">
    <w:nsid w:val="19312960"/>
    <w:multiLevelType w:val="hybridMultilevel"/>
    <w:tmpl w:val="EA463FBE"/>
    <w:lvl w:ilvl="0" w:tplc="E1CAAAA0">
      <w:numFmt w:val="bullet"/>
      <w:lvlText w:val="•"/>
      <w:lvlJc w:val="left"/>
      <w:pPr>
        <w:ind w:left="2067" w:hanging="360"/>
      </w:pPr>
      <w:rPr>
        <w:rFonts w:ascii="Adobe Garamond Pro" w:eastAsia="Adobe Garamond Pro" w:hAnsi="Adobe Garamond Pro" w:cs="Adobe Garamond Pro" w:hint="default"/>
        <w:color w:val="231F20"/>
        <w:spacing w:val="-3"/>
        <w:w w:val="100"/>
        <w:sz w:val="20"/>
        <w:szCs w:val="20"/>
        <w:lang w:val="en-US" w:eastAsia="en-US" w:bidi="en-US"/>
      </w:rPr>
    </w:lvl>
    <w:lvl w:ilvl="1" w:tplc="313409CC">
      <w:numFmt w:val="bullet"/>
      <w:lvlText w:val="•"/>
      <w:lvlJc w:val="left"/>
      <w:pPr>
        <w:ind w:left="3044" w:hanging="360"/>
      </w:pPr>
      <w:rPr>
        <w:rFonts w:hint="default"/>
        <w:lang w:val="en-US" w:eastAsia="en-US" w:bidi="en-US"/>
      </w:rPr>
    </w:lvl>
    <w:lvl w:ilvl="2" w:tplc="350C5E20">
      <w:numFmt w:val="bullet"/>
      <w:lvlText w:val="•"/>
      <w:lvlJc w:val="left"/>
      <w:pPr>
        <w:ind w:left="4029" w:hanging="360"/>
      </w:pPr>
      <w:rPr>
        <w:rFonts w:hint="default"/>
        <w:lang w:val="en-US" w:eastAsia="en-US" w:bidi="en-US"/>
      </w:rPr>
    </w:lvl>
    <w:lvl w:ilvl="3" w:tplc="4766934A">
      <w:numFmt w:val="bullet"/>
      <w:lvlText w:val="•"/>
      <w:lvlJc w:val="left"/>
      <w:pPr>
        <w:ind w:left="5013" w:hanging="360"/>
      </w:pPr>
      <w:rPr>
        <w:rFonts w:hint="default"/>
        <w:lang w:val="en-US" w:eastAsia="en-US" w:bidi="en-US"/>
      </w:rPr>
    </w:lvl>
    <w:lvl w:ilvl="4" w:tplc="F0048D1C">
      <w:numFmt w:val="bullet"/>
      <w:lvlText w:val="•"/>
      <w:lvlJc w:val="left"/>
      <w:pPr>
        <w:ind w:left="5998" w:hanging="360"/>
      </w:pPr>
      <w:rPr>
        <w:rFonts w:hint="default"/>
        <w:lang w:val="en-US" w:eastAsia="en-US" w:bidi="en-US"/>
      </w:rPr>
    </w:lvl>
    <w:lvl w:ilvl="5" w:tplc="D1A2E3FC">
      <w:numFmt w:val="bullet"/>
      <w:lvlText w:val="•"/>
      <w:lvlJc w:val="left"/>
      <w:pPr>
        <w:ind w:left="6982" w:hanging="360"/>
      </w:pPr>
      <w:rPr>
        <w:rFonts w:hint="default"/>
        <w:lang w:val="en-US" w:eastAsia="en-US" w:bidi="en-US"/>
      </w:rPr>
    </w:lvl>
    <w:lvl w:ilvl="6" w:tplc="E064ECBC">
      <w:numFmt w:val="bullet"/>
      <w:lvlText w:val="•"/>
      <w:lvlJc w:val="left"/>
      <w:pPr>
        <w:ind w:left="7967" w:hanging="360"/>
      </w:pPr>
      <w:rPr>
        <w:rFonts w:hint="default"/>
        <w:lang w:val="en-US" w:eastAsia="en-US" w:bidi="en-US"/>
      </w:rPr>
    </w:lvl>
    <w:lvl w:ilvl="7" w:tplc="B1BC10BE">
      <w:numFmt w:val="bullet"/>
      <w:lvlText w:val="•"/>
      <w:lvlJc w:val="left"/>
      <w:pPr>
        <w:ind w:left="8951" w:hanging="360"/>
      </w:pPr>
      <w:rPr>
        <w:rFonts w:hint="default"/>
        <w:lang w:val="en-US" w:eastAsia="en-US" w:bidi="en-US"/>
      </w:rPr>
    </w:lvl>
    <w:lvl w:ilvl="8" w:tplc="88EA0E50">
      <w:numFmt w:val="bullet"/>
      <w:lvlText w:val="•"/>
      <w:lvlJc w:val="left"/>
      <w:pPr>
        <w:ind w:left="9936" w:hanging="360"/>
      </w:pPr>
      <w:rPr>
        <w:rFonts w:hint="default"/>
        <w:lang w:val="en-US" w:eastAsia="en-US" w:bidi="en-US"/>
      </w:rPr>
    </w:lvl>
  </w:abstractNum>
  <w:abstractNum w:abstractNumId="11" w15:restartNumberingAfterBreak="0">
    <w:nsid w:val="1C3305B7"/>
    <w:multiLevelType w:val="hybridMultilevel"/>
    <w:tmpl w:val="B7109122"/>
    <w:lvl w:ilvl="0" w:tplc="2F2AB916">
      <w:numFmt w:val="bullet"/>
      <w:lvlText w:val="•"/>
      <w:lvlJc w:val="left"/>
      <w:pPr>
        <w:ind w:left="2060" w:hanging="360"/>
      </w:pPr>
      <w:rPr>
        <w:rFonts w:ascii="Adobe Garamond Pro" w:eastAsia="Adobe Garamond Pro" w:hAnsi="Adobe Garamond Pro" w:cs="Adobe Garamond Pro" w:hint="default"/>
        <w:color w:val="231F20"/>
        <w:spacing w:val="-3"/>
        <w:w w:val="92"/>
        <w:sz w:val="20"/>
        <w:szCs w:val="20"/>
        <w:lang w:val="en-US" w:eastAsia="en-US" w:bidi="en-US"/>
      </w:rPr>
    </w:lvl>
    <w:lvl w:ilvl="1" w:tplc="2DE61C9E">
      <w:numFmt w:val="bullet"/>
      <w:lvlText w:val="–"/>
      <w:lvlJc w:val="left"/>
      <w:pPr>
        <w:ind w:left="2344" w:hanging="360"/>
      </w:pPr>
      <w:rPr>
        <w:rFonts w:ascii="Adobe Garamond Pro" w:eastAsia="Adobe Garamond Pro" w:hAnsi="Adobe Garamond Pro" w:cs="Adobe Garamond Pro" w:hint="default"/>
        <w:color w:val="231F20"/>
        <w:w w:val="100"/>
        <w:sz w:val="20"/>
        <w:szCs w:val="20"/>
        <w:lang w:val="en-US" w:eastAsia="en-US" w:bidi="en-US"/>
      </w:rPr>
    </w:lvl>
    <w:lvl w:ilvl="2" w:tplc="4B927BA0">
      <w:numFmt w:val="bullet"/>
      <w:lvlText w:val="•"/>
      <w:lvlJc w:val="left"/>
      <w:pPr>
        <w:ind w:left="3402" w:hanging="360"/>
      </w:pPr>
      <w:rPr>
        <w:rFonts w:hint="default"/>
        <w:lang w:val="en-US" w:eastAsia="en-US" w:bidi="en-US"/>
      </w:rPr>
    </w:lvl>
    <w:lvl w:ilvl="3" w:tplc="3C8E91A2">
      <w:numFmt w:val="bullet"/>
      <w:lvlText w:val="•"/>
      <w:lvlJc w:val="left"/>
      <w:pPr>
        <w:ind w:left="4465" w:hanging="360"/>
      </w:pPr>
      <w:rPr>
        <w:rFonts w:hint="default"/>
        <w:lang w:val="en-US" w:eastAsia="en-US" w:bidi="en-US"/>
      </w:rPr>
    </w:lvl>
    <w:lvl w:ilvl="4" w:tplc="5A3AFFA8">
      <w:numFmt w:val="bullet"/>
      <w:lvlText w:val="•"/>
      <w:lvlJc w:val="left"/>
      <w:pPr>
        <w:ind w:left="5528" w:hanging="360"/>
      </w:pPr>
      <w:rPr>
        <w:rFonts w:hint="default"/>
        <w:lang w:val="en-US" w:eastAsia="en-US" w:bidi="en-US"/>
      </w:rPr>
    </w:lvl>
    <w:lvl w:ilvl="5" w:tplc="79C4BC8E">
      <w:numFmt w:val="bullet"/>
      <w:lvlText w:val="•"/>
      <w:lvlJc w:val="left"/>
      <w:pPr>
        <w:ind w:left="6591" w:hanging="360"/>
      </w:pPr>
      <w:rPr>
        <w:rFonts w:hint="default"/>
        <w:lang w:val="en-US" w:eastAsia="en-US" w:bidi="en-US"/>
      </w:rPr>
    </w:lvl>
    <w:lvl w:ilvl="6" w:tplc="0ECAB480">
      <w:numFmt w:val="bullet"/>
      <w:lvlText w:val="•"/>
      <w:lvlJc w:val="left"/>
      <w:pPr>
        <w:ind w:left="7654" w:hanging="360"/>
      </w:pPr>
      <w:rPr>
        <w:rFonts w:hint="default"/>
        <w:lang w:val="en-US" w:eastAsia="en-US" w:bidi="en-US"/>
      </w:rPr>
    </w:lvl>
    <w:lvl w:ilvl="7" w:tplc="16F8930A">
      <w:numFmt w:val="bullet"/>
      <w:lvlText w:val="•"/>
      <w:lvlJc w:val="left"/>
      <w:pPr>
        <w:ind w:left="8717" w:hanging="360"/>
      </w:pPr>
      <w:rPr>
        <w:rFonts w:hint="default"/>
        <w:lang w:val="en-US" w:eastAsia="en-US" w:bidi="en-US"/>
      </w:rPr>
    </w:lvl>
    <w:lvl w:ilvl="8" w:tplc="8388881C">
      <w:numFmt w:val="bullet"/>
      <w:lvlText w:val="•"/>
      <w:lvlJc w:val="left"/>
      <w:pPr>
        <w:ind w:left="9779" w:hanging="360"/>
      </w:pPr>
      <w:rPr>
        <w:rFonts w:hint="default"/>
        <w:lang w:val="en-US" w:eastAsia="en-US" w:bidi="en-US"/>
      </w:rPr>
    </w:lvl>
  </w:abstractNum>
  <w:abstractNum w:abstractNumId="12" w15:restartNumberingAfterBreak="0">
    <w:nsid w:val="1ED20B73"/>
    <w:multiLevelType w:val="hybridMultilevel"/>
    <w:tmpl w:val="BC689634"/>
    <w:lvl w:ilvl="0" w:tplc="F1142656">
      <w:start w:val="32"/>
      <w:numFmt w:val="decimal"/>
      <w:lvlText w:val="(%1)"/>
      <w:lvlJc w:val="left"/>
      <w:pPr>
        <w:ind w:left="830" w:hanging="355"/>
        <w:jc w:val="right"/>
      </w:pPr>
      <w:rPr>
        <w:rFonts w:ascii="Arial" w:eastAsia="Arial" w:hAnsi="Arial" w:cs="Arial" w:hint="default"/>
        <w:color w:val="131313"/>
        <w:spacing w:val="-1"/>
        <w:w w:val="92"/>
        <w:sz w:val="14"/>
        <w:szCs w:val="14"/>
        <w:lang w:val="en-US" w:eastAsia="en-US" w:bidi="en-US"/>
      </w:rPr>
    </w:lvl>
    <w:lvl w:ilvl="1" w:tplc="198C5AE8">
      <w:numFmt w:val="bullet"/>
      <w:lvlText w:val="•"/>
      <w:lvlJc w:val="left"/>
      <w:pPr>
        <w:ind w:left="1418" w:hanging="355"/>
      </w:pPr>
      <w:rPr>
        <w:rFonts w:hint="default"/>
        <w:lang w:val="en-US" w:eastAsia="en-US" w:bidi="en-US"/>
      </w:rPr>
    </w:lvl>
    <w:lvl w:ilvl="2" w:tplc="CABC43DE">
      <w:numFmt w:val="bullet"/>
      <w:lvlText w:val="•"/>
      <w:lvlJc w:val="left"/>
      <w:pPr>
        <w:ind w:left="1997" w:hanging="355"/>
      </w:pPr>
      <w:rPr>
        <w:rFonts w:hint="default"/>
        <w:lang w:val="en-US" w:eastAsia="en-US" w:bidi="en-US"/>
      </w:rPr>
    </w:lvl>
    <w:lvl w:ilvl="3" w:tplc="F8601320">
      <w:numFmt w:val="bullet"/>
      <w:lvlText w:val="•"/>
      <w:lvlJc w:val="left"/>
      <w:pPr>
        <w:ind w:left="2576" w:hanging="355"/>
      </w:pPr>
      <w:rPr>
        <w:rFonts w:hint="default"/>
        <w:lang w:val="en-US" w:eastAsia="en-US" w:bidi="en-US"/>
      </w:rPr>
    </w:lvl>
    <w:lvl w:ilvl="4" w:tplc="EF2C0D94">
      <w:numFmt w:val="bullet"/>
      <w:lvlText w:val="•"/>
      <w:lvlJc w:val="left"/>
      <w:pPr>
        <w:ind w:left="3154" w:hanging="355"/>
      </w:pPr>
      <w:rPr>
        <w:rFonts w:hint="default"/>
        <w:lang w:val="en-US" w:eastAsia="en-US" w:bidi="en-US"/>
      </w:rPr>
    </w:lvl>
    <w:lvl w:ilvl="5" w:tplc="5492C846">
      <w:numFmt w:val="bullet"/>
      <w:lvlText w:val="•"/>
      <w:lvlJc w:val="left"/>
      <w:pPr>
        <w:ind w:left="3733" w:hanging="355"/>
      </w:pPr>
      <w:rPr>
        <w:rFonts w:hint="default"/>
        <w:lang w:val="en-US" w:eastAsia="en-US" w:bidi="en-US"/>
      </w:rPr>
    </w:lvl>
    <w:lvl w:ilvl="6" w:tplc="BB7E53E8">
      <w:numFmt w:val="bullet"/>
      <w:lvlText w:val="•"/>
      <w:lvlJc w:val="left"/>
      <w:pPr>
        <w:ind w:left="4312" w:hanging="355"/>
      </w:pPr>
      <w:rPr>
        <w:rFonts w:hint="default"/>
        <w:lang w:val="en-US" w:eastAsia="en-US" w:bidi="en-US"/>
      </w:rPr>
    </w:lvl>
    <w:lvl w:ilvl="7" w:tplc="7FB47CDA">
      <w:numFmt w:val="bullet"/>
      <w:lvlText w:val="•"/>
      <w:lvlJc w:val="left"/>
      <w:pPr>
        <w:ind w:left="4890" w:hanging="355"/>
      </w:pPr>
      <w:rPr>
        <w:rFonts w:hint="default"/>
        <w:lang w:val="en-US" w:eastAsia="en-US" w:bidi="en-US"/>
      </w:rPr>
    </w:lvl>
    <w:lvl w:ilvl="8" w:tplc="4AC4DA26">
      <w:numFmt w:val="bullet"/>
      <w:lvlText w:val="•"/>
      <w:lvlJc w:val="left"/>
      <w:pPr>
        <w:ind w:left="5469" w:hanging="355"/>
      </w:pPr>
      <w:rPr>
        <w:rFonts w:hint="default"/>
        <w:lang w:val="en-US" w:eastAsia="en-US" w:bidi="en-US"/>
      </w:rPr>
    </w:lvl>
  </w:abstractNum>
  <w:abstractNum w:abstractNumId="13" w15:restartNumberingAfterBreak="0">
    <w:nsid w:val="220420EE"/>
    <w:multiLevelType w:val="multilevel"/>
    <w:tmpl w:val="2E7E14D0"/>
    <w:lvl w:ilvl="0">
      <w:start w:val="3"/>
      <w:numFmt w:val="decimal"/>
      <w:lvlText w:val="%1"/>
      <w:lvlJc w:val="left"/>
      <w:pPr>
        <w:ind w:left="972" w:hanging="499"/>
        <w:jc w:val="left"/>
      </w:pPr>
      <w:rPr>
        <w:rFonts w:hint="default"/>
        <w:lang w:val="en-US" w:eastAsia="en-US" w:bidi="en-US"/>
      </w:rPr>
    </w:lvl>
    <w:lvl w:ilvl="1">
      <w:start w:val="2"/>
      <w:numFmt w:val="decimal"/>
      <w:lvlText w:val="%1.%2"/>
      <w:lvlJc w:val="left"/>
      <w:pPr>
        <w:ind w:left="972" w:hanging="499"/>
        <w:jc w:val="left"/>
      </w:pPr>
      <w:rPr>
        <w:rFonts w:hint="default"/>
        <w:lang w:val="en-US" w:eastAsia="en-US" w:bidi="en-US"/>
      </w:rPr>
    </w:lvl>
    <w:lvl w:ilvl="2">
      <w:start w:val="1"/>
      <w:numFmt w:val="decimal"/>
      <w:lvlText w:val="%1.%2.%3"/>
      <w:lvlJc w:val="left"/>
      <w:pPr>
        <w:ind w:left="972" w:hanging="499"/>
        <w:jc w:val="left"/>
      </w:pPr>
      <w:rPr>
        <w:rFonts w:ascii="Arial" w:eastAsia="Arial" w:hAnsi="Arial" w:cs="Arial" w:hint="default"/>
        <w:color w:val="131313"/>
        <w:spacing w:val="-16"/>
        <w:w w:val="106"/>
        <w:sz w:val="14"/>
        <w:szCs w:val="14"/>
        <w:lang w:val="en-US" w:eastAsia="en-US" w:bidi="en-US"/>
      </w:rPr>
    </w:lvl>
    <w:lvl w:ilvl="3">
      <w:numFmt w:val="bullet"/>
      <w:lvlText w:val="•"/>
      <w:lvlJc w:val="left"/>
      <w:pPr>
        <w:ind w:left="1392" w:hanging="499"/>
      </w:pPr>
      <w:rPr>
        <w:rFonts w:hint="default"/>
        <w:lang w:val="en-US" w:eastAsia="en-US" w:bidi="en-US"/>
      </w:rPr>
    </w:lvl>
    <w:lvl w:ilvl="4">
      <w:numFmt w:val="bullet"/>
      <w:lvlText w:val="•"/>
      <w:lvlJc w:val="left"/>
      <w:pPr>
        <w:ind w:left="1530" w:hanging="499"/>
      </w:pPr>
      <w:rPr>
        <w:rFonts w:hint="default"/>
        <w:lang w:val="en-US" w:eastAsia="en-US" w:bidi="en-US"/>
      </w:rPr>
    </w:lvl>
    <w:lvl w:ilvl="5">
      <w:numFmt w:val="bullet"/>
      <w:lvlText w:val="•"/>
      <w:lvlJc w:val="left"/>
      <w:pPr>
        <w:ind w:left="1667" w:hanging="499"/>
      </w:pPr>
      <w:rPr>
        <w:rFonts w:hint="default"/>
        <w:lang w:val="en-US" w:eastAsia="en-US" w:bidi="en-US"/>
      </w:rPr>
    </w:lvl>
    <w:lvl w:ilvl="6">
      <w:numFmt w:val="bullet"/>
      <w:lvlText w:val="•"/>
      <w:lvlJc w:val="left"/>
      <w:pPr>
        <w:ind w:left="1805" w:hanging="499"/>
      </w:pPr>
      <w:rPr>
        <w:rFonts w:hint="default"/>
        <w:lang w:val="en-US" w:eastAsia="en-US" w:bidi="en-US"/>
      </w:rPr>
    </w:lvl>
    <w:lvl w:ilvl="7">
      <w:numFmt w:val="bullet"/>
      <w:lvlText w:val="•"/>
      <w:lvlJc w:val="left"/>
      <w:pPr>
        <w:ind w:left="1942" w:hanging="499"/>
      </w:pPr>
      <w:rPr>
        <w:rFonts w:hint="default"/>
        <w:lang w:val="en-US" w:eastAsia="en-US" w:bidi="en-US"/>
      </w:rPr>
    </w:lvl>
    <w:lvl w:ilvl="8">
      <w:numFmt w:val="bullet"/>
      <w:lvlText w:val="•"/>
      <w:lvlJc w:val="left"/>
      <w:pPr>
        <w:ind w:left="2080" w:hanging="499"/>
      </w:pPr>
      <w:rPr>
        <w:rFonts w:hint="default"/>
        <w:lang w:val="en-US" w:eastAsia="en-US" w:bidi="en-US"/>
      </w:rPr>
    </w:lvl>
  </w:abstractNum>
  <w:abstractNum w:abstractNumId="14" w15:restartNumberingAfterBreak="0">
    <w:nsid w:val="23D37ED1"/>
    <w:multiLevelType w:val="hybridMultilevel"/>
    <w:tmpl w:val="C5EA460C"/>
    <w:lvl w:ilvl="0" w:tplc="8C72897E">
      <w:start w:val="14"/>
      <w:numFmt w:val="decimal"/>
      <w:lvlText w:val="(%1)"/>
      <w:lvlJc w:val="left"/>
      <w:pPr>
        <w:ind w:left="806" w:hanging="353"/>
        <w:jc w:val="left"/>
      </w:pPr>
      <w:rPr>
        <w:rFonts w:ascii="Arial" w:eastAsia="Arial" w:hAnsi="Arial" w:cs="Arial" w:hint="default"/>
        <w:color w:val="131313"/>
        <w:spacing w:val="-1"/>
        <w:w w:val="92"/>
        <w:sz w:val="14"/>
        <w:szCs w:val="14"/>
        <w:lang w:val="en-US" w:eastAsia="en-US" w:bidi="en-US"/>
      </w:rPr>
    </w:lvl>
    <w:lvl w:ilvl="1" w:tplc="2B048D10">
      <w:numFmt w:val="bullet"/>
      <w:lvlText w:val="•"/>
      <w:lvlJc w:val="left"/>
      <w:pPr>
        <w:ind w:left="1380" w:hanging="353"/>
      </w:pPr>
      <w:rPr>
        <w:rFonts w:hint="default"/>
        <w:lang w:val="en-US" w:eastAsia="en-US" w:bidi="en-US"/>
      </w:rPr>
    </w:lvl>
    <w:lvl w:ilvl="2" w:tplc="4008046A">
      <w:numFmt w:val="bullet"/>
      <w:lvlText w:val="•"/>
      <w:lvlJc w:val="left"/>
      <w:pPr>
        <w:ind w:left="1960" w:hanging="353"/>
      </w:pPr>
      <w:rPr>
        <w:rFonts w:hint="default"/>
        <w:lang w:val="en-US" w:eastAsia="en-US" w:bidi="en-US"/>
      </w:rPr>
    </w:lvl>
    <w:lvl w:ilvl="3" w:tplc="9132B6C2">
      <w:numFmt w:val="bullet"/>
      <w:lvlText w:val="•"/>
      <w:lvlJc w:val="left"/>
      <w:pPr>
        <w:ind w:left="2540" w:hanging="353"/>
      </w:pPr>
      <w:rPr>
        <w:rFonts w:hint="default"/>
        <w:lang w:val="en-US" w:eastAsia="en-US" w:bidi="en-US"/>
      </w:rPr>
    </w:lvl>
    <w:lvl w:ilvl="4" w:tplc="AC08375E">
      <w:numFmt w:val="bullet"/>
      <w:lvlText w:val="•"/>
      <w:lvlJc w:val="left"/>
      <w:pPr>
        <w:ind w:left="3120" w:hanging="353"/>
      </w:pPr>
      <w:rPr>
        <w:rFonts w:hint="default"/>
        <w:lang w:val="en-US" w:eastAsia="en-US" w:bidi="en-US"/>
      </w:rPr>
    </w:lvl>
    <w:lvl w:ilvl="5" w:tplc="66D695DE">
      <w:numFmt w:val="bullet"/>
      <w:lvlText w:val="•"/>
      <w:lvlJc w:val="left"/>
      <w:pPr>
        <w:ind w:left="3700" w:hanging="353"/>
      </w:pPr>
      <w:rPr>
        <w:rFonts w:hint="default"/>
        <w:lang w:val="en-US" w:eastAsia="en-US" w:bidi="en-US"/>
      </w:rPr>
    </w:lvl>
    <w:lvl w:ilvl="6" w:tplc="0CCA0A60">
      <w:numFmt w:val="bullet"/>
      <w:lvlText w:val="•"/>
      <w:lvlJc w:val="left"/>
      <w:pPr>
        <w:ind w:left="4281" w:hanging="353"/>
      </w:pPr>
      <w:rPr>
        <w:rFonts w:hint="default"/>
        <w:lang w:val="en-US" w:eastAsia="en-US" w:bidi="en-US"/>
      </w:rPr>
    </w:lvl>
    <w:lvl w:ilvl="7" w:tplc="515CADCA">
      <w:numFmt w:val="bullet"/>
      <w:lvlText w:val="•"/>
      <w:lvlJc w:val="left"/>
      <w:pPr>
        <w:ind w:left="4861" w:hanging="353"/>
      </w:pPr>
      <w:rPr>
        <w:rFonts w:hint="default"/>
        <w:lang w:val="en-US" w:eastAsia="en-US" w:bidi="en-US"/>
      </w:rPr>
    </w:lvl>
    <w:lvl w:ilvl="8" w:tplc="AE16188C">
      <w:numFmt w:val="bullet"/>
      <w:lvlText w:val="•"/>
      <w:lvlJc w:val="left"/>
      <w:pPr>
        <w:ind w:left="5441" w:hanging="353"/>
      </w:pPr>
      <w:rPr>
        <w:rFonts w:hint="default"/>
        <w:lang w:val="en-US" w:eastAsia="en-US" w:bidi="en-US"/>
      </w:rPr>
    </w:lvl>
  </w:abstractNum>
  <w:abstractNum w:abstractNumId="15" w15:restartNumberingAfterBreak="0">
    <w:nsid w:val="26775FB7"/>
    <w:multiLevelType w:val="hybridMultilevel"/>
    <w:tmpl w:val="58FE97CE"/>
    <w:lvl w:ilvl="0" w:tplc="42287532">
      <w:start w:val="1"/>
      <w:numFmt w:val="decimal"/>
      <w:lvlText w:val="%1."/>
      <w:lvlJc w:val="left"/>
      <w:pPr>
        <w:ind w:left="760" w:hanging="360"/>
        <w:jc w:val="left"/>
      </w:pPr>
      <w:rPr>
        <w:rFonts w:ascii="Adobe Garamond Pro" w:eastAsia="Adobe Garamond Pro" w:hAnsi="Adobe Garamond Pro" w:cs="Adobe Garamond Pro" w:hint="default"/>
        <w:color w:val="231F20"/>
        <w:spacing w:val="-3"/>
        <w:w w:val="100"/>
        <w:sz w:val="19"/>
        <w:szCs w:val="19"/>
        <w:lang w:val="en-US" w:eastAsia="en-US" w:bidi="en-US"/>
      </w:rPr>
    </w:lvl>
    <w:lvl w:ilvl="1" w:tplc="A0B852E2">
      <w:start w:val="1"/>
      <w:numFmt w:val="lowerLetter"/>
      <w:lvlText w:val="%2)"/>
      <w:lvlJc w:val="left"/>
      <w:pPr>
        <w:ind w:left="1160" w:hanging="139"/>
        <w:jc w:val="left"/>
      </w:pPr>
      <w:rPr>
        <w:rFonts w:ascii="Adobe Garamond Pro" w:eastAsia="Adobe Garamond Pro" w:hAnsi="Adobe Garamond Pro" w:cs="Adobe Garamond Pro" w:hint="default"/>
        <w:color w:val="231F20"/>
        <w:w w:val="100"/>
        <w:sz w:val="17"/>
        <w:szCs w:val="17"/>
        <w:lang w:val="en-US" w:eastAsia="en-US" w:bidi="en-US"/>
      </w:rPr>
    </w:lvl>
    <w:lvl w:ilvl="2" w:tplc="FC200608">
      <w:numFmt w:val="bullet"/>
      <w:lvlText w:val="•"/>
      <w:lvlJc w:val="left"/>
      <w:pPr>
        <w:ind w:left="2065" w:hanging="139"/>
      </w:pPr>
      <w:rPr>
        <w:rFonts w:hint="default"/>
        <w:lang w:val="en-US" w:eastAsia="en-US" w:bidi="en-US"/>
      </w:rPr>
    </w:lvl>
    <w:lvl w:ilvl="3" w:tplc="C49C0CC2">
      <w:numFmt w:val="bullet"/>
      <w:lvlText w:val="•"/>
      <w:lvlJc w:val="left"/>
      <w:pPr>
        <w:ind w:left="2970" w:hanging="139"/>
      </w:pPr>
      <w:rPr>
        <w:rFonts w:hint="default"/>
        <w:lang w:val="en-US" w:eastAsia="en-US" w:bidi="en-US"/>
      </w:rPr>
    </w:lvl>
    <w:lvl w:ilvl="4" w:tplc="CA747E20">
      <w:numFmt w:val="bullet"/>
      <w:lvlText w:val="•"/>
      <w:lvlJc w:val="left"/>
      <w:pPr>
        <w:ind w:left="3875" w:hanging="139"/>
      </w:pPr>
      <w:rPr>
        <w:rFonts w:hint="default"/>
        <w:lang w:val="en-US" w:eastAsia="en-US" w:bidi="en-US"/>
      </w:rPr>
    </w:lvl>
    <w:lvl w:ilvl="5" w:tplc="32CC4C86">
      <w:numFmt w:val="bullet"/>
      <w:lvlText w:val="•"/>
      <w:lvlJc w:val="left"/>
      <w:pPr>
        <w:ind w:left="4780" w:hanging="139"/>
      </w:pPr>
      <w:rPr>
        <w:rFonts w:hint="default"/>
        <w:lang w:val="en-US" w:eastAsia="en-US" w:bidi="en-US"/>
      </w:rPr>
    </w:lvl>
    <w:lvl w:ilvl="6" w:tplc="2EEC8226">
      <w:numFmt w:val="bullet"/>
      <w:lvlText w:val="•"/>
      <w:lvlJc w:val="left"/>
      <w:pPr>
        <w:ind w:left="5685" w:hanging="139"/>
      </w:pPr>
      <w:rPr>
        <w:rFonts w:hint="default"/>
        <w:lang w:val="en-US" w:eastAsia="en-US" w:bidi="en-US"/>
      </w:rPr>
    </w:lvl>
    <w:lvl w:ilvl="7" w:tplc="8BCA5AE4">
      <w:numFmt w:val="bullet"/>
      <w:lvlText w:val="•"/>
      <w:lvlJc w:val="left"/>
      <w:pPr>
        <w:ind w:left="6590" w:hanging="139"/>
      </w:pPr>
      <w:rPr>
        <w:rFonts w:hint="default"/>
        <w:lang w:val="en-US" w:eastAsia="en-US" w:bidi="en-US"/>
      </w:rPr>
    </w:lvl>
    <w:lvl w:ilvl="8" w:tplc="45261B80">
      <w:numFmt w:val="bullet"/>
      <w:lvlText w:val="•"/>
      <w:lvlJc w:val="left"/>
      <w:pPr>
        <w:ind w:left="7495" w:hanging="139"/>
      </w:pPr>
      <w:rPr>
        <w:rFonts w:hint="default"/>
        <w:lang w:val="en-US" w:eastAsia="en-US" w:bidi="en-US"/>
      </w:rPr>
    </w:lvl>
  </w:abstractNum>
  <w:abstractNum w:abstractNumId="16" w15:restartNumberingAfterBreak="0">
    <w:nsid w:val="2B423E00"/>
    <w:multiLevelType w:val="hybridMultilevel"/>
    <w:tmpl w:val="6E16A640"/>
    <w:lvl w:ilvl="0" w:tplc="6F6CE1DA">
      <w:numFmt w:val="bullet"/>
      <w:lvlText w:val="•"/>
      <w:lvlJc w:val="left"/>
      <w:pPr>
        <w:ind w:left="2060" w:hanging="360"/>
      </w:pPr>
      <w:rPr>
        <w:rFonts w:ascii="Adobe Garamond Pro" w:eastAsia="Adobe Garamond Pro" w:hAnsi="Adobe Garamond Pro" w:cs="Adobe Garamond Pro" w:hint="default"/>
        <w:color w:val="231F20"/>
        <w:spacing w:val="-3"/>
        <w:w w:val="100"/>
        <w:sz w:val="20"/>
        <w:szCs w:val="20"/>
        <w:lang w:val="en-US" w:eastAsia="en-US" w:bidi="en-US"/>
      </w:rPr>
    </w:lvl>
    <w:lvl w:ilvl="1" w:tplc="2DA09886">
      <w:numFmt w:val="bullet"/>
      <w:lvlText w:val="•"/>
      <w:lvlJc w:val="left"/>
      <w:pPr>
        <w:ind w:left="3044" w:hanging="360"/>
      </w:pPr>
      <w:rPr>
        <w:rFonts w:hint="default"/>
        <w:lang w:val="en-US" w:eastAsia="en-US" w:bidi="en-US"/>
      </w:rPr>
    </w:lvl>
    <w:lvl w:ilvl="2" w:tplc="F86C1448">
      <w:numFmt w:val="bullet"/>
      <w:lvlText w:val="•"/>
      <w:lvlJc w:val="left"/>
      <w:pPr>
        <w:ind w:left="4029" w:hanging="360"/>
      </w:pPr>
      <w:rPr>
        <w:rFonts w:hint="default"/>
        <w:lang w:val="en-US" w:eastAsia="en-US" w:bidi="en-US"/>
      </w:rPr>
    </w:lvl>
    <w:lvl w:ilvl="3" w:tplc="5BA4F5F2">
      <w:numFmt w:val="bullet"/>
      <w:lvlText w:val="•"/>
      <w:lvlJc w:val="left"/>
      <w:pPr>
        <w:ind w:left="5013" w:hanging="360"/>
      </w:pPr>
      <w:rPr>
        <w:rFonts w:hint="default"/>
        <w:lang w:val="en-US" w:eastAsia="en-US" w:bidi="en-US"/>
      </w:rPr>
    </w:lvl>
    <w:lvl w:ilvl="4" w:tplc="0524835C">
      <w:numFmt w:val="bullet"/>
      <w:lvlText w:val="•"/>
      <w:lvlJc w:val="left"/>
      <w:pPr>
        <w:ind w:left="5998" w:hanging="360"/>
      </w:pPr>
      <w:rPr>
        <w:rFonts w:hint="default"/>
        <w:lang w:val="en-US" w:eastAsia="en-US" w:bidi="en-US"/>
      </w:rPr>
    </w:lvl>
    <w:lvl w:ilvl="5" w:tplc="E2CEBE4A">
      <w:numFmt w:val="bullet"/>
      <w:lvlText w:val="•"/>
      <w:lvlJc w:val="left"/>
      <w:pPr>
        <w:ind w:left="6982" w:hanging="360"/>
      </w:pPr>
      <w:rPr>
        <w:rFonts w:hint="default"/>
        <w:lang w:val="en-US" w:eastAsia="en-US" w:bidi="en-US"/>
      </w:rPr>
    </w:lvl>
    <w:lvl w:ilvl="6" w:tplc="C4E052C2">
      <w:numFmt w:val="bullet"/>
      <w:lvlText w:val="•"/>
      <w:lvlJc w:val="left"/>
      <w:pPr>
        <w:ind w:left="7967" w:hanging="360"/>
      </w:pPr>
      <w:rPr>
        <w:rFonts w:hint="default"/>
        <w:lang w:val="en-US" w:eastAsia="en-US" w:bidi="en-US"/>
      </w:rPr>
    </w:lvl>
    <w:lvl w:ilvl="7" w:tplc="3FD089C0">
      <w:numFmt w:val="bullet"/>
      <w:lvlText w:val="•"/>
      <w:lvlJc w:val="left"/>
      <w:pPr>
        <w:ind w:left="8951" w:hanging="360"/>
      </w:pPr>
      <w:rPr>
        <w:rFonts w:hint="default"/>
        <w:lang w:val="en-US" w:eastAsia="en-US" w:bidi="en-US"/>
      </w:rPr>
    </w:lvl>
    <w:lvl w:ilvl="8" w:tplc="FDE6EDF2">
      <w:numFmt w:val="bullet"/>
      <w:lvlText w:val="•"/>
      <w:lvlJc w:val="left"/>
      <w:pPr>
        <w:ind w:left="9936" w:hanging="360"/>
      </w:pPr>
      <w:rPr>
        <w:rFonts w:hint="default"/>
        <w:lang w:val="en-US" w:eastAsia="en-US" w:bidi="en-US"/>
      </w:rPr>
    </w:lvl>
  </w:abstractNum>
  <w:abstractNum w:abstractNumId="17" w15:restartNumberingAfterBreak="0">
    <w:nsid w:val="2B772738"/>
    <w:multiLevelType w:val="multilevel"/>
    <w:tmpl w:val="BF7ED0BC"/>
    <w:lvl w:ilvl="0">
      <w:start w:val="2"/>
      <w:numFmt w:val="decimal"/>
      <w:lvlText w:val="%1"/>
      <w:lvlJc w:val="left"/>
      <w:pPr>
        <w:ind w:left="972" w:hanging="498"/>
        <w:jc w:val="left"/>
      </w:pPr>
      <w:rPr>
        <w:rFonts w:hint="default"/>
        <w:lang w:val="en-US" w:eastAsia="en-US" w:bidi="en-US"/>
      </w:rPr>
    </w:lvl>
    <w:lvl w:ilvl="1">
      <w:start w:val="4"/>
      <w:numFmt w:val="decimal"/>
      <w:lvlText w:val="%1.%2"/>
      <w:lvlJc w:val="left"/>
      <w:pPr>
        <w:ind w:left="972" w:hanging="498"/>
        <w:jc w:val="left"/>
      </w:pPr>
      <w:rPr>
        <w:rFonts w:hint="default"/>
        <w:lang w:val="en-US" w:eastAsia="en-US" w:bidi="en-US"/>
      </w:rPr>
    </w:lvl>
    <w:lvl w:ilvl="2">
      <w:start w:val="14"/>
      <w:numFmt w:val="decimal"/>
      <w:lvlText w:val="%1.%2.%3"/>
      <w:lvlJc w:val="left"/>
      <w:pPr>
        <w:ind w:left="972" w:hanging="498"/>
        <w:jc w:val="left"/>
      </w:pPr>
      <w:rPr>
        <w:rFonts w:ascii="Arial" w:eastAsia="Arial" w:hAnsi="Arial" w:cs="Arial" w:hint="default"/>
        <w:color w:val="131313"/>
        <w:spacing w:val="-14"/>
        <w:w w:val="106"/>
        <w:sz w:val="14"/>
        <w:szCs w:val="14"/>
        <w:lang w:val="en-US" w:eastAsia="en-US" w:bidi="en-US"/>
      </w:rPr>
    </w:lvl>
    <w:lvl w:ilvl="3">
      <w:numFmt w:val="bullet"/>
      <w:lvlText w:val="•"/>
      <w:lvlJc w:val="left"/>
      <w:pPr>
        <w:ind w:left="1553" w:hanging="498"/>
      </w:pPr>
      <w:rPr>
        <w:rFonts w:hint="default"/>
        <w:lang w:val="en-US" w:eastAsia="en-US" w:bidi="en-US"/>
      </w:rPr>
    </w:lvl>
    <w:lvl w:ilvl="4">
      <w:numFmt w:val="bullet"/>
      <w:lvlText w:val="•"/>
      <w:lvlJc w:val="left"/>
      <w:pPr>
        <w:ind w:left="1744" w:hanging="498"/>
      </w:pPr>
      <w:rPr>
        <w:rFonts w:hint="default"/>
        <w:lang w:val="en-US" w:eastAsia="en-US" w:bidi="en-US"/>
      </w:rPr>
    </w:lvl>
    <w:lvl w:ilvl="5">
      <w:numFmt w:val="bullet"/>
      <w:lvlText w:val="•"/>
      <w:lvlJc w:val="left"/>
      <w:pPr>
        <w:ind w:left="1936" w:hanging="498"/>
      </w:pPr>
      <w:rPr>
        <w:rFonts w:hint="default"/>
        <w:lang w:val="en-US" w:eastAsia="en-US" w:bidi="en-US"/>
      </w:rPr>
    </w:lvl>
    <w:lvl w:ilvl="6">
      <w:numFmt w:val="bullet"/>
      <w:lvlText w:val="•"/>
      <w:lvlJc w:val="left"/>
      <w:pPr>
        <w:ind w:left="2127" w:hanging="498"/>
      </w:pPr>
      <w:rPr>
        <w:rFonts w:hint="default"/>
        <w:lang w:val="en-US" w:eastAsia="en-US" w:bidi="en-US"/>
      </w:rPr>
    </w:lvl>
    <w:lvl w:ilvl="7">
      <w:numFmt w:val="bullet"/>
      <w:lvlText w:val="•"/>
      <w:lvlJc w:val="left"/>
      <w:pPr>
        <w:ind w:left="2318" w:hanging="498"/>
      </w:pPr>
      <w:rPr>
        <w:rFonts w:hint="default"/>
        <w:lang w:val="en-US" w:eastAsia="en-US" w:bidi="en-US"/>
      </w:rPr>
    </w:lvl>
    <w:lvl w:ilvl="8">
      <w:numFmt w:val="bullet"/>
      <w:lvlText w:val="•"/>
      <w:lvlJc w:val="left"/>
      <w:pPr>
        <w:ind w:left="2509" w:hanging="498"/>
      </w:pPr>
      <w:rPr>
        <w:rFonts w:hint="default"/>
        <w:lang w:val="en-US" w:eastAsia="en-US" w:bidi="en-US"/>
      </w:rPr>
    </w:lvl>
  </w:abstractNum>
  <w:abstractNum w:abstractNumId="18" w15:restartNumberingAfterBreak="0">
    <w:nsid w:val="2D024F1C"/>
    <w:multiLevelType w:val="hybridMultilevel"/>
    <w:tmpl w:val="445A8620"/>
    <w:lvl w:ilvl="0" w:tplc="0A64DAB8">
      <w:start w:val="1"/>
      <w:numFmt w:val="decimal"/>
      <w:lvlText w:val="%1."/>
      <w:lvlJc w:val="left"/>
      <w:pPr>
        <w:ind w:left="657" w:hanging="360"/>
        <w:jc w:val="left"/>
      </w:pPr>
      <w:rPr>
        <w:rFonts w:ascii="Adobe Garamond Pro" w:eastAsia="Adobe Garamond Pro" w:hAnsi="Adobe Garamond Pro" w:cs="Adobe Garamond Pro" w:hint="default"/>
        <w:color w:val="231F20"/>
        <w:spacing w:val="-3"/>
        <w:w w:val="100"/>
        <w:sz w:val="20"/>
        <w:szCs w:val="20"/>
        <w:lang w:val="en-US" w:eastAsia="en-US" w:bidi="en-US"/>
      </w:rPr>
    </w:lvl>
    <w:lvl w:ilvl="1" w:tplc="7B1C54EA">
      <w:numFmt w:val="bullet"/>
      <w:lvlText w:val="•"/>
      <w:lvlJc w:val="left"/>
      <w:pPr>
        <w:ind w:left="1473" w:hanging="360"/>
      </w:pPr>
      <w:rPr>
        <w:rFonts w:hint="default"/>
        <w:lang w:val="en-US" w:eastAsia="en-US" w:bidi="en-US"/>
      </w:rPr>
    </w:lvl>
    <w:lvl w:ilvl="2" w:tplc="E9AE7A16">
      <w:numFmt w:val="bullet"/>
      <w:lvlText w:val="•"/>
      <w:lvlJc w:val="left"/>
      <w:pPr>
        <w:ind w:left="2286" w:hanging="360"/>
      </w:pPr>
      <w:rPr>
        <w:rFonts w:hint="default"/>
        <w:lang w:val="en-US" w:eastAsia="en-US" w:bidi="en-US"/>
      </w:rPr>
    </w:lvl>
    <w:lvl w:ilvl="3" w:tplc="35D20CBC">
      <w:numFmt w:val="bullet"/>
      <w:lvlText w:val="•"/>
      <w:lvlJc w:val="left"/>
      <w:pPr>
        <w:ind w:left="3100" w:hanging="360"/>
      </w:pPr>
      <w:rPr>
        <w:rFonts w:hint="default"/>
        <w:lang w:val="en-US" w:eastAsia="en-US" w:bidi="en-US"/>
      </w:rPr>
    </w:lvl>
    <w:lvl w:ilvl="4" w:tplc="F6303082">
      <w:numFmt w:val="bullet"/>
      <w:lvlText w:val="•"/>
      <w:lvlJc w:val="left"/>
      <w:pPr>
        <w:ind w:left="3913" w:hanging="360"/>
      </w:pPr>
      <w:rPr>
        <w:rFonts w:hint="default"/>
        <w:lang w:val="en-US" w:eastAsia="en-US" w:bidi="en-US"/>
      </w:rPr>
    </w:lvl>
    <w:lvl w:ilvl="5" w:tplc="64600BD6">
      <w:numFmt w:val="bullet"/>
      <w:lvlText w:val="•"/>
      <w:lvlJc w:val="left"/>
      <w:pPr>
        <w:ind w:left="4726" w:hanging="360"/>
      </w:pPr>
      <w:rPr>
        <w:rFonts w:hint="default"/>
        <w:lang w:val="en-US" w:eastAsia="en-US" w:bidi="en-US"/>
      </w:rPr>
    </w:lvl>
    <w:lvl w:ilvl="6" w:tplc="8DF0D60E">
      <w:numFmt w:val="bullet"/>
      <w:lvlText w:val="•"/>
      <w:lvlJc w:val="left"/>
      <w:pPr>
        <w:ind w:left="5540" w:hanging="360"/>
      </w:pPr>
      <w:rPr>
        <w:rFonts w:hint="default"/>
        <w:lang w:val="en-US" w:eastAsia="en-US" w:bidi="en-US"/>
      </w:rPr>
    </w:lvl>
    <w:lvl w:ilvl="7" w:tplc="9698DFA4">
      <w:numFmt w:val="bullet"/>
      <w:lvlText w:val="•"/>
      <w:lvlJc w:val="left"/>
      <w:pPr>
        <w:ind w:left="6353" w:hanging="360"/>
      </w:pPr>
      <w:rPr>
        <w:rFonts w:hint="default"/>
        <w:lang w:val="en-US" w:eastAsia="en-US" w:bidi="en-US"/>
      </w:rPr>
    </w:lvl>
    <w:lvl w:ilvl="8" w:tplc="43A46816">
      <w:numFmt w:val="bullet"/>
      <w:lvlText w:val="•"/>
      <w:lvlJc w:val="left"/>
      <w:pPr>
        <w:ind w:left="7167" w:hanging="360"/>
      </w:pPr>
      <w:rPr>
        <w:rFonts w:hint="default"/>
        <w:lang w:val="en-US" w:eastAsia="en-US" w:bidi="en-US"/>
      </w:rPr>
    </w:lvl>
  </w:abstractNum>
  <w:abstractNum w:abstractNumId="19" w15:restartNumberingAfterBreak="0">
    <w:nsid w:val="2D6E040D"/>
    <w:multiLevelType w:val="hybridMultilevel"/>
    <w:tmpl w:val="3A005DBA"/>
    <w:lvl w:ilvl="0" w:tplc="1D1E7018">
      <w:start w:val="1"/>
      <w:numFmt w:val="decimal"/>
      <w:lvlText w:val="%1."/>
      <w:lvlJc w:val="left"/>
      <w:pPr>
        <w:ind w:left="760" w:hanging="360"/>
        <w:jc w:val="left"/>
      </w:pPr>
      <w:rPr>
        <w:rFonts w:ascii="Adobe Garamond Pro" w:eastAsia="Adobe Garamond Pro" w:hAnsi="Adobe Garamond Pro" w:cs="Adobe Garamond Pro" w:hint="default"/>
        <w:color w:val="231F20"/>
        <w:spacing w:val="-3"/>
        <w:w w:val="100"/>
        <w:sz w:val="19"/>
        <w:szCs w:val="19"/>
        <w:lang w:val="en-US" w:eastAsia="en-US" w:bidi="en-US"/>
      </w:rPr>
    </w:lvl>
    <w:lvl w:ilvl="1" w:tplc="DD34A2CC">
      <w:numFmt w:val="bullet"/>
      <w:lvlText w:val="•"/>
      <w:lvlJc w:val="left"/>
      <w:pPr>
        <w:ind w:left="1614" w:hanging="360"/>
      </w:pPr>
      <w:rPr>
        <w:rFonts w:hint="default"/>
        <w:lang w:val="en-US" w:eastAsia="en-US" w:bidi="en-US"/>
      </w:rPr>
    </w:lvl>
    <w:lvl w:ilvl="2" w:tplc="0164BC2C">
      <w:numFmt w:val="bullet"/>
      <w:lvlText w:val="•"/>
      <w:lvlJc w:val="left"/>
      <w:pPr>
        <w:ind w:left="2469" w:hanging="360"/>
      </w:pPr>
      <w:rPr>
        <w:rFonts w:hint="default"/>
        <w:lang w:val="en-US" w:eastAsia="en-US" w:bidi="en-US"/>
      </w:rPr>
    </w:lvl>
    <w:lvl w:ilvl="3" w:tplc="57DE680C">
      <w:numFmt w:val="bullet"/>
      <w:lvlText w:val="•"/>
      <w:lvlJc w:val="left"/>
      <w:pPr>
        <w:ind w:left="3323" w:hanging="360"/>
      </w:pPr>
      <w:rPr>
        <w:rFonts w:hint="default"/>
        <w:lang w:val="en-US" w:eastAsia="en-US" w:bidi="en-US"/>
      </w:rPr>
    </w:lvl>
    <w:lvl w:ilvl="4" w:tplc="34BC86A4">
      <w:numFmt w:val="bullet"/>
      <w:lvlText w:val="•"/>
      <w:lvlJc w:val="left"/>
      <w:pPr>
        <w:ind w:left="4178" w:hanging="360"/>
      </w:pPr>
      <w:rPr>
        <w:rFonts w:hint="default"/>
        <w:lang w:val="en-US" w:eastAsia="en-US" w:bidi="en-US"/>
      </w:rPr>
    </w:lvl>
    <w:lvl w:ilvl="5" w:tplc="DD941CF4">
      <w:numFmt w:val="bullet"/>
      <w:lvlText w:val="•"/>
      <w:lvlJc w:val="left"/>
      <w:pPr>
        <w:ind w:left="5032" w:hanging="360"/>
      </w:pPr>
      <w:rPr>
        <w:rFonts w:hint="default"/>
        <w:lang w:val="en-US" w:eastAsia="en-US" w:bidi="en-US"/>
      </w:rPr>
    </w:lvl>
    <w:lvl w:ilvl="6" w:tplc="1DAA627E">
      <w:numFmt w:val="bullet"/>
      <w:lvlText w:val="•"/>
      <w:lvlJc w:val="left"/>
      <w:pPr>
        <w:ind w:left="5887" w:hanging="360"/>
      </w:pPr>
      <w:rPr>
        <w:rFonts w:hint="default"/>
        <w:lang w:val="en-US" w:eastAsia="en-US" w:bidi="en-US"/>
      </w:rPr>
    </w:lvl>
    <w:lvl w:ilvl="7" w:tplc="1638B73E">
      <w:numFmt w:val="bullet"/>
      <w:lvlText w:val="•"/>
      <w:lvlJc w:val="left"/>
      <w:pPr>
        <w:ind w:left="6741" w:hanging="360"/>
      </w:pPr>
      <w:rPr>
        <w:rFonts w:hint="default"/>
        <w:lang w:val="en-US" w:eastAsia="en-US" w:bidi="en-US"/>
      </w:rPr>
    </w:lvl>
    <w:lvl w:ilvl="8" w:tplc="5A74A8AE">
      <w:numFmt w:val="bullet"/>
      <w:lvlText w:val="•"/>
      <w:lvlJc w:val="left"/>
      <w:pPr>
        <w:ind w:left="7596" w:hanging="360"/>
      </w:pPr>
      <w:rPr>
        <w:rFonts w:hint="default"/>
        <w:lang w:val="en-US" w:eastAsia="en-US" w:bidi="en-US"/>
      </w:rPr>
    </w:lvl>
  </w:abstractNum>
  <w:abstractNum w:abstractNumId="20" w15:restartNumberingAfterBreak="0">
    <w:nsid w:val="3A26074E"/>
    <w:multiLevelType w:val="hybridMultilevel"/>
    <w:tmpl w:val="C5501136"/>
    <w:lvl w:ilvl="0" w:tplc="9012718A">
      <w:start w:val="2"/>
      <w:numFmt w:val="decimal"/>
      <w:lvlText w:val="%1"/>
      <w:lvlJc w:val="left"/>
      <w:pPr>
        <w:ind w:left="1927" w:hanging="160"/>
        <w:jc w:val="left"/>
      </w:pPr>
      <w:rPr>
        <w:rFonts w:ascii="Adobe Garamond Pro" w:eastAsia="Adobe Garamond Pro" w:hAnsi="Adobe Garamond Pro" w:cs="Adobe Garamond Pro" w:hint="default"/>
        <w:color w:val="231F20"/>
        <w:spacing w:val="-4"/>
        <w:w w:val="92"/>
        <w:sz w:val="16"/>
        <w:szCs w:val="16"/>
        <w:lang w:val="en-US" w:eastAsia="en-US" w:bidi="en-US"/>
      </w:rPr>
    </w:lvl>
    <w:lvl w:ilvl="1" w:tplc="25FCC120">
      <w:numFmt w:val="bullet"/>
      <w:lvlText w:val="•"/>
      <w:lvlJc w:val="left"/>
      <w:pPr>
        <w:ind w:left="2918" w:hanging="160"/>
      </w:pPr>
      <w:rPr>
        <w:rFonts w:hint="default"/>
        <w:lang w:val="en-US" w:eastAsia="en-US" w:bidi="en-US"/>
      </w:rPr>
    </w:lvl>
    <w:lvl w:ilvl="2" w:tplc="6B38B10E">
      <w:numFmt w:val="bullet"/>
      <w:lvlText w:val="•"/>
      <w:lvlJc w:val="left"/>
      <w:pPr>
        <w:ind w:left="3917" w:hanging="160"/>
      </w:pPr>
      <w:rPr>
        <w:rFonts w:hint="default"/>
        <w:lang w:val="en-US" w:eastAsia="en-US" w:bidi="en-US"/>
      </w:rPr>
    </w:lvl>
    <w:lvl w:ilvl="3" w:tplc="F3C45994">
      <w:numFmt w:val="bullet"/>
      <w:lvlText w:val="•"/>
      <w:lvlJc w:val="left"/>
      <w:pPr>
        <w:ind w:left="4915" w:hanging="160"/>
      </w:pPr>
      <w:rPr>
        <w:rFonts w:hint="default"/>
        <w:lang w:val="en-US" w:eastAsia="en-US" w:bidi="en-US"/>
      </w:rPr>
    </w:lvl>
    <w:lvl w:ilvl="4" w:tplc="101C6D3C">
      <w:numFmt w:val="bullet"/>
      <w:lvlText w:val="•"/>
      <w:lvlJc w:val="left"/>
      <w:pPr>
        <w:ind w:left="5914" w:hanging="160"/>
      </w:pPr>
      <w:rPr>
        <w:rFonts w:hint="default"/>
        <w:lang w:val="en-US" w:eastAsia="en-US" w:bidi="en-US"/>
      </w:rPr>
    </w:lvl>
    <w:lvl w:ilvl="5" w:tplc="0508831A">
      <w:numFmt w:val="bullet"/>
      <w:lvlText w:val="•"/>
      <w:lvlJc w:val="left"/>
      <w:pPr>
        <w:ind w:left="6912" w:hanging="160"/>
      </w:pPr>
      <w:rPr>
        <w:rFonts w:hint="default"/>
        <w:lang w:val="en-US" w:eastAsia="en-US" w:bidi="en-US"/>
      </w:rPr>
    </w:lvl>
    <w:lvl w:ilvl="6" w:tplc="FAD2EF9C">
      <w:numFmt w:val="bullet"/>
      <w:lvlText w:val="•"/>
      <w:lvlJc w:val="left"/>
      <w:pPr>
        <w:ind w:left="7911" w:hanging="160"/>
      </w:pPr>
      <w:rPr>
        <w:rFonts w:hint="default"/>
        <w:lang w:val="en-US" w:eastAsia="en-US" w:bidi="en-US"/>
      </w:rPr>
    </w:lvl>
    <w:lvl w:ilvl="7" w:tplc="B7E082AC">
      <w:numFmt w:val="bullet"/>
      <w:lvlText w:val="•"/>
      <w:lvlJc w:val="left"/>
      <w:pPr>
        <w:ind w:left="8909" w:hanging="160"/>
      </w:pPr>
      <w:rPr>
        <w:rFonts w:hint="default"/>
        <w:lang w:val="en-US" w:eastAsia="en-US" w:bidi="en-US"/>
      </w:rPr>
    </w:lvl>
    <w:lvl w:ilvl="8" w:tplc="8E54CCE6">
      <w:numFmt w:val="bullet"/>
      <w:lvlText w:val="•"/>
      <w:lvlJc w:val="left"/>
      <w:pPr>
        <w:ind w:left="9908" w:hanging="160"/>
      </w:pPr>
      <w:rPr>
        <w:rFonts w:hint="default"/>
        <w:lang w:val="en-US" w:eastAsia="en-US" w:bidi="en-US"/>
      </w:rPr>
    </w:lvl>
  </w:abstractNum>
  <w:abstractNum w:abstractNumId="21" w15:restartNumberingAfterBreak="0">
    <w:nsid w:val="3C50045E"/>
    <w:multiLevelType w:val="multilevel"/>
    <w:tmpl w:val="7BC81422"/>
    <w:lvl w:ilvl="0">
      <w:start w:val="3"/>
      <w:numFmt w:val="decimal"/>
      <w:lvlText w:val="%1"/>
      <w:lvlJc w:val="left"/>
      <w:pPr>
        <w:ind w:left="973" w:hanging="501"/>
        <w:jc w:val="left"/>
      </w:pPr>
      <w:rPr>
        <w:rFonts w:hint="default"/>
        <w:lang w:val="en-US" w:eastAsia="en-US" w:bidi="en-US"/>
      </w:rPr>
    </w:lvl>
    <w:lvl w:ilvl="1">
      <w:start w:val="4"/>
      <w:numFmt w:val="decimal"/>
      <w:lvlText w:val="%1.%2"/>
      <w:lvlJc w:val="left"/>
      <w:pPr>
        <w:ind w:left="973" w:hanging="501"/>
        <w:jc w:val="left"/>
      </w:pPr>
      <w:rPr>
        <w:rFonts w:hint="default"/>
        <w:lang w:val="en-US" w:eastAsia="en-US" w:bidi="en-US"/>
      </w:rPr>
    </w:lvl>
    <w:lvl w:ilvl="2">
      <w:start w:val="1"/>
      <w:numFmt w:val="decimal"/>
      <w:lvlText w:val="%1.%2.%3"/>
      <w:lvlJc w:val="left"/>
      <w:pPr>
        <w:ind w:left="973" w:hanging="501"/>
        <w:jc w:val="left"/>
      </w:pPr>
      <w:rPr>
        <w:rFonts w:ascii="Arial" w:eastAsia="Arial" w:hAnsi="Arial" w:cs="Arial" w:hint="default"/>
        <w:color w:val="131313"/>
        <w:spacing w:val="-1"/>
        <w:w w:val="101"/>
        <w:sz w:val="14"/>
        <w:szCs w:val="14"/>
        <w:lang w:val="en-US" w:eastAsia="en-US" w:bidi="en-US"/>
      </w:rPr>
    </w:lvl>
    <w:lvl w:ilvl="3">
      <w:numFmt w:val="bullet"/>
      <w:lvlText w:val="•"/>
      <w:lvlJc w:val="left"/>
      <w:pPr>
        <w:ind w:left="1392" w:hanging="501"/>
      </w:pPr>
      <w:rPr>
        <w:rFonts w:hint="default"/>
        <w:lang w:val="en-US" w:eastAsia="en-US" w:bidi="en-US"/>
      </w:rPr>
    </w:lvl>
    <w:lvl w:ilvl="4">
      <w:numFmt w:val="bullet"/>
      <w:lvlText w:val="•"/>
      <w:lvlJc w:val="left"/>
      <w:pPr>
        <w:ind w:left="1530" w:hanging="501"/>
      </w:pPr>
      <w:rPr>
        <w:rFonts w:hint="default"/>
        <w:lang w:val="en-US" w:eastAsia="en-US" w:bidi="en-US"/>
      </w:rPr>
    </w:lvl>
    <w:lvl w:ilvl="5">
      <w:numFmt w:val="bullet"/>
      <w:lvlText w:val="•"/>
      <w:lvlJc w:val="left"/>
      <w:pPr>
        <w:ind w:left="1667" w:hanging="501"/>
      </w:pPr>
      <w:rPr>
        <w:rFonts w:hint="default"/>
        <w:lang w:val="en-US" w:eastAsia="en-US" w:bidi="en-US"/>
      </w:rPr>
    </w:lvl>
    <w:lvl w:ilvl="6">
      <w:numFmt w:val="bullet"/>
      <w:lvlText w:val="•"/>
      <w:lvlJc w:val="left"/>
      <w:pPr>
        <w:ind w:left="1805" w:hanging="501"/>
      </w:pPr>
      <w:rPr>
        <w:rFonts w:hint="default"/>
        <w:lang w:val="en-US" w:eastAsia="en-US" w:bidi="en-US"/>
      </w:rPr>
    </w:lvl>
    <w:lvl w:ilvl="7">
      <w:numFmt w:val="bullet"/>
      <w:lvlText w:val="•"/>
      <w:lvlJc w:val="left"/>
      <w:pPr>
        <w:ind w:left="1942" w:hanging="501"/>
      </w:pPr>
      <w:rPr>
        <w:rFonts w:hint="default"/>
        <w:lang w:val="en-US" w:eastAsia="en-US" w:bidi="en-US"/>
      </w:rPr>
    </w:lvl>
    <w:lvl w:ilvl="8">
      <w:numFmt w:val="bullet"/>
      <w:lvlText w:val="•"/>
      <w:lvlJc w:val="left"/>
      <w:pPr>
        <w:ind w:left="2080" w:hanging="501"/>
      </w:pPr>
      <w:rPr>
        <w:rFonts w:hint="default"/>
        <w:lang w:val="en-US" w:eastAsia="en-US" w:bidi="en-US"/>
      </w:rPr>
    </w:lvl>
  </w:abstractNum>
  <w:abstractNum w:abstractNumId="22" w15:restartNumberingAfterBreak="0">
    <w:nsid w:val="3DFF1E9F"/>
    <w:multiLevelType w:val="multilevel"/>
    <w:tmpl w:val="CCE862C0"/>
    <w:lvl w:ilvl="0">
      <w:start w:val="2"/>
      <w:numFmt w:val="decimal"/>
      <w:lvlText w:val="%1"/>
      <w:lvlJc w:val="left"/>
      <w:pPr>
        <w:ind w:left="967" w:hanging="493"/>
        <w:jc w:val="left"/>
      </w:pPr>
      <w:rPr>
        <w:rFonts w:hint="default"/>
        <w:lang w:val="en-US" w:eastAsia="en-US" w:bidi="en-US"/>
      </w:rPr>
    </w:lvl>
    <w:lvl w:ilvl="1">
      <w:start w:val="4"/>
      <w:numFmt w:val="decimal"/>
      <w:lvlText w:val="%1.%2"/>
      <w:lvlJc w:val="left"/>
      <w:pPr>
        <w:ind w:left="967" w:hanging="493"/>
        <w:jc w:val="left"/>
      </w:pPr>
      <w:rPr>
        <w:rFonts w:hint="default"/>
        <w:lang w:val="en-US" w:eastAsia="en-US" w:bidi="en-US"/>
      </w:rPr>
    </w:lvl>
    <w:lvl w:ilvl="2">
      <w:start w:val="5"/>
      <w:numFmt w:val="decimal"/>
      <w:lvlText w:val="%1.%2.%3"/>
      <w:lvlJc w:val="left"/>
      <w:pPr>
        <w:ind w:left="967" w:hanging="493"/>
        <w:jc w:val="left"/>
      </w:pPr>
      <w:rPr>
        <w:rFonts w:ascii="Arial" w:eastAsia="Arial" w:hAnsi="Arial" w:cs="Arial" w:hint="default"/>
        <w:color w:val="131313"/>
        <w:spacing w:val="-14"/>
        <w:w w:val="106"/>
        <w:sz w:val="14"/>
        <w:szCs w:val="14"/>
        <w:lang w:val="en-US" w:eastAsia="en-US" w:bidi="en-US"/>
      </w:rPr>
    </w:lvl>
    <w:lvl w:ilvl="3">
      <w:numFmt w:val="bullet"/>
      <w:lvlText w:val="•"/>
      <w:lvlJc w:val="left"/>
      <w:pPr>
        <w:ind w:left="1497" w:hanging="493"/>
      </w:pPr>
      <w:rPr>
        <w:rFonts w:hint="default"/>
        <w:lang w:val="en-US" w:eastAsia="en-US" w:bidi="en-US"/>
      </w:rPr>
    </w:lvl>
    <w:lvl w:ilvl="4">
      <w:numFmt w:val="bullet"/>
      <w:lvlText w:val="•"/>
      <w:lvlJc w:val="left"/>
      <w:pPr>
        <w:ind w:left="1677" w:hanging="493"/>
      </w:pPr>
      <w:rPr>
        <w:rFonts w:hint="default"/>
        <w:lang w:val="en-US" w:eastAsia="en-US" w:bidi="en-US"/>
      </w:rPr>
    </w:lvl>
    <w:lvl w:ilvl="5">
      <w:numFmt w:val="bullet"/>
      <w:lvlText w:val="•"/>
      <w:lvlJc w:val="left"/>
      <w:pPr>
        <w:ind w:left="1856" w:hanging="493"/>
      </w:pPr>
      <w:rPr>
        <w:rFonts w:hint="default"/>
        <w:lang w:val="en-US" w:eastAsia="en-US" w:bidi="en-US"/>
      </w:rPr>
    </w:lvl>
    <w:lvl w:ilvl="6">
      <w:numFmt w:val="bullet"/>
      <w:lvlText w:val="•"/>
      <w:lvlJc w:val="left"/>
      <w:pPr>
        <w:ind w:left="2035" w:hanging="493"/>
      </w:pPr>
      <w:rPr>
        <w:rFonts w:hint="default"/>
        <w:lang w:val="en-US" w:eastAsia="en-US" w:bidi="en-US"/>
      </w:rPr>
    </w:lvl>
    <w:lvl w:ilvl="7">
      <w:numFmt w:val="bullet"/>
      <w:lvlText w:val="•"/>
      <w:lvlJc w:val="left"/>
      <w:pPr>
        <w:ind w:left="2215" w:hanging="493"/>
      </w:pPr>
      <w:rPr>
        <w:rFonts w:hint="default"/>
        <w:lang w:val="en-US" w:eastAsia="en-US" w:bidi="en-US"/>
      </w:rPr>
    </w:lvl>
    <w:lvl w:ilvl="8">
      <w:numFmt w:val="bullet"/>
      <w:lvlText w:val="•"/>
      <w:lvlJc w:val="left"/>
      <w:pPr>
        <w:ind w:left="2394" w:hanging="493"/>
      </w:pPr>
      <w:rPr>
        <w:rFonts w:hint="default"/>
        <w:lang w:val="en-US" w:eastAsia="en-US" w:bidi="en-US"/>
      </w:rPr>
    </w:lvl>
  </w:abstractNum>
  <w:abstractNum w:abstractNumId="23" w15:restartNumberingAfterBreak="0">
    <w:nsid w:val="44000913"/>
    <w:multiLevelType w:val="hybridMultilevel"/>
    <w:tmpl w:val="7E9CBE04"/>
    <w:lvl w:ilvl="0" w:tplc="1EF84F9A">
      <w:numFmt w:val="bullet"/>
      <w:lvlText w:val="•"/>
      <w:lvlJc w:val="left"/>
      <w:pPr>
        <w:ind w:left="439" w:hanging="360"/>
      </w:pPr>
      <w:rPr>
        <w:rFonts w:ascii="Adobe Garamond Pro" w:eastAsia="Adobe Garamond Pro" w:hAnsi="Adobe Garamond Pro" w:cs="Adobe Garamond Pro" w:hint="default"/>
        <w:color w:val="231F20"/>
        <w:spacing w:val="-25"/>
        <w:w w:val="100"/>
        <w:sz w:val="19"/>
        <w:szCs w:val="19"/>
        <w:lang w:val="en-US" w:eastAsia="en-US" w:bidi="en-US"/>
      </w:rPr>
    </w:lvl>
    <w:lvl w:ilvl="1" w:tplc="47B45752">
      <w:numFmt w:val="bullet"/>
      <w:lvlText w:val="•"/>
      <w:lvlJc w:val="left"/>
      <w:pPr>
        <w:ind w:left="923" w:hanging="360"/>
      </w:pPr>
      <w:rPr>
        <w:rFonts w:hint="default"/>
        <w:lang w:val="en-US" w:eastAsia="en-US" w:bidi="en-US"/>
      </w:rPr>
    </w:lvl>
    <w:lvl w:ilvl="2" w:tplc="3A9A9570">
      <w:numFmt w:val="bullet"/>
      <w:lvlText w:val="•"/>
      <w:lvlJc w:val="left"/>
      <w:pPr>
        <w:ind w:left="1407" w:hanging="360"/>
      </w:pPr>
      <w:rPr>
        <w:rFonts w:hint="default"/>
        <w:lang w:val="en-US" w:eastAsia="en-US" w:bidi="en-US"/>
      </w:rPr>
    </w:lvl>
    <w:lvl w:ilvl="3" w:tplc="59D837D6">
      <w:numFmt w:val="bullet"/>
      <w:lvlText w:val="•"/>
      <w:lvlJc w:val="left"/>
      <w:pPr>
        <w:ind w:left="1891" w:hanging="360"/>
      </w:pPr>
      <w:rPr>
        <w:rFonts w:hint="default"/>
        <w:lang w:val="en-US" w:eastAsia="en-US" w:bidi="en-US"/>
      </w:rPr>
    </w:lvl>
    <w:lvl w:ilvl="4" w:tplc="8E18D9BA">
      <w:numFmt w:val="bullet"/>
      <w:lvlText w:val="•"/>
      <w:lvlJc w:val="left"/>
      <w:pPr>
        <w:ind w:left="2374" w:hanging="360"/>
      </w:pPr>
      <w:rPr>
        <w:rFonts w:hint="default"/>
        <w:lang w:val="en-US" w:eastAsia="en-US" w:bidi="en-US"/>
      </w:rPr>
    </w:lvl>
    <w:lvl w:ilvl="5" w:tplc="33407F68">
      <w:numFmt w:val="bullet"/>
      <w:lvlText w:val="•"/>
      <w:lvlJc w:val="left"/>
      <w:pPr>
        <w:ind w:left="2858" w:hanging="360"/>
      </w:pPr>
      <w:rPr>
        <w:rFonts w:hint="default"/>
        <w:lang w:val="en-US" w:eastAsia="en-US" w:bidi="en-US"/>
      </w:rPr>
    </w:lvl>
    <w:lvl w:ilvl="6" w:tplc="209A1308">
      <w:numFmt w:val="bullet"/>
      <w:lvlText w:val="•"/>
      <w:lvlJc w:val="left"/>
      <w:pPr>
        <w:ind w:left="3342" w:hanging="360"/>
      </w:pPr>
      <w:rPr>
        <w:rFonts w:hint="default"/>
        <w:lang w:val="en-US" w:eastAsia="en-US" w:bidi="en-US"/>
      </w:rPr>
    </w:lvl>
    <w:lvl w:ilvl="7" w:tplc="5646236E">
      <w:numFmt w:val="bullet"/>
      <w:lvlText w:val="•"/>
      <w:lvlJc w:val="left"/>
      <w:pPr>
        <w:ind w:left="3825" w:hanging="360"/>
      </w:pPr>
      <w:rPr>
        <w:rFonts w:hint="default"/>
        <w:lang w:val="en-US" w:eastAsia="en-US" w:bidi="en-US"/>
      </w:rPr>
    </w:lvl>
    <w:lvl w:ilvl="8" w:tplc="98660CC2">
      <w:numFmt w:val="bullet"/>
      <w:lvlText w:val="•"/>
      <w:lvlJc w:val="left"/>
      <w:pPr>
        <w:ind w:left="4309" w:hanging="360"/>
      </w:pPr>
      <w:rPr>
        <w:rFonts w:hint="default"/>
        <w:lang w:val="en-US" w:eastAsia="en-US" w:bidi="en-US"/>
      </w:rPr>
    </w:lvl>
  </w:abstractNum>
  <w:abstractNum w:abstractNumId="24" w15:restartNumberingAfterBreak="0">
    <w:nsid w:val="4AA325E6"/>
    <w:multiLevelType w:val="multilevel"/>
    <w:tmpl w:val="CF3A6E04"/>
    <w:lvl w:ilvl="0">
      <w:start w:val="8"/>
      <w:numFmt w:val="decimal"/>
      <w:lvlText w:val="%1"/>
      <w:lvlJc w:val="left"/>
      <w:pPr>
        <w:ind w:left="973" w:hanging="501"/>
        <w:jc w:val="left"/>
      </w:pPr>
      <w:rPr>
        <w:rFonts w:hint="default"/>
        <w:lang w:val="en-US" w:eastAsia="en-US" w:bidi="en-US"/>
      </w:rPr>
    </w:lvl>
    <w:lvl w:ilvl="1">
      <w:start w:val="3"/>
      <w:numFmt w:val="decimal"/>
      <w:lvlText w:val="%1.%2"/>
      <w:lvlJc w:val="left"/>
      <w:pPr>
        <w:ind w:left="973" w:hanging="501"/>
        <w:jc w:val="left"/>
      </w:pPr>
      <w:rPr>
        <w:rFonts w:hint="default"/>
        <w:lang w:val="en-US" w:eastAsia="en-US" w:bidi="en-US"/>
      </w:rPr>
    </w:lvl>
    <w:lvl w:ilvl="2">
      <w:start w:val="3"/>
      <w:numFmt w:val="decimal"/>
      <w:lvlText w:val="%1.%2.%3"/>
      <w:lvlJc w:val="left"/>
      <w:pPr>
        <w:ind w:left="973" w:hanging="501"/>
        <w:jc w:val="left"/>
      </w:pPr>
      <w:rPr>
        <w:rFonts w:ascii="Arial" w:eastAsia="Arial" w:hAnsi="Arial" w:cs="Arial" w:hint="default"/>
        <w:color w:val="131313"/>
        <w:spacing w:val="-14"/>
        <w:w w:val="107"/>
        <w:sz w:val="14"/>
        <w:szCs w:val="14"/>
        <w:lang w:val="en-US" w:eastAsia="en-US" w:bidi="en-US"/>
      </w:rPr>
    </w:lvl>
    <w:lvl w:ilvl="3">
      <w:numFmt w:val="bullet"/>
      <w:lvlText w:val="•"/>
      <w:lvlJc w:val="left"/>
      <w:pPr>
        <w:ind w:left="1511" w:hanging="501"/>
      </w:pPr>
      <w:rPr>
        <w:rFonts w:hint="default"/>
        <w:lang w:val="en-US" w:eastAsia="en-US" w:bidi="en-US"/>
      </w:rPr>
    </w:lvl>
    <w:lvl w:ilvl="4">
      <w:numFmt w:val="bullet"/>
      <w:lvlText w:val="•"/>
      <w:lvlJc w:val="left"/>
      <w:pPr>
        <w:ind w:left="1689" w:hanging="501"/>
      </w:pPr>
      <w:rPr>
        <w:rFonts w:hint="default"/>
        <w:lang w:val="en-US" w:eastAsia="en-US" w:bidi="en-US"/>
      </w:rPr>
    </w:lvl>
    <w:lvl w:ilvl="5">
      <w:numFmt w:val="bullet"/>
      <w:lvlText w:val="•"/>
      <w:lvlJc w:val="left"/>
      <w:pPr>
        <w:ind w:left="1866" w:hanging="501"/>
      </w:pPr>
      <w:rPr>
        <w:rFonts w:hint="default"/>
        <w:lang w:val="en-US" w:eastAsia="en-US" w:bidi="en-US"/>
      </w:rPr>
    </w:lvl>
    <w:lvl w:ilvl="6">
      <w:numFmt w:val="bullet"/>
      <w:lvlText w:val="•"/>
      <w:lvlJc w:val="left"/>
      <w:pPr>
        <w:ind w:left="2043" w:hanging="501"/>
      </w:pPr>
      <w:rPr>
        <w:rFonts w:hint="default"/>
        <w:lang w:val="en-US" w:eastAsia="en-US" w:bidi="en-US"/>
      </w:rPr>
    </w:lvl>
    <w:lvl w:ilvl="7">
      <w:numFmt w:val="bullet"/>
      <w:lvlText w:val="•"/>
      <w:lvlJc w:val="left"/>
      <w:pPr>
        <w:ind w:left="2221" w:hanging="501"/>
      </w:pPr>
      <w:rPr>
        <w:rFonts w:hint="default"/>
        <w:lang w:val="en-US" w:eastAsia="en-US" w:bidi="en-US"/>
      </w:rPr>
    </w:lvl>
    <w:lvl w:ilvl="8">
      <w:numFmt w:val="bullet"/>
      <w:lvlText w:val="•"/>
      <w:lvlJc w:val="left"/>
      <w:pPr>
        <w:ind w:left="2398" w:hanging="501"/>
      </w:pPr>
      <w:rPr>
        <w:rFonts w:hint="default"/>
        <w:lang w:val="en-US" w:eastAsia="en-US" w:bidi="en-US"/>
      </w:rPr>
    </w:lvl>
  </w:abstractNum>
  <w:abstractNum w:abstractNumId="25" w15:restartNumberingAfterBreak="0">
    <w:nsid w:val="4C756459"/>
    <w:multiLevelType w:val="hybridMultilevel"/>
    <w:tmpl w:val="E87EB49A"/>
    <w:lvl w:ilvl="0" w:tplc="13028A42">
      <w:numFmt w:val="bullet"/>
      <w:lvlText w:val="•"/>
      <w:lvlJc w:val="left"/>
      <w:pPr>
        <w:ind w:left="2060" w:hanging="360"/>
      </w:pPr>
      <w:rPr>
        <w:rFonts w:ascii="Adobe Garamond Pro" w:eastAsia="Adobe Garamond Pro" w:hAnsi="Adobe Garamond Pro" w:cs="Adobe Garamond Pro" w:hint="default"/>
        <w:color w:val="231F20"/>
        <w:spacing w:val="-7"/>
        <w:w w:val="92"/>
        <w:sz w:val="20"/>
        <w:szCs w:val="20"/>
        <w:lang w:val="en-US" w:eastAsia="en-US" w:bidi="en-US"/>
      </w:rPr>
    </w:lvl>
    <w:lvl w:ilvl="1" w:tplc="7CF6795A">
      <w:numFmt w:val="bullet"/>
      <w:lvlText w:val="•"/>
      <w:lvlJc w:val="left"/>
      <w:pPr>
        <w:ind w:left="3044" w:hanging="360"/>
      </w:pPr>
      <w:rPr>
        <w:rFonts w:hint="default"/>
        <w:lang w:val="en-US" w:eastAsia="en-US" w:bidi="en-US"/>
      </w:rPr>
    </w:lvl>
    <w:lvl w:ilvl="2" w:tplc="F0A6CE68">
      <w:numFmt w:val="bullet"/>
      <w:lvlText w:val="•"/>
      <w:lvlJc w:val="left"/>
      <w:pPr>
        <w:ind w:left="4029" w:hanging="360"/>
      </w:pPr>
      <w:rPr>
        <w:rFonts w:hint="default"/>
        <w:lang w:val="en-US" w:eastAsia="en-US" w:bidi="en-US"/>
      </w:rPr>
    </w:lvl>
    <w:lvl w:ilvl="3" w:tplc="F9E0B9B6">
      <w:numFmt w:val="bullet"/>
      <w:lvlText w:val="•"/>
      <w:lvlJc w:val="left"/>
      <w:pPr>
        <w:ind w:left="5013" w:hanging="360"/>
      </w:pPr>
      <w:rPr>
        <w:rFonts w:hint="default"/>
        <w:lang w:val="en-US" w:eastAsia="en-US" w:bidi="en-US"/>
      </w:rPr>
    </w:lvl>
    <w:lvl w:ilvl="4" w:tplc="F70C5406">
      <w:numFmt w:val="bullet"/>
      <w:lvlText w:val="•"/>
      <w:lvlJc w:val="left"/>
      <w:pPr>
        <w:ind w:left="5998" w:hanging="360"/>
      </w:pPr>
      <w:rPr>
        <w:rFonts w:hint="default"/>
        <w:lang w:val="en-US" w:eastAsia="en-US" w:bidi="en-US"/>
      </w:rPr>
    </w:lvl>
    <w:lvl w:ilvl="5" w:tplc="DC180864">
      <w:numFmt w:val="bullet"/>
      <w:lvlText w:val="•"/>
      <w:lvlJc w:val="left"/>
      <w:pPr>
        <w:ind w:left="6982" w:hanging="360"/>
      </w:pPr>
      <w:rPr>
        <w:rFonts w:hint="default"/>
        <w:lang w:val="en-US" w:eastAsia="en-US" w:bidi="en-US"/>
      </w:rPr>
    </w:lvl>
    <w:lvl w:ilvl="6" w:tplc="4C1E87B6">
      <w:numFmt w:val="bullet"/>
      <w:lvlText w:val="•"/>
      <w:lvlJc w:val="left"/>
      <w:pPr>
        <w:ind w:left="7967" w:hanging="360"/>
      </w:pPr>
      <w:rPr>
        <w:rFonts w:hint="default"/>
        <w:lang w:val="en-US" w:eastAsia="en-US" w:bidi="en-US"/>
      </w:rPr>
    </w:lvl>
    <w:lvl w:ilvl="7" w:tplc="B18CFBCC">
      <w:numFmt w:val="bullet"/>
      <w:lvlText w:val="•"/>
      <w:lvlJc w:val="left"/>
      <w:pPr>
        <w:ind w:left="8951" w:hanging="360"/>
      </w:pPr>
      <w:rPr>
        <w:rFonts w:hint="default"/>
        <w:lang w:val="en-US" w:eastAsia="en-US" w:bidi="en-US"/>
      </w:rPr>
    </w:lvl>
    <w:lvl w:ilvl="8" w:tplc="7124FF82">
      <w:numFmt w:val="bullet"/>
      <w:lvlText w:val="•"/>
      <w:lvlJc w:val="left"/>
      <w:pPr>
        <w:ind w:left="9936" w:hanging="360"/>
      </w:pPr>
      <w:rPr>
        <w:rFonts w:hint="default"/>
        <w:lang w:val="en-US" w:eastAsia="en-US" w:bidi="en-US"/>
      </w:rPr>
    </w:lvl>
  </w:abstractNum>
  <w:abstractNum w:abstractNumId="26" w15:restartNumberingAfterBreak="0">
    <w:nsid w:val="504C3233"/>
    <w:multiLevelType w:val="hybridMultilevel"/>
    <w:tmpl w:val="19925636"/>
    <w:lvl w:ilvl="0" w:tplc="DA023A74">
      <w:start w:val="5"/>
      <w:numFmt w:val="decimal"/>
      <w:lvlText w:val="%1"/>
      <w:lvlJc w:val="left"/>
      <w:pPr>
        <w:ind w:left="969" w:hanging="495"/>
        <w:jc w:val="left"/>
      </w:pPr>
      <w:rPr>
        <w:rFonts w:hint="default"/>
        <w:b/>
        <w:bCs/>
        <w:w w:val="99"/>
        <w:lang w:val="en-US" w:eastAsia="en-US" w:bidi="en-US"/>
      </w:rPr>
    </w:lvl>
    <w:lvl w:ilvl="1" w:tplc="EFE02094">
      <w:numFmt w:val="bullet"/>
      <w:lvlText w:val="•"/>
      <w:lvlJc w:val="left"/>
      <w:pPr>
        <w:ind w:left="1202" w:hanging="495"/>
      </w:pPr>
      <w:rPr>
        <w:rFonts w:hint="default"/>
        <w:lang w:val="en-US" w:eastAsia="en-US" w:bidi="en-US"/>
      </w:rPr>
    </w:lvl>
    <w:lvl w:ilvl="2" w:tplc="413ADC46">
      <w:numFmt w:val="bullet"/>
      <w:lvlText w:val="•"/>
      <w:lvlJc w:val="left"/>
      <w:pPr>
        <w:ind w:left="1444" w:hanging="495"/>
      </w:pPr>
      <w:rPr>
        <w:rFonts w:hint="default"/>
        <w:lang w:val="en-US" w:eastAsia="en-US" w:bidi="en-US"/>
      </w:rPr>
    </w:lvl>
    <w:lvl w:ilvl="3" w:tplc="F8CC6122">
      <w:numFmt w:val="bullet"/>
      <w:lvlText w:val="•"/>
      <w:lvlJc w:val="left"/>
      <w:pPr>
        <w:ind w:left="1686" w:hanging="495"/>
      </w:pPr>
      <w:rPr>
        <w:rFonts w:hint="default"/>
        <w:lang w:val="en-US" w:eastAsia="en-US" w:bidi="en-US"/>
      </w:rPr>
    </w:lvl>
    <w:lvl w:ilvl="4" w:tplc="C4408496">
      <w:numFmt w:val="bullet"/>
      <w:lvlText w:val="•"/>
      <w:lvlJc w:val="left"/>
      <w:pPr>
        <w:ind w:left="1929" w:hanging="495"/>
      </w:pPr>
      <w:rPr>
        <w:rFonts w:hint="default"/>
        <w:lang w:val="en-US" w:eastAsia="en-US" w:bidi="en-US"/>
      </w:rPr>
    </w:lvl>
    <w:lvl w:ilvl="5" w:tplc="EB862648">
      <w:numFmt w:val="bullet"/>
      <w:lvlText w:val="•"/>
      <w:lvlJc w:val="left"/>
      <w:pPr>
        <w:ind w:left="2171" w:hanging="495"/>
      </w:pPr>
      <w:rPr>
        <w:rFonts w:hint="default"/>
        <w:lang w:val="en-US" w:eastAsia="en-US" w:bidi="en-US"/>
      </w:rPr>
    </w:lvl>
    <w:lvl w:ilvl="6" w:tplc="F4A899E6">
      <w:numFmt w:val="bullet"/>
      <w:lvlText w:val="•"/>
      <w:lvlJc w:val="left"/>
      <w:pPr>
        <w:ind w:left="2413" w:hanging="495"/>
      </w:pPr>
      <w:rPr>
        <w:rFonts w:hint="default"/>
        <w:lang w:val="en-US" w:eastAsia="en-US" w:bidi="en-US"/>
      </w:rPr>
    </w:lvl>
    <w:lvl w:ilvl="7" w:tplc="B91E5F08">
      <w:numFmt w:val="bullet"/>
      <w:lvlText w:val="•"/>
      <w:lvlJc w:val="left"/>
      <w:pPr>
        <w:ind w:left="2656" w:hanging="495"/>
      </w:pPr>
      <w:rPr>
        <w:rFonts w:hint="default"/>
        <w:lang w:val="en-US" w:eastAsia="en-US" w:bidi="en-US"/>
      </w:rPr>
    </w:lvl>
    <w:lvl w:ilvl="8" w:tplc="22B850C2">
      <w:numFmt w:val="bullet"/>
      <w:lvlText w:val="•"/>
      <w:lvlJc w:val="left"/>
      <w:pPr>
        <w:ind w:left="2898" w:hanging="495"/>
      </w:pPr>
      <w:rPr>
        <w:rFonts w:hint="default"/>
        <w:lang w:val="en-US" w:eastAsia="en-US" w:bidi="en-US"/>
      </w:rPr>
    </w:lvl>
  </w:abstractNum>
  <w:abstractNum w:abstractNumId="27" w15:restartNumberingAfterBreak="0">
    <w:nsid w:val="51527992"/>
    <w:multiLevelType w:val="multilevel"/>
    <w:tmpl w:val="ED3823BE"/>
    <w:lvl w:ilvl="0">
      <w:start w:val="2"/>
      <w:numFmt w:val="decimal"/>
      <w:lvlText w:val="%1"/>
      <w:lvlJc w:val="left"/>
      <w:pPr>
        <w:ind w:left="972" w:hanging="498"/>
        <w:jc w:val="left"/>
      </w:pPr>
      <w:rPr>
        <w:rFonts w:hint="default"/>
        <w:lang w:val="en-US" w:eastAsia="en-US" w:bidi="en-US"/>
      </w:rPr>
    </w:lvl>
    <w:lvl w:ilvl="1">
      <w:start w:val="4"/>
      <w:numFmt w:val="decimal"/>
      <w:lvlText w:val="%1.%2"/>
      <w:lvlJc w:val="left"/>
      <w:pPr>
        <w:ind w:left="972" w:hanging="498"/>
        <w:jc w:val="left"/>
      </w:pPr>
      <w:rPr>
        <w:rFonts w:hint="default"/>
        <w:lang w:val="en-US" w:eastAsia="en-US" w:bidi="en-US"/>
      </w:rPr>
    </w:lvl>
    <w:lvl w:ilvl="2">
      <w:start w:val="11"/>
      <w:numFmt w:val="decimal"/>
      <w:lvlText w:val="%1.%2.%3"/>
      <w:lvlJc w:val="left"/>
      <w:pPr>
        <w:ind w:left="972" w:hanging="498"/>
        <w:jc w:val="left"/>
      </w:pPr>
      <w:rPr>
        <w:rFonts w:ascii="Arial" w:eastAsia="Arial" w:hAnsi="Arial" w:cs="Arial" w:hint="default"/>
        <w:color w:val="131313"/>
        <w:spacing w:val="-14"/>
        <w:w w:val="106"/>
        <w:sz w:val="14"/>
        <w:szCs w:val="14"/>
        <w:lang w:val="en-US" w:eastAsia="en-US" w:bidi="en-US"/>
      </w:rPr>
    </w:lvl>
    <w:lvl w:ilvl="3">
      <w:numFmt w:val="bullet"/>
      <w:lvlText w:val="•"/>
      <w:lvlJc w:val="left"/>
      <w:pPr>
        <w:ind w:left="1511" w:hanging="498"/>
      </w:pPr>
      <w:rPr>
        <w:rFonts w:hint="default"/>
        <w:lang w:val="en-US" w:eastAsia="en-US" w:bidi="en-US"/>
      </w:rPr>
    </w:lvl>
    <w:lvl w:ilvl="4">
      <w:numFmt w:val="bullet"/>
      <w:lvlText w:val="•"/>
      <w:lvlJc w:val="left"/>
      <w:pPr>
        <w:ind w:left="1689" w:hanging="498"/>
      </w:pPr>
      <w:rPr>
        <w:rFonts w:hint="default"/>
        <w:lang w:val="en-US" w:eastAsia="en-US" w:bidi="en-US"/>
      </w:rPr>
    </w:lvl>
    <w:lvl w:ilvl="5">
      <w:numFmt w:val="bullet"/>
      <w:lvlText w:val="•"/>
      <w:lvlJc w:val="left"/>
      <w:pPr>
        <w:ind w:left="1866" w:hanging="498"/>
      </w:pPr>
      <w:rPr>
        <w:rFonts w:hint="default"/>
        <w:lang w:val="en-US" w:eastAsia="en-US" w:bidi="en-US"/>
      </w:rPr>
    </w:lvl>
    <w:lvl w:ilvl="6">
      <w:numFmt w:val="bullet"/>
      <w:lvlText w:val="•"/>
      <w:lvlJc w:val="left"/>
      <w:pPr>
        <w:ind w:left="2043" w:hanging="498"/>
      </w:pPr>
      <w:rPr>
        <w:rFonts w:hint="default"/>
        <w:lang w:val="en-US" w:eastAsia="en-US" w:bidi="en-US"/>
      </w:rPr>
    </w:lvl>
    <w:lvl w:ilvl="7">
      <w:numFmt w:val="bullet"/>
      <w:lvlText w:val="•"/>
      <w:lvlJc w:val="left"/>
      <w:pPr>
        <w:ind w:left="2221" w:hanging="498"/>
      </w:pPr>
      <w:rPr>
        <w:rFonts w:hint="default"/>
        <w:lang w:val="en-US" w:eastAsia="en-US" w:bidi="en-US"/>
      </w:rPr>
    </w:lvl>
    <w:lvl w:ilvl="8">
      <w:numFmt w:val="bullet"/>
      <w:lvlText w:val="•"/>
      <w:lvlJc w:val="left"/>
      <w:pPr>
        <w:ind w:left="2398" w:hanging="498"/>
      </w:pPr>
      <w:rPr>
        <w:rFonts w:hint="default"/>
        <w:lang w:val="en-US" w:eastAsia="en-US" w:bidi="en-US"/>
      </w:rPr>
    </w:lvl>
  </w:abstractNum>
  <w:abstractNum w:abstractNumId="28" w15:restartNumberingAfterBreak="0">
    <w:nsid w:val="520B36E3"/>
    <w:multiLevelType w:val="hybridMultilevel"/>
    <w:tmpl w:val="CDDE3918"/>
    <w:lvl w:ilvl="0" w:tplc="CCA80872">
      <w:numFmt w:val="bullet"/>
      <w:lvlText w:val="•"/>
      <w:lvlJc w:val="left"/>
      <w:pPr>
        <w:ind w:left="2060" w:hanging="360"/>
      </w:pPr>
      <w:rPr>
        <w:rFonts w:ascii="Adobe Garamond Pro" w:eastAsia="Adobe Garamond Pro" w:hAnsi="Adobe Garamond Pro" w:cs="Adobe Garamond Pro" w:hint="default"/>
        <w:color w:val="231F20"/>
        <w:spacing w:val="-17"/>
        <w:w w:val="100"/>
        <w:sz w:val="20"/>
        <w:szCs w:val="20"/>
        <w:lang w:val="en-US" w:eastAsia="en-US" w:bidi="en-US"/>
      </w:rPr>
    </w:lvl>
    <w:lvl w:ilvl="1" w:tplc="559E248C">
      <w:numFmt w:val="bullet"/>
      <w:lvlText w:val="•"/>
      <w:lvlJc w:val="left"/>
      <w:pPr>
        <w:ind w:left="3044" w:hanging="360"/>
      </w:pPr>
      <w:rPr>
        <w:rFonts w:hint="default"/>
        <w:lang w:val="en-US" w:eastAsia="en-US" w:bidi="en-US"/>
      </w:rPr>
    </w:lvl>
    <w:lvl w:ilvl="2" w:tplc="73924BAE">
      <w:numFmt w:val="bullet"/>
      <w:lvlText w:val="•"/>
      <w:lvlJc w:val="left"/>
      <w:pPr>
        <w:ind w:left="4029" w:hanging="360"/>
      </w:pPr>
      <w:rPr>
        <w:rFonts w:hint="default"/>
        <w:lang w:val="en-US" w:eastAsia="en-US" w:bidi="en-US"/>
      </w:rPr>
    </w:lvl>
    <w:lvl w:ilvl="3" w:tplc="C0BEC858">
      <w:numFmt w:val="bullet"/>
      <w:lvlText w:val="•"/>
      <w:lvlJc w:val="left"/>
      <w:pPr>
        <w:ind w:left="5013" w:hanging="360"/>
      </w:pPr>
      <w:rPr>
        <w:rFonts w:hint="default"/>
        <w:lang w:val="en-US" w:eastAsia="en-US" w:bidi="en-US"/>
      </w:rPr>
    </w:lvl>
    <w:lvl w:ilvl="4" w:tplc="76E82FAE">
      <w:numFmt w:val="bullet"/>
      <w:lvlText w:val="•"/>
      <w:lvlJc w:val="left"/>
      <w:pPr>
        <w:ind w:left="5998" w:hanging="360"/>
      </w:pPr>
      <w:rPr>
        <w:rFonts w:hint="default"/>
        <w:lang w:val="en-US" w:eastAsia="en-US" w:bidi="en-US"/>
      </w:rPr>
    </w:lvl>
    <w:lvl w:ilvl="5" w:tplc="A0CE98B2">
      <w:numFmt w:val="bullet"/>
      <w:lvlText w:val="•"/>
      <w:lvlJc w:val="left"/>
      <w:pPr>
        <w:ind w:left="6982" w:hanging="360"/>
      </w:pPr>
      <w:rPr>
        <w:rFonts w:hint="default"/>
        <w:lang w:val="en-US" w:eastAsia="en-US" w:bidi="en-US"/>
      </w:rPr>
    </w:lvl>
    <w:lvl w:ilvl="6" w:tplc="4FEA1B54">
      <w:numFmt w:val="bullet"/>
      <w:lvlText w:val="•"/>
      <w:lvlJc w:val="left"/>
      <w:pPr>
        <w:ind w:left="7967" w:hanging="360"/>
      </w:pPr>
      <w:rPr>
        <w:rFonts w:hint="default"/>
        <w:lang w:val="en-US" w:eastAsia="en-US" w:bidi="en-US"/>
      </w:rPr>
    </w:lvl>
    <w:lvl w:ilvl="7" w:tplc="D88E5A2C">
      <w:numFmt w:val="bullet"/>
      <w:lvlText w:val="•"/>
      <w:lvlJc w:val="left"/>
      <w:pPr>
        <w:ind w:left="8951" w:hanging="360"/>
      </w:pPr>
      <w:rPr>
        <w:rFonts w:hint="default"/>
        <w:lang w:val="en-US" w:eastAsia="en-US" w:bidi="en-US"/>
      </w:rPr>
    </w:lvl>
    <w:lvl w:ilvl="8" w:tplc="DD34BE56">
      <w:numFmt w:val="bullet"/>
      <w:lvlText w:val="•"/>
      <w:lvlJc w:val="left"/>
      <w:pPr>
        <w:ind w:left="9936" w:hanging="360"/>
      </w:pPr>
      <w:rPr>
        <w:rFonts w:hint="default"/>
        <w:lang w:val="en-US" w:eastAsia="en-US" w:bidi="en-US"/>
      </w:rPr>
    </w:lvl>
  </w:abstractNum>
  <w:abstractNum w:abstractNumId="29" w15:restartNumberingAfterBreak="0">
    <w:nsid w:val="53203D75"/>
    <w:multiLevelType w:val="hybridMultilevel"/>
    <w:tmpl w:val="E15E8E8C"/>
    <w:lvl w:ilvl="0" w:tplc="1DEC4AD4">
      <w:numFmt w:val="bullet"/>
      <w:lvlText w:val="•"/>
      <w:lvlJc w:val="left"/>
      <w:pPr>
        <w:ind w:left="760" w:hanging="360"/>
      </w:pPr>
      <w:rPr>
        <w:rFonts w:ascii="Adobe Garamond Pro" w:eastAsia="Adobe Garamond Pro" w:hAnsi="Adobe Garamond Pro" w:cs="Adobe Garamond Pro" w:hint="default"/>
        <w:color w:val="231F20"/>
        <w:spacing w:val="-7"/>
        <w:w w:val="92"/>
        <w:sz w:val="19"/>
        <w:szCs w:val="19"/>
        <w:lang w:val="en-US" w:eastAsia="en-US" w:bidi="en-US"/>
      </w:rPr>
    </w:lvl>
    <w:lvl w:ilvl="1" w:tplc="055855A4">
      <w:numFmt w:val="bullet"/>
      <w:lvlText w:val="•"/>
      <w:lvlJc w:val="left"/>
      <w:pPr>
        <w:ind w:left="1614" w:hanging="360"/>
      </w:pPr>
      <w:rPr>
        <w:rFonts w:hint="default"/>
        <w:lang w:val="en-US" w:eastAsia="en-US" w:bidi="en-US"/>
      </w:rPr>
    </w:lvl>
    <w:lvl w:ilvl="2" w:tplc="D2F80B00">
      <w:numFmt w:val="bullet"/>
      <w:lvlText w:val="•"/>
      <w:lvlJc w:val="left"/>
      <w:pPr>
        <w:ind w:left="2469" w:hanging="360"/>
      </w:pPr>
      <w:rPr>
        <w:rFonts w:hint="default"/>
        <w:lang w:val="en-US" w:eastAsia="en-US" w:bidi="en-US"/>
      </w:rPr>
    </w:lvl>
    <w:lvl w:ilvl="3" w:tplc="3A424DBE">
      <w:numFmt w:val="bullet"/>
      <w:lvlText w:val="•"/>
      <w:lvlJc w:val="left"/>
      <w:pPr>
        <w:ind w:left="3323" w:hanging="360"/>
      </w:pPr>
      <w:rPr>
        <w:rFonts w:hint="default"/>
        <w:lang w:val="en-US" w:eastAsia="en-US" w:bidi="en-US"/>
      </w:rPr>
    </w:lvl>
    <w:lvl w:ilvl="4" w:tplc="FA7AE5BC">
      <w:numFmt w:val="bullet"/>
      <w:lvlText w:val="•"/>
      <w:lvlJc w:val="left"/>
      <w:pPr>
        <w:ind w:left="4178" w:hanging="360"/>
      </w:pPr>
      <w:rPr>
        <w:rFonts w:hint="default"/>
        <w:lang w:val="en-US" w:eastAsia="en-US" w:bidi="en-US"/>
      </w:rPr>
    </w:lvl>
    <w:lvl w:ilvl="5" w:tplc="12EC590E">
      <w:numFmt w:val="bullet"/>
      <w:lvlText w:val="•"/>
      <w:lvlJc w:val="left"/>
      <w:pPr>
        <w:ind w:left="5032" w:hanging="360"/>
      </w:pPr>
      <w:rPr>
        <w:rFonts w:hint="default"/>
        <w:lang w:val="en-US" w:eastAsia="en-US" w:bidi="en-US"/>
      </w:rPr>
    </w:lvl>
    <w:lvl w:ilvl="6" w:tplc="D2EEB21A">
      <w:numFmt w:val="bullet"/>
      <w:lvlText w:val="•"/>
      <w:lvlJc w:val="left"/>
      <w:pPr>
        <w:ind w:left="5887" w:hanging="360"/>
      </w:pPr>
      <w:rPr>
        <w:rFonts w:hint="default"/>
        <w:lang w:val="en-US" w:eastAsia="en-US" w:bidi="en-US"/>
      </w:rPr>
    </w:lvl>
    <w:lvl w:ilvl="7" w:tplc="03985B3A">
      <w:numFmt w:val="bullet"/>
      <w:lvlText w:val="•"/>
      <w:lvlJc w:val="left"/>
      <w:pPr>
        <w:ind w:left="6741" w:hanging="360"/>
      </w:pPr>
      <w:rPr>
        <w:rFonts w:hint="default"/>
        <w:lang w:val="en-US" w:eastAsia="en-US" w:bidi="en-US"/>
      </w:rPr>
    </w:lvl>
    <w:lvl w:ilvl="8" w:tplc="329E5036">
      <w:numFmt w:val="bullet"/>
      <w:lvlText w:val="•"/>
      <w:lvlJc w:val="left"/>
      <w:pPr>
        <w:ind w:left="7596" w:hanging="360"/>
      </w:pPr>
      <w:rPr>
        <w:rFonts w:hint="default"/>
        <w:lang w:val="en-US" w:eastAsia="en-US" w:bidi="en-US"/>
      </w:rPr>
    </w:lvl>
  </w:abstractNum>
  <w:abstractNum w:abstractNumId="30" w15:restartNumberingAfterBreak="0">
    <w:nsid w:val="533267E8"/>
    <w:multiLevelType w:val="hybridMultilevel"/>
    <w:tmpl w:val="DFCE9174"/>
    <w:lvl w:ilvl="0" w:tplc="AF34FB6C">
      <w:start w:val="28"/>
      <w:numFmt w:val="decimal"/>
      <w:lvlText w:val="(%1)"/>
      <w:lvlJc w:val="left"/>
      <w:pPr>
        <w:ind w:left="715" w:hanging="353"/>
        <w:jc w:val="left"/>
      </w:pPr>
      <w:rPr>
        <w:rFonts w:ascii="Arial" w:eastAsia="Arial" w:hAnsi="Arial" w:cs="Arial" w:hint="default"/>
        <w:color w:val="131313"/>
        <w:spacing w:val="-1"/>
        <w:w w:val="92"/>
        <w:sz w:val="14"/>
        <w:szCs w:val="14"/>
        <w:lang w:val="en-US" w:eastAsia="en-US" w:bidi="en-US"/>
      </w:rPr>
    </w:lvl>
    <w:lvl w:ilvl="1" w:tplc="FCCA627A">
      <w:numFmt w:val="bullet"/>
      <w:lvlText w:val="•"/>
      <w:lvlJc w:val="left"/>
      <w:pPr>
        <w:ind w:left="1299" w:hanging="353"/>
      </w:pPr>
      <w:rPr>
        <w:rFonts w:hint="default"/>
        <w:lang w:val="en-US" w:eastAsia="en-US" w:bidi="en-US"/>
      </w:rPr>
    </w:lvl>
    <w:lvl w:ilvl="2" w:tplc="3F74CD24">
      <w:numFmt w:val="bullet"/>
      <w:lvlText w:val="•"/>
      <w:lvlJc w:val="left"/>
      <w:pPr>
        <w:ind w:left="1878" w:hanging="353"/>
      </w:pPr>
      <w:rPr>
        <w:rFonts w:hint="default"/>
        <w:lang w:val="en-US" w:eastAsia="en-US" w:bidi="en-US"/>
      </w:rPr>
    </w:lvl>
    <w:lvl w:ilvl="3" w:tplc="7012EA16">
      <w:numFmt w:val="bullet"/>
      <w:lvlText w:val="•"/>
      <w:lvlJc w:val="left"/>
      <w:pPr>
        <w:ind w:left="2457" w:hanging="353"/>
      </w:pPr>
      <w:rPr>
        <w:rFonts w:hint="default"/>
        <w:lang w:val="en-US" w:eastAsia="en-US" w:bidi="en-US"/>
      </w:rPr>
    </w:lvl>
    <w:lvl w:ilvl="4" w:tplc="13D6689E">
      <w:numFmt w:val="bullet"/>
      <w:lvlText w:val="•"/>
      <w:lvlJc w:val="left"/>
      <w:pPr>
        <w:ind w:left="3036" w:hanging="353"/>
      </w:pPr>
      <w:rPr>
        <w:rFonts w:hint="default"/>
        <w:lang w:val="en-US" w:eastAsia="en-US" w:bidi="en-US"/>
      </w:rPr>
    </w:lvl>
    <w:lvl w:ilvl="5" w:tplc="E32A4EAE">
      <w:numFmt w:val="bullet"/>
      <w:lvlText w:val="•"/>
      <w:lvlJc w:val="left"/>
      <w:pPr>
        <w:ind w:left="3616" w:hanging="353"/>
      </w:pPr>
      <w:rPr>
        <w:rFonts w:hint="default"/>
        <w:lang w:val="en-US" w:eastAsia="en-US" w:bidi="en-US"/>
      </w:rPr>
    </w:lvl>
    <w:lvl w:ilvl="6" w:tplc="F21CC3AC">
      <w:numFmt w:val="bullet"/>
      <w:lvlText w:val="•"/>
      <w:lvlJc w:val="left"/>
      <w:pPr>
        <w:ind w:left="4195" w:hanging="353"/>
      </w:pPr>
      <w:rPr>
        <w:rFonts w:hint="default"/>
        <w:lang w:val="en-US" w:eastAsia="en-US" w:bidi="en-US"/>
      </w:rPr>
    </w:lvl>
    <w:lvl w:ilvl="7" w:tplc="570860BE">
      <w:numFmt w:val="bullet"/>
      <w:lvlText w:val="•"/>
      <w:lvlJc w:val="left"/>
      <w:pPr>
        <w:ind w:left="4774" w:hanging="353"/>
      </w:pPr>
      <w:rPr>
        <w:rFonts w:hint="default"/>
        <w:lang w:val="en-US" w:eastAsia="en-US" w:bidi="en-US"/>
      </w:rPr>
    </w:lvl>
    <w:lvl w:ilvl="8" w:tplc="E7C4DAC6">
      <w:numFmt w:val="bullet"/>
      <w:lvlText w:val="•"/>
      <w:lvlJc w:val="left"/>
      <w:pPr>
        <w:ind w:left="5353" w:hanging="353"/>
      </w:pPr>
      <w:rPr>
        <w:rFonts w:hint="default"/>
        <w:lang w:val="en-US" w:eastAsia="en-US" w:bidi="en-US"/>
      </w:rPr>
    </w:lvl>
  </w:abstractNum>
  <w:abstractNum w:abstractNumId="31" w15:restartNumberingAfterBreak="0">
    <w:nsid w:val="535A6133"/>
    <w:multiLevelType w:val="hybridMultilevel"/>
    <w:tmpl w:val="50FE9836"/>
    <w:lvl w:ilvl="0" w:tplc="CA1AE606">
      <w:start w:val="21"/>
      <w:numFmt w:val="decimal"/>
      <w:lvlText w:val="(%1)"/>
      <w:lvlJc w:val="left"/>
      <w:pPr>
        <w:ind w:left="830" w:hanging="358"/>
        <w:jc w:val="left"/>
      </w:pPr>
      <w:rPr>
        <w:rFonts w:ascii="Arial" w:eastAsia="Arial" w:hAnsi="Arial" w:cs="Arial" w:hint="default"/>
        <w:color w:val="131313"/>
        <w:spacing w:val="-1"/>
        <w:w w:val="92"/>
        <w:sz w:val="14"/>
        <w:szCs w:val="14"/>
        <w:lang w:val="en-US" w:eastAsia="en-US" w:bidi="en-US"/>
      </w:rPr>
    </w:lvl>
    <w:lvl w:ilvl="1" w:tplc="1D661E3E">
      <w:numFmt w:val="bullet"/>
      <w:lvlText w:val="•"/>
      <w:lvlJc w:val="left"/>
      <w:pPr>
        <w:ind w:left="1418" w:hanging="358"/>
      </w:pPr>
      <w:rPr>
        <w:rFonts w:hint="default"/>
        <w:lang w:val="en-US" w:eastAsia="en-US" w:bidi="en-US"/>
      </w:rPr>
    </w:lvl>
    <w:lvl w:ilvl="2" w:tplc="7602CA8A">
      <w:numFmt w:val="bullet"/>
      <w:lvlText w:val="•"/>
      <w:lvlJc w:val="left"/>
      <w:pPr>
        <w:ind w:left="1996" w:hanging="358"/>
      </w:pPr>
      <w:rPr>
        <w:rFonts w:hint="default"/>
        <w:lang w:val="en-US" w:eastAsia="en-US" w:bidi="en-US"/>
      </w:rPr>
    </w:lvl>
    <w:lvl w:ilvl="3" w:tplc="895C0A5A">
      <w:numFmt w:val="bullet"/>
      <w:lvlText w:val="•"/>
      <w:lvlJc w:val="left"/>
      <w:pPr>
        <w:ind w:left="2574" w:hanging="358"/>
      </w:pPr>
      <w:rPr>
        <w:rFonts w:hint="default"/>
        <w:lang w:val="en-US" w:eastAsia="en-US" w:bidi="en-US"/>
      </w:rPr>
    </w:lvl>
    <w:lvl w:ilvl="4" w:tplc="617AD8AE">
      <w:numFmt w:val="bullet"/>
      <w:lvlText w:val="•"/>
      <w:lvlJc w:val="left"/>
      <w:pPr>
        <w:ind w:left="3152" w:hanging="358"/>
      </w:pPr>
      <w:rPr>
        <w:rFonts w:hint="default"/>
        <w:lang w:val="en-US" w:eastAsia="en-US" w:bidi="en-US"/>
      </w:rPr>
    </w:lvl>
    <w:lvl w:ilvl="5" w:tplc="2438C456">
      <w:numFmt w:val="bullet"/>
      <w:lvlText w:val="•"/>
      <w:lvlJc w:val="left"/>
      <w:pPr>
        <w:ind w:left="3730" w:hanging="358"/>
      </w:pPr>
      <w:rPr>
        <w:rFonts w:hint="default"/>
        <w:lang w:val="en-US" w:eastAsia="en-US" w:bidi="en-US"/>
      </w:rPr>
    </w:lvl>
    <w:lvl w:ilvl="6" w:tplc="B854152E">
      <w:numFmt w:val="bullet"/>
      <w:lvlText w:val="•"/>
      <w:lvlJc w:val="left"/>
      <w:pPr>
        <w:ind w:left="4308" w:hanging="358"/>
      </w:pPr>
      <w:rPr>
        <w:rFonts w:hint="default"/>
        <w:lang w:val="en-US" w:eastAsia="en-US" w:bidi="en-US"/>
      </w:rPr>
    </w:lvl>
    <w:lvl w:ilvl="7" w:tplc="DC7AB62C">
      <w:numFmt w:val="bullet"/>
      <w:lvlText w:val="•"/>
      <w:lvlJc w:val="left"/>
      <w:pPr>
        <w:ind w:left="4886" w:hanging="358"/>
      </w:pPr>
      <w:rPr>
        <w:rFonts w:hint="default"/>
        <w:lang w:val="en-US" w:eastAsia="en-US" w:bidi="en-US"/>
      </w:rPr>
    </w:lvl>
    <w:lvl w:ilvl="8" w:tplc="5748E438">
      <w:numFmt w:val="bullet"/>
      <w:lvlText w:val="•"/>
      <w:lvlJc w:val="left"/>
      <w:pPr>
        <w:ind w:left="5464" w:hanging="358"/>
      </w:pPr>
      <w:rPr>
        <w:rFonts w:hint="default"/>
        <w:lang w:val="en-US" w:eastAsia="en-US" w:bidi="en-US"/>
      </w:rPr>
    </w:lvl>
  </w:abstractNum>
  <w:abstractNum w:abstractNumId="32" w15:restartNumberingAfterBreak="0">
    <w:nsid w:val="56B82435"/>
    <w:multiLevelType w:val="hybridMultilevel"/>
    <w:tmpl w:val="93D4B212"/>
    <w:lvl w:ilvl="0" w:tplc="FD0C5590">
      <w:numFmt w:val="bullet"/>
      <w:lvlText w:val="•"/>
      <w:lvlJc w:val="left"/>
      <w:pPr>
        <w:ind w:left="2060" w:hanging="360"/>
      </w:pPr>
      <w:rPr>
        <w:rFonts w:ascii="Adobe Garamond Pro" w:eastAsia="Adobe Garamond Pro" w:hAnsi="Adobe Garamond Pro" w:cs="Adobe Garamond Pro" w:hint="default"/>
        <w:color w:val="231F20"/>
        <w:spacing w:val="-16"/>
        <w:w w:val="99"/>
        <w:sz w:val="20"/>
        <w:szCs w:val="20"/>
        <w:lang w:val="en-US" w:eastAsia="en-US" w:bidi="en-US"/>
      </w:rPr>
    </w:lvl>
    <w:lvl w:ilvl="1" w:tplc="E8628D88">
      <w:numFmt w:val="bullet"/>
      <w:lvlText w:val="•"/>
      <w:lvlJc w:val="left"/>
      <w:pPr>
        <w:ind w:left="3044" w:hanging="360"/>
      </w:pPr>
      <w:rPr>
        <w:rFonts w:hint="default"/>
        <w:lang w:val="en-US" w:eastAsia="en-US" w:bidi="en-US"/>
      </w:rPr>
    </w:lvl>
    <w:lvl w:ilvl="2" w:tplc="20443786">
      <w:numFmt w:val="bullet"/>
      <w:lvlText w:val="•"/>
      <w:lvlJc w:val="left"/>
      <w:pPr>
        <w:ind w:left="4029" w:hanging="360"/>
      </w:pPr>
      <w:rPr>
        <w:rFonts w:hint="default"/>
        <w:lang w:val="en-US" w:eastAsia="en-US" w:bidi="en-US"/>
      </w:rPr>
    </w:lvl>
    <w:lvl w:ilvl="3" w:tplc="8580287E">
      <w:numFmt w:val="bullet"/>
      <w:lvlText w:val="•"/>
      <w:lvlJc w:val="left"/>
      <w:pPr>
        <w:ind w:left="5013" w:hanging="360"/>
      </w:pPr>
      <w:rPr>
        <w:rFonts w:hint="default"/>
        <w:lang w:val="en-US" w:eastAsia="en-US" w:bidi="en-US"/>
      </w:rPr>
    </w:lvl>
    <w:lvl w:ilvl="4" w:tplc="CADE5264">
      <w:numFmt w:val="bullet"/>
      <w:lvlText w:val="•"/>
      <w:lvlJc w:val="left"/>
      <w:pPr>
        <w:ind w:left="5998" w:hanging="360"/>
      </w:pPr>
      <w:rPr>
        <w:rFonts w:hint="default"/>
        <w:lang w:val="en-US" w:eastAsia="en-US" w:bidi="en-US"/>
      </w:rPr>
    </w:lvl>
    <w:lvl w:ilvl="5" w:tplc="61402B84">
      <w:numFmt w:val="bullet"/>
      <w:lvlText w:val="•"/>
      <w:lvlJc w:val="left"/>
      <w:pPr>
        <w:ind w:left="6982" w:hanging="360"/>
      </w:pPr>
      <w:rPr>
        <w:rFonts w:hint="default"/>
        <w:lang w:val="en-US" w:eastAsia="en-US" w:bidi="en-US"/>
      </w:rPr>
    </w:lvl>
    <w:lvl w:ilvl="6" w:tplc="F50ECF62">
      <w:numFmt w:val="bullet"/>
      <w:lvlText w:val="•"/>
      <w:lvlJc w:val="left"/>
      <w:pPr>
        <w:ind w:left="7967" w:hanging="360"/>
      </w:pPr>
      <w:rPr>
        <w:rFonts w:hint="default"/>
        <w:lang w:val="en-US" w:eastAsia="en-US" w:bidi="en-US"/>
      </w:rPr>
    </w:lvl>
    <w:lvl w:ilvl="7" w:tplc="702CE4F4">
      <w:numFmt w:val="bullet"/>
      <w:lvlText w:val="•"/>
      <w:lvlJc w:val="left"/>
      <w:pPr>
        <w:ind w:left="8951" w:hanging="360"/>
      </w:pPr>
      <w:rPr>
        <w:rFonts w:hint="default"/>
        <w:lang w:val="en-US" w:eastAsia="en-US" w:bidi="en-US"/>
      </w:rPr>
    </w:lvl>
    <w:lvl w:ilvl="8" w:tplc="120CCF7A">
      <w:numFmt w:val="bullet"/>
      <w:lvlText w:val="•"/>
      <w:lvlJc w:val="left"/>
      <w:pPr>
        <w:ind w:left="9936" w:hanging="360"/>
      </w:pPr>
      <w:rPr>
        <w:rFonts w:hint="default"/>
        <w:lang w:val="en-US" w:eastAsia="en-US" w:bidi="en-US"/>
      </w:rPr>
    </w:lvl>
  </w:abstractNum>
  <w:abstractNum w:abstractNumId="33" w15:restartNumberingAfterBreak="0">
    <w:nsid w:val="58CA058A"/>
    <w:multiLevelType w:val="multilevel"/>
    <w:tmpl w:val="894A711E"/>
    <w:lvl w:ilvl="0">
      <w:start w:val="3"/>
      <w:numFmt w:val="decimal"/>
      <w:lvlText w:val="%1"/>
      <w:lvlJc w:val="left"/>
      <w:pPr>
        <w:ind w:left="972" w:hanging="500"/>
        <w:jc w:val="left"/>
      </w:pPr>
      <w:rPr>
        <w:rFonts w:hint="default"/>
        <w:lang w:val="en-US" w:eastAsia="en-US" w:bidi="en-US"/>
      </w:rPr>
    </w:lvl>
    <w:lvl w:ilvl="1">
      <w:start w:val="4"/>
      <w:numFmt w:val="decimal"/>
      <w:lvlText w:val="%1.%2"/>
      <w:lvlJc w:val="left"/>
      <w:pPr>
        <w:ind w:left="972" w:hanging="500"/>
        <w:jc w:val="left"/>
      </w:pPr>
      <w:rPr>
        <w:rFonts w:hint="default"/>
        <w:lang w:val="en-US" w:eastAsia="en-US" w:bidi="en-US"/>
      </w:rPr>
    </w:lvl>
    <w:lvl w:ilvl="2">
      <w:start w:val="8"/>
      <w:numFmt w:val="decimal"/>
      <w:lvlText w:val="%1.%2.%3"/>
      <w:lvlJc w:val="left"/>
      <w:pPr>
        <w:ind w:left="972" w:hanging="500"/>
        <w:jc w:val="left"/>
      </w:pPr>
      <w:rPr>
        <w:rFonts w:ascii="Arial" w:eastAsia="Arial" w:hAnsi="Arial" w:cs="Arial" w:hint="default"/>
        <w:color w:val="131313"/>
        <w:spacing w:val="-16"/>
        <w:w w:val="107"/>
        <w:sz w:val="14"/>
        <w:szCs w:val="14"/>
        <w:lang w:val="en-US" w:eastAsia="en-US" w:bidi="en-US"/>
      </w:rPr>
    </w:lvl>
    <w:lvl w:ilvl="3">
      <w:numFmt w:val="bullet"/>
      <w:lvlText w:val="•"/>
      <w:lvlJc w:val="left"/>
      <w:pPr>
        <w:ind w:left="1392" w:hanging="500"/>
      </w:pPr>
      <w:rPr>
        <w:rFonts w:hint="default"/>
        <w:lang w:val="en-US" w:eastAsia="en-US" w:bidi="en-US"/>
      </w:rPr>
    </w:lvl>
    <w:lvl w:ilvl="4">
      <w:numFmt w:val="bullet"/>
      <w:lvlText w:val="•"/>
      <w:lvlJc w:val="left"/>
      <w:pPr>
        <w:ind w:left="1530" w:hanging="500"/>
      </w:pPr>
      <w:rPr>
        <w:rFonts w:hint="default"/>
        <w:lang w:val="en-US" w:eastAsia="en-US" w:bidi="en-US"/>
      </w:rPr>
    </w:lvl>
    <w:lvl w:ilvl="5">
      <w:numFmt w:val="bullet"/>
      <w:lvlText w:val="•"/>
      <w:lvlJc w:val="left"/>
      <w:pPr>
        <w:ind w:left="1667" w:hanging="500"/>
      </w:pPr>
      <w:rPr>
        <w:rFonts w:hint="default"/>
        <w:lang w:val="en-US" w:eastAsia="en-US" w:bidi="en-US"/>
      </w:rPr>
    </w:lvl>
    <w:lvl w:ilvl="6">
      <w:numFmt w:val="bullet"/>
      <w:lvlText w:val="•"/>
      <w:lvlJc w:val="left"/>
      <w:pPr>
        <w:ind w:left="1805" w:hanging="500"/>
      </w:pPr>
      <w:rPr>
        <w:rFonts w:hint="default"/>
        <w:lang w:val="en-US" w:eastAsia="en-US" w:bidi="en-US"/>
      </w:rPr>
    </w:lvl>
    <w:lvl w:ilvl="7">
      <w:numFmt w:val="bullet"/>
      <w:lvlText w:val="•"/>
      <w:lvlJc w:val="left"/>
      <w:pPr>
        <w:ind w:left="1942" w:hanging="500"/>
      </w:pPr>
      <w:rPr>
        <w:rFonts w:hint="default"/>
        <w:lang w:val="en-US" w:eastAsia="en-US" w:bidi="en-US"/>
      </w:rPr>
    </w:lvl>
    <w:lvl w:ilvl="8">
      <w:numFmt w:val="bullet"/>
      <w:lvlText w:val="•"/>
      <w:lvlJc w:val="left"/>
      <w:pPr>
        <w:ind w:left="2080" w:hanging="500"/>
      </w:pPr>
      <w:rPr>
        <w:rFonts w:hint="default"/>
        <w:lang w:val="en-US" w:eastAsia="en-US" w:bidi="en-US"/>
      </w:rPr>
    </w:lvl>
  </w:abstractNum>
  <w:abstractNum w:abstractNumId="34" w15:restartNumberingAfterBreak="0">
    <w:nsid w:val="59D2034C"/>
    <w:multiLevelType w:val="multilevel"/>
    <w:tmpl w:val="FCE6AA42"/>
    <w:lvl w:ilvl="0">
      <w:start w:val="2"/>
      <w:numFmt w:val="decimal"/>
      <w:lvlText w:val="%1"/>
      <w:lvlJc w:val="left"/>
      <w:pPr>
        <w:ind w:left="967" w:hanging="493"/>
        <w:jc w:val="left"/>
      </w:pPr>
      <w:rPr>
        <w:rFonts w:hint="default"/>
        <w:lang w:val="en-US" w:eastAsia="en-US" w:bidi="en-US"/>
      </w:rPr>
    </w:lvl>
    <w:lvl w:ilvl="1">
      <w:start w:val="4"/>
      <w:numFmt w:val="decimal"/>
      <w:lvlText w:val="%1.%2"/>
      <w:lvlJc w:val="left"/>
      <w:pPr>
        <w:ind w:left="967" w:hanging="493"/>
        <w:jc w:val="left"/>
      </w:pPr>
      <w:rPr>
        <w:rFonts w:hint="default"/>
        <w:lang w:val="en-US" w:eastAsia="en-US" w:bidi="en-US"/>
      </w:rPr>
    </w:lvl>
    <w:lvl w:ilvl="2">
      <w:start w:val="12"/>
      <w:numFmt w:val="decimal"/>
      <w:lvlText w:val="%1.%2.%3"/>
      <w:lvlJc w:val="left"/>
      <w:pPr>
        <w:ind w:left="967" w:hanging="493"/>
        <w:jc w:val="left"/>
      </w:pPr>
      <w:rPr>
        <w:rFonts w:ascii="Arial" w:eastAsia="Arial" w:hAnsi="Arial" w:cs="Arial" w:hint="default"/>
        <w:color w:val="131313"/>
        <w:spacing w:val="-1"/>
        <w:w w:val="100"/>
        <w:sz w:val="14"/>
        <w:szCs w:val="14"/>
        <w:lang w:val="en-US" w:eastAsia="en-US" w:bidi="en-US"/>
      </w:rPr>
    </w:lvl>
    <w:lvl w:ilvl="3">
      <w:numFmt w:val="bullet"/>
      <w:lvlText w:val="•"/>
      <w:lvlJc w:val="left"/>
      <w:pPr>
        <w:ind w:left="1539" w:hanging="493"/>
      </w:pPr>
      <w:rPr>
        <w:rFonts w:hint="default"/>
        <w:lang w:val="en-US" w:eastAsia="en-US" w:bidi="en-US"/>
      </w:rPr>
    </w:lvl>
    <w:lvl w:ilvl="4">
      <w:numFmt w:val="bullet"/>
      <w:lvlText w:val="•"/>
      <w:lvlJc w:val="left"/>
      <w:pPr>
        <w:ind w:left="1732" w:hanging="493"/>
      </w:pPr>
      <w:rPr>
        <w:rFonts w:hint="default"/>
        <w:lang w:val="en-US" w:eastAsia="en-US" w:bidi="en-US"/>
      </w:rPr>
    </w:lvl>
    <w:lvl w:ilvl="5">
      <w:numFmt w:val="bullet"/>
      <w:lvlText w:val="•"/>
      <w:lvlJc w:val="left"/>
      <w:pPr>
        <w:ind w:left="1926" w:hanging="493"/>
      </w:pPr>
      <w:rPr>
        <w:rFonts w:hint="default"/>
        <w:lang w:val="en-US" w:eastAsia="en-US" w:bidi="en-US"/>
      </w:rPr>
    </w:lvl>
    <w:lvl w:ilvl="6">
      <w:numFmt w:val="bullet"/>
      <w:lvlText w:val="•"/>
      <w:lvlJc w:val="left"/>
      <w:pPr>
        <w:ind w:left="2119" w:hanging="493"/>
      </w:pPr>
      <w:rPr>
        <w:rFonts w:hint="default"/>
        <w:lang w:val="en-US" w:eastAsia="en-US" w:bidi="en-US"/>
      </w:rPr>
    </w:lvl>
    <w:lvl w:ilvl="7">
      <w:numFmt w:val="bullet"/>
      <w:lvlText w:val="•"/>
      <w:lvlJc w:val="left"/>
      <w:pPr>
        <w:ind w:left="2312" w:hanging="493"/>
      </w:pPr>
      <w:rPr>
        <w:rFonts w:hint="default"/>
        <w:lang w:val="en-US" w:eastAsia="en-US" w:bidi="en-US"/>
      </w:rPr>
    </w:lvl>
    <w:lvl w:ilvl="8">
      <w:numFmt w:val="bullet"/>
      <w:lvlText w:val="•"/>
      <w:lvlJc w:val="left"/>
      <w:pPr>
        <w:ind w:left="2505" w:hanging="493"/>
      </w:pPr>
      <w:rPr>
        <w:rFonts w:hint="default"/>
        <w:lang w:val="en-US" w:eastAsia="en-US" w:bidi="en-US"/>
      </w:rPr>
    </w:lvl>
  </w:abstractNum>
  <w:abstractNum w:abstractNumId="35" w15:restartNumberingAfterBreak="0">
    <w:nsid w:val="5A1D4624"/>
    <w:multiLevelType w:val="multilevel"/>
    <w:tmpl w:val="5312391C"/>
    <w:lvl w:ilvl="0">
      <w:start w:val="2"/>
      <w:numFmt w:val="decimal"/>
      <w:lvlText w:val="%1"/>
      <w:lvlJc w:val="left"/>
      <w:pPr>
        <w:ind w:left="972" w:hanging="498"/>
        <w:jc w:val="left"/>
      </w:pPr>
      <w:rPr>
        <w:rFonts w:hint="default"/>
        <w:lang w:val="en-US" w:eastAsia="en-US" w:bidi="en-US"/>
      </w:rPr>
    </w:lvl>
    <w:lvl w:ilvl="1">
      <w:start w:val="3"/>
      <w:numFmt w:val="decimal"/>
      <w:lvlText w:val="%1.%2"/>
      <w:lvlJc w:val="left"/>
      <w:pPr>
        <w:ind w:left="972" w:hanging="498"/>
        <w:jc w:val="left"/>
      </w:pPr>
      <w:rPr>
        <w:rFonts w:hint="default"/>
        <w:lang w:val="en-US" w:eastAsia="en-US" w:bidi="en-US"/>
      </w:rPr>
    </w:lvl>
    <w:lvl w:ilvl="2">
      <w:start w:val="9"/>
      <w:numFmt w:val="decimal"/>
      <w:lvlText w:val="%1.%2.%3"/>
      <w:lvlJc w:val="left"/>
      <w:pPr>
        <w:ind w:left="972" w:hanging="498"/>
        <w:jc w:val="left"/>
      </w:pPr>
      <w:rPr>
        <w:rFonts w:ascii="Arial" w:eastAsia="Arial" w:hAnsi="Arial" w:cs="Arial" w:hint="default"/>
        <w:color w:val="131313"/>
        <w:spacing w:val="-14"/>
        <w:w w:val="106"/>
        <w:sz w:val="14"/>
        <w:szCs w:val="14"/>
        <w:lang w:val="en-US" w:eastAsia="en-US" w:bidi="en-US"/>
      </w:rPr>
    </w:lvl>
    <w:lvl w:ilvl="3">
      <w:numFmt w:val="bullet"/>
      <w:lvlText w:val="•"/>
      <w:lvlJc w:val="left"/>
      <w:pPr>
        <w:ind w:left="1392" w:hanging="498"/>
      </w:pPr>
      <w:rPr>
        <w:rFonts w:hint="default"/>
        <w:lang w:val="en-US" w:eastAsia="en-US" w:bidi="en-US"/>
      </w:rPr>
    </w:lvl>
    <w:lvl w:ilvl="4">
      <w:numFmt w:val="bullet"/>
      <w:lvlText w:val="•"/>
      <w:lvlJc w:val="left"/>
      <w:pPr>
        <w:ind w:left="1530" w:hanging="498"/>
      </w:pPr>
      <w:rPr>
        <w:rFonts w:hint="default"/>
        <w:lang w:val="en-US" w:eastAsia="en-US" w:bidi="en-US"/>
      </w:rPr>
    </w:lvl>
    <w:lvl w:ilvl="5">
      <w:numFmt w:val="bullet"/>
      <w:lvlText w:val="•"/>
      <w:lvlJc w:val="left"/>
      <w:pPr>
        <w:ind w:left="1667" w:hanging="498"/>
      </w:pPr>
      <w:rPr>
        <w:rFonts w:hint="default"/>
        <w:lang w:val="en-US" w:eastAsia="en-US" w:bidi="en-US"/>
      </w:rPr>
    </w:lvl>
    <w:lvl w:ilvl="6">
      <w:numFmt w:val="bullet"/>
      <w:lvlText w:val="•"/>
      <w:lvlJc w:val="left"/>
      <w:pPr>
        <w:ind w:left="1805" w:hanging="498"/>
      </w:pPr>
      <w:rPr>
        <w:rFonts w:hint="default"/>
        <w:lang w:val="en-US" w:eastAsia="en-US" w:bidi="en-US"/>
      </w:rPr>
    </w:lvl>
    <w:lvl w:ilvl="7">
      <w:numFmt w:val="bullet"/>
      <w:lvlText w:val="•"/>
      <w:lvlJc w:val="left"/>
      <w:pPr>
        <w:ind w:left="1942" w:hanging="498"/>
      </w:pPr>
      <w:rPr>
        <w:rFonts w:hint="default"/>
        <w:lang w:val="en-US" w:eastAsia="en-US" w:bidi="en-US"/>
      </w:rPr>
    </w:lvl>
    <w:lvl w:ilvl="8">
      <w:numFmt w:val="bullet"/>
      <w:lvlText w:val="•"/>
      <w:lvlJc w:val="left"/>
      <w:pPr>
        <w:ind w:left="2080" w:hanging="498"/>
      </w:pPr>
      <w:rPr>
        <w:rFonts w:hint="default"/>
        <w:lang w:val="en-US" w:eastAsia="en-US" w:bidi="en-US"/>
      </w:rPr>
    </w:lvl>
  </w:abstractNum>
  <w:abstractNum w:abstractNumId="36" w15:restartNumberingAfterBreak="0">
    <w:nsid w:val="5ACC1C6E"/>
    <w:multiLevelType w:val="hybridMultilevel"/>
    <w:tmpl w:val="C24C4ED0"/>
    <w:lvl w:ilvl="0" w:tplc="E6083D38">
      <w:numFmt w:val="bullet"/>
      <w:lvlText w:val="•"/>
      <w:lvlJc w:val="left"/>
      <w:pPr>
        <w:ind w:left="651" w:hanging="360"/>
      </w:pPr>
      <w:rPr>
        <w:rFonts w:ascii="Adobe Garamond Pro" w:eastAsia="Adobe Garamond Pro" w:hAnsi="Adobe Garamond Pro" w:cs="Adobe Garamond Pro" w:hint="default"/>
        <w:color w:val="231F20"/>
        <w:spacing w:val="-6"/>
        <w:w w:val="100"/>
        <w:sz w:val="20"/>
        <w:szCs w:val="20"/>
        <w:lang w:val="en-US" w:eastAsia="en-US" w:bidi="en-US"/>
      </w:rPr>
    </w:lvl>
    <w:lvl w:ilvl="1" w:tplc="E04C7BAC">
      <w:numFmt w:val="bullet"/>
      <w:lvlText w:val="•"/>
      <w:lvlJc w:val="left"/>
      <w:pPr>
        <w:ind w:left="1473" w:hanging="360"/>
      </w:pPr>
      <w:rPr>
        <w:rFonts w:hint="default"/>
        <w:lang w:val="en-US" w:eastAsia="en-US" w:bidi="en-US"/>
      </w:rPr>
    </w:lvl>
    <w:lvl w:ilvl="2" w:tplc="124676BC">
      <w:numFmt w:val="bullet"/>
      <w:lvlText w:val="•"/>
      <w:lvlJc w:val="left"/>
      <w:pPr>
        <w:ind w:left="2286" w:hanging="360"/>
      </w:pPr>
      <w:rPr>
        <w:rFonts w:hint="default"/>
        <w:lang w:val="en-US" w:eastAsia="en-US" w:bidi="en-US"/>
      </w:rPr>
    </w:lvl>
    <w:lvl w:ilvl="3" w:tplc="A77810FA">
      <w:numFmt w:val="bullet"/>
      <w:lvlText w:val="•"/>
      <w:lvlJc w:val="left"/>
      <w:pPr>
        <w:ind w:left="3100" w:hanging="360"/>
      </w:pPr>
      <w:rPr>
        <w:rFonts w:hint="default"/>
        <w:lang w:val="en-US" w:eastAsia="en-US" w:bidi="en-US"/>
      </w:rPr>
    </w:lvl>
    <w:lvl w:ilvl="4" w:tplc="AD4A75B2">
      <w:numFmt w:val="bullet"/>
      <w:lvlText w:val="•"/>
      <w:lvlJc w:val="left"/>
      <w:pPr>
        <w:ind w:left="3913" w:hanging="360"/>
      </w:pPr>
      <w:rPr>
        <w:rFonts w:hint="default"/>
        <w:lang w:val="en-US" w:eastAsia="en-US" w:bidi="en-US"/>
      </w:rPr>
    </w:lvl>
    <w:lvl w:ilvl="5" w:tplc="BE7E605C">
      <w:numFmt w:val="bullet"/>
      <w:lvlText w:val="•"/>
      <w:lvlJc w:val="left"/>
      <w:pPr>
        <w:ind w:left="4726" w:hanging="360"/>
      </w:pPr>
      <w:rPr>
        <w:rFonts w:hint="default"/>
        <w:lang w:val="en-US" w:eastAsia="en-US" w:bidi="en-US"/>
      </w:rPr>
    </w:lvl>
    <w:lvl w:ilvl="6" w:tplc="2350FCC8">
      <w:numFmt w:val="bullet"/>
      <w:lvlText w:val="•"/>
      <w:lvlJc w:val="left"/>
      <w:pPr>
        <w:ind w:left="5540" w:hanging="360"/>
      </w:pPr>
      <w:rPr>
        <w:rFonts w:hint="default"/>
        <w:lang w:val="en-US" w:eastAsia="en-US" w:bidi="en-US"/>
      </w:rPr>
    </w:lvl>
    <w:lvl w:ilvl="7" w:tplc="1952C022">
      <w:numFmt w:val="bullet"/>
      <w:lvlText w:val="•"/>
      <w:lvlJc w:val="left"/>
      <w:pPr>
        <w:ind w:left="6353" w:hanging="360"/>
      </w:pPr>
      <w:rPr>
        <w:rFonts w:hint="default"/>
        <w:lang w:val="en-US" w:eastAsia="en-US" w:bidi="en-US"/>
      </w:rPr>
    </w:lvl>
    <w:lvl w:ilvl="8" w:tplc="7D26C31A">
      <w:numFmt w:val="bullet"/>
      <w:lvlText w:val="•"/>
      <w:lvlJc w:val="left"/>
      <w:pPr>
        <w:ind w:left="7167" w:hanging="360"/>
      </w:pPr>
      <w:rPr>
        <w:rFonts w:hint="default"/>
        <w:lang w:val="en-US" w:eastAsia="en-US" w:bidi="en-US"/>
      </w:rPr>
    </w:lvl>
  </w:abstractNum>
  <w:abstractNum w:abstractNumId="37" w15:restartNumberingAfterBreak="0">
    <w:nsid w:val="601258FB"/>
    <w:multiLevelType w:val="hybridMultilevel"/>
    <w:tmpl w:val="DD5EDDE8"/>
    <w:lvl w:ilvl="0" w:tplc="BF5E1454">
      <w:start w:val="5"/>
      <w:numFmt w:val="decimal"/>
      <w:lvlText w:val="%1"/>
      <w:lvlJc w:val="left"/>
      <w:pPr>
        <w:ind w:left="1850" w:hanging="150"/>
        <w:jc w:val="left"/>
      </w:pPr>
      <w:rPr>
        <w:rFonts w:ascii="Myriad Pro" w:eastAsia="Myriad Pro" w:hAnsi="Myriad Pro" w:cs="Myriad Pro" w:hint="default"/>
        <w:color w:val="231F20"/>
        <w:spacing w:val="-1"/>
        <w:w w:val="100"/>
        <w:sz w:val="16"/>
        <w:szCs w:val="16"/>
        <w:lang w:val="en-US" w:eastAsia="en-US" w:bidi="en-US"/>
      </w:rPr>
    </w:lvl>
    <w:lvl w:ilvl="1" w:tplc="3A52DE64">
      <w:numFmt w:val="bullet"/>
      <w:lvlText w:val="•"/>
      <w:lvlJc w:val="left"/>
      <w:pPr>
        <w:ind w:left="2864" w:hanging="150"/>
      </w:pPr>
      <w:rPr>
        <w:rFonts w:hint="default"/>
        <w:lang w:val="en-US" w:eastAsia="en-US" w:bidi="en-US"/>
      </w:rPr>
    </w:lvl>
    <w:lvl w:ilvl="2" w:tplc="4420152A">
      <w:numFmt w:val="bullet"/>
      <w:lvlText w:val="•"/>
      <w:lvlJc w:val="left"/>
      <w:pPr>
        <w:ind w:left="3869" w:hanging="150"/>
      </w:pPr>
      <w:rPr>
        <w:rFonts w:hint="default"/>
        <w:lang w:val="en-US" w:eastAsia="en-US" w:bidi="en-US"/>
      </w:rPr>
    </w:lvl>
    <w:lvl w:ilvl="3" w:tplc="353CBC32">
      <w:numFmt w:val="bullet"/>
      <w:lvlText w:val="•"/>
      <w:lvlJc w:val="left"/>
      <w:pPr>
        <w:ind w:left="4873" w:hanging="150"/>
      </w:pPr>
      <w:rPr>
        <w:rFonts w:hint="default"/>
        <w:lang w:val="en-US" w:eastAsia="en-US" w:bidi="en-US"/>
      </w:rPr>
    </w:lvl>
    <w:lvl w:ilvl="4" w:tplc="56E6108A">
      <w:numFmt w:val="bullet"/>
      <w:lvlText w:val="•"/>
      <w:lvlJc w:val="left"/>
      <w:pPr>
        <w:ind w:left="5878" w:hanging="150"/>
      </w:pPr>
      <w:rPr>
        <w:rFonts w:hint="default"/>
        <w:lang w:val="en-US" w:eastAsia="en-US" w:bidi="en-US"/>
      </w:rPr>
    </w:lvl>
    <w:lvl w:ilvl="5" w:tplc="BB9A878A">
      <w:numFmt w:val="bullet"/>
      <w:lvlText w:val="•"/>
      <w:lvlJc w:val="left"/>
      <w:pPr>
        <w:ind w:left="6882" w:hanging="150"/>
      </w:pPr>
      <w:rPr>
        <w:rFonts w:hint="default"/>
        <w:lang w:val="en-US" w:eastAsia="en-US" w:bidi="en-US"/>
      </w:rPr>
    </w:lvl>
    <w:lvl w:ilvl="6" w:tplc="3118D9AC">
      <w:numFmt w:val="bullet"/>
      <w:lvlText w:val="•"/>
      <w:lvlJc w:val="left"/>
      <w:pPr>
        <w:ind w:left="7887" w:hanging="150"/>
      </w:pPr>
      <w:rPr>
        <w:rFonts w:hint="default"/>
        <w:lang w:val="en-US" w:eastAsia="en-US" w:bidi="en-US"/>
      </w:rPr>
    </w:lvl>
    <w:lvl w:ilvl="7" w:tplc="41469538">
      <w:numFmt w:val="bullet"/>
      <w:lvlText w:val="•"/>
      <w:lvlJc w:val="left"/>
      <w:pPr>
        <w:ind w:left="8891" w:hanging="150"/>
      </w:pPr>
      <w:rPr>
        <w:rFonts w:hint="default"/>
        <w:lang w:val="en-US" w:eastAsia="en-US" w:bidi="en-US"/>
      </w:rPr>
    </w:lvl>
    <w:lvl w:ilvl="8" w:tplc="241A4726">
      <w:numFmt w:val="bullet"/>
      <w:lvlText w:val="•"/>
      <w:lvlJc w:val="left"/>
      <w:pPr>
        <w:ind w:left="9896" w:hanging="150"/>
      </w:pPr>
      <w:rPr>
        <w:rFonts w:hint="default"/>
        <w:lang w:val="en-US" w:eastAsia="en-US" w:bidi="en-US"/>
      </w:rPr>
    </w:lvl>
  </w:abstractNum>
  <w:abstractNum w:abstractNumId="38" w15:restartNumberingAfterBreak="0">
    <w:nsid w:val="61065C69"/>
    <w:multiLevelType w:val="multilevel"/>
    <w:tmpl w:val="471A43A8"/>
    <w:lvl w:ilvl="0">
      <w:start w:val="2"/>
      <w:numFmt w:val="decimal"/>
      <w:lvlText w:val="%1"/>
      <w:lvlJc w:val="left"/>
      <w:pPr>
        <w:ind w:left="967" w:hanging="493"/>
        <w:jc w:val="left"/>
      </w:pPr>
      <w:rPr>
        <w:rFonts w:hint="default"/>
        <w:lang w:val="en-US" w:eastAsia="en-US" w:bidi="en-US"/>
      </w:rPr>
    </w:lvl>
    <w:lvl w:ilvl="1">
      <w:start w:val="4"/>
      <w:numFmt w:val="decimal"/>
      <w:lvlText w:val="%1.%2"/>
      <w:lvlJc w:val="left"/>
      <w:pPr>
        <w:ind w:left="967" w:hanging="493"/>
        <w:jc w:val="left"/>
      </w:pPr>
      <w:rPr>
        <w:rFonts w:hint="default"/>
        <w:lang w:val="en-US" w:eastAsia="en-US" w:bidi="en-US"/>
      </w:rPr>
    </w:lvl>
    <w:lvl w:ilvl="2">
      <w:start w:val="12"/>
      <w:numFmt w:val="decimal"/>
      <w:lvlText w:val="%1.%2.%3"/>
      <w:lvlJc w:val="left"/>
      <w:pPr>
        <w:ind w:left="967" w:hanging="493"/>
        <w:jc w:val="left"/>
      </w:pPr>
      <w:rPr>
        <w:rFonts w:ascii="Arial" w:eastAsia="Arial" w:hAnsi="Arial" w:cs="Arial" w:hint="default"/>
        <w:color w:val="131313"/>
        <w:spacing w:val="-14"/>
        <w:w w:val="106"/>
        <w:sz w:val="14"/>
        <w:szCs w:val="14"/>
        <w:lang w:val="en-US" w:eastAsia="en-US" w:bidi="en-US"/>
      </w:rPr>
    </w:lvl>
    <w:lvl w:ilvl="3">
      <w:numFmt w:val="bullet"/>
      <w:lvlText w:val="•"/>
      <w:lvlJc w:val="left"/>
      <w:pPr>
        <w:ind w:left="1378" w:hanging="493"/>
      </w:pPr>
      <w:rPr>
        <w:rFonts w:hint="default"/>
        <w:lang w:val="en-US" w:eastAsia="en-US" w:bidi="en-US"/>
      </w:rPr>
    </w:lvl>
    <w:lvl w:ilvl="4">
      <w:numFmt w:val="bullet"/>
      <w:lvlText w:val="•"/>
      <w:lvlJc w:val="left"/>
      <w:pPr>
        <w:ind w:left="1518" w:hanging="493"/>
      </w:pPr>
      <w:rPr>
        <w:rFonts w:hint="default"/>
        <w:lang w:val="en-US" w:eastAsia="en-US" w:bidi="en-US"/>
      </w:rPr>
    </w:lvl>
    <w:lvl w:ilvl="5">
      <w:numFmt w:val="bullet"/>
      <w:lvlText w:val="•"/>
      <w:lvlJc w:val="left"/>
      <w:pPr>
        <w:ind w:left="1657" w:hanging="493"/>
      </w:pPr>
      <w:rPr>
        <w:rFonts w:hint="default"/>
        <w:lang w:val="en-US" w:eastAsia="en-US" w:bidi="en-US"/>
      </w:rPr>
    </w:lvl>
    <w:lvl w:ilvl="6">
      <w:numFmt w:val="bullet"/>
      <w:lvlText w:val="•"/>
      <w:lvlJc w:val="left"/>
      <w:pPr>
        <w:ind w:left="1797" w:hanging="493"/>
      </w:pPr>
      <w:rPr>
        <w:rFonts w:hint="default"/>
        <w:lang w:val="en-US" w:eastAsia="en-US" w:bidi="en-US"/>
      </w:rPr>
    </w:lvl>
    <w:lvl w:ilvl="7">
      <w:numFmt w:val="bullet"/>
      <w:lvlText w:val="•"/>
      <w:lvlJc w:val="left"/>
      <w:pPr>
        <w:ind w:left="1936" w:hanging="493"/>
      </w:pPr>
      <w:rPr>
        <w:rFonts w:hint="default"/>
        <w:lang w:val="en-US" w:eastAsia="en-US" w:bidi="en-US"/>
      </w:rPr>
    </w:lvl>
    <w:lvl w:ilvl="8">
      <w:numFmt w:val="bullet"/>
      <w:lvlText w:val="•"/>
      <w:lvlJc w:val="left"/>
      <w:pPr>
        <w:ind w:left="2076" w:hanging="493"/>
      </w:pPr>
      <w:rPr>
        <w:rFonts w:hint="default"/>
        <w:lang w:val="en-US" w:eastAsia="en-US" w:bidi="en-US"/>
      </w:rPr>
    </w:lvl>
  </w:abstractNum>
  <w:abstractNum w:abstractNumId="39" w15:restartNumberingAfterBreak="0">
    <w:nsid w:val="61647247"/>
    <w:multiLevelType w:val="multilevel"/>
    <w:tmpl w:val="F6AE2AC6"/>
    <w:lvl w:ilvl="0">
      <w:start w:val="5"/>
      <w:numFmt w:val="decimal"/>
      <w:lvlText w:val="%1."/>
      <w:lvlJc w:val="left"/>
      <w:pPr>
        <w:ind w:left="2500" w:hanging="800"/>
        <w:jc w:val="left"/>
      </w:pPr>
      <w:rPr>
        <w:rFonts w:ascii="Myriad Pro" w:eastAsia="Myriad Pro" w:hAnsi="Myriad Pro" w:cs="Myriad Pro" w:hint="default"/>
        <w:b/>
        <w:bCs/>
        <w:color w:val="58595B"/>
        <w:spacing w:val="-5"/>
        <w:w w:val="95"/>
        <w:sz w:val="22"/>
        <w:szCs w:val="22"/>
        <w:lang w:val="en-US" w:eastAsia="en-US" w:bidi="en-US"/>
      </w:rPr>
    </w:lvl>
    <w:lvl w:ilvl="1">
      <w:start w:val="1"/>
      <w:numFmt w:val="decimal"/>
      <w:lvlText w:val="%1.%2"/>
      <w:lvlJc w:val="left"/>
      <w:pPr>
        <w:ind w:left="2500" w:hanging="800"/>
        <w:jc w:val="left"/>
      </w:pPr>
      <w:rPr>
        <w:rFonts w:ascii="Myriad Pro" w:eastAsia="Myriad Pro" w:hAnsi="Myriad Pro" w:cs="Myriad Pro" w:hint="default"/>
        <w:color w:val="58595B"/>
        <w:spacing w:val="-16"/>
        <w:w w:val="100"/>
        <w:sz w:val="22"/>
        <w:szCs w:val="22"/>
        <w:lang w:val="en-US" w:eastAsia="en-US" w:bidi="en-US"/>
      </w:rPr>
    </w:lvl>
    <w:lvl w:ilvl="2">
      <w:numFmt w:val="bullet"/>
      <w:lvlText w:val="•"/>
      <w:lvlJc w:val="left"/>
      <w:pPr>
        <w:ind w:left="4381" w:hanging="800"/>
      </w:pPr>
      <w:rPr>
        <w:rFonts w:hint="default"/>
        <w:lang w:val="en-US" w:eastAsia="en-US" w:bidi="en-US"/>
      </w:rPr>
    </w:lvl>
    <w:lvl w:ilvl="3">
      <w:numFmt w:val="bullet"/>
      <w:lvlText w:val="•"/>
      <w:lvlJc w:val="left"/>
      <w:pPr>
        <w:ind w:left="5321" w:hanging="800"/>
      </w:pPr>
      <w:rPr>
        <w:rFonts w:hint="default"/>
        <w:lang w:val="en-US" w:eastAsia="en-US" w:bidi="en-US"/>
      </w:rPr>
    </w:lvl>
    <w:lvl w:ilvl="4">
      <w:numFmt w:val="bullet"/>
      <w:lvlText w:val="•"/>
      <w:lvlJc w:val="left"/>
      <w:pPr>
        <w:ind w:left="6262" w:hanging="800"/>
      </w:pPr>
      <w:rPr>
        <w:rFonts w:hint="default"/>
        <w:lang w:val="en-US" w:eastAsia="en-US" w:bidi="en-US"/>
      </w:rPr>
    </w:lvl>
    <w:lvl w:ilvl="5">
      <w:numFmt w:val="bullet"/>
      <w:lvlText w:val="•"/>
      <w:lvlJc w:val="left"/>
      <w:pPr>
        <w:ind w:left="7202" w:hanging="800"/>
      </w:pPr>
      <w:rPr>
        <w:rFonts w:hint="default"/>
        <w:lang w:val="en-US" w:eastAsia="en-US" w:bidi="en-US"/>
      </w:rPr>
    </w:lvl>
    <w:lvl w:ilvl="6">
      <w:numFmt w:val="bullet"/>
      <w:lvlText w:val="•"/>
      <w:lvlJc w:val="left"/>
      <w:pPr>
        <w:ind w:left="8143" w:hanging="800"/>
      </w:pPr>
      <w:rPr>
        <w:rFonts w:hint="default"/>
        <w:lang w:val="en-US" w:eastAsia="en-US" w:bidi="en-US"/>
      </w:rPr>
    </w:lvl>
    <w:lvl w:ilvl="7">
      <w:numFmt w:val="bullet"/>
      <w:lvlText w:val="•"/>
      <w:lvlJc w:val="left"/>
      <w:pPr>
        <w:ind w:left="9083" w:hanging="800"/>
      </w:pPr>
      <w:rPr>
        <w:rFonts w:hint="default"/>
        <w:lang w:val="en-US" w:eastAsia="en-US" w:bidi="en-US"/>
      </w:rPr>
    </w:lvl>
    <w:lvl w:ilvl="8">
      <w:numFmt w:val="bullet"/>
      <w:lvlText w:val="•"/>
      <w:lvlJc w:val="left"/>
      <w:pPr>
        <w:ind w:left="10024" w:hanging="800"/>
      </w:pPr>
      <w:rPr>
        <w:rFonts w:hint="default"/>
        <w:lang w:val="en-US" w:eastAsia="en-US" w:bidi="en-US"/>
      </w:rPr>
    </w:lvl>
  </w:abstractNum>
  <w:abstractNum w:abstractNumId="40" w15:restartNumberingAfterBreak="0">
    <w:nsid w:val="6DFD5020"/>
    <w:multiLevelType w:val="hybridMultilevel"/>
    <w:tmpl w:val="55CABED2"/>
    <w:lvl w:ilvl="0" w:tplc="04962ACA">
      <w:start w:val="9"/>
      <w:numFmt w:val="decimal"/>
      <w:lvlText w:val="%1"/>
      <w:lvlJc w:val="left"/>
      <w:pPr>
        <w:ind w:left="968" w:hanging="495"/>
        <w:jc w:val="left"/>
      </w:pPr>
      <w:rPr>
        <w:rFonts w:hint="default"/>
        <w:b/>
        <w:bCs/>
        <w:w w:val="95"/>
        <w:lang w:val="en-US" w:eastAsia="en-US" w:bidi="en-US"/>
      </w:rPr>
    </w:lvl>
    <w:lvl w:ilvl="1" w:tplc="EDEE4132">
      <w:numFmt w:val="bullet"/>
      <w:lvlText w:val="•"/>
      <w:lvlJc w:val="left"/>
      <w:pPr>
        <w:ind w:left="1202" w:hanging="495"/>
      </w:pPr>
      <w:rPr>
        <w:rFonts w:hint="default"/>
        <w:lang w:val="en-US" w:eastAsia="en-US" w:bidi="en-US"/>
      </w:rPr>
    </w:lvl>
    <w:lvl w:ilvl="2" w:tplc="735AAF22">
      <w:numFmt w:val="bullet"/>
      <w:lvlText w:val="•"/>
      <w:lvlJc w:val="left"/>
      <w:pPr>
        <w:ind w:left="1444" w:hanging="495"/>
      </w:pPr>
      <w:rPr>
        <w:rFonts w:hint="default"/>
        <w:lang w:val="en-US" w:eastAsia="en-US" w:bidi="en-US"/>
      </w:rPr>
    </w:lvl>
    <w:lvl w:ilvl="3" w:tplc="2626CEA4">
      <w:numFmt w:val="bullet"/>
      <w:lvlText w:val="•"/>
      <w:lvlJc w:val="left"/>
      <w:pPr>
        <w:ind w:left="1686" w:hanging="495"/>
      </w:pPr>
      <w:rPr>
        <w:rFonts w:hint="default"/>
        <w:lang w:val="en-US" w:eastAsia="en-US" w:bidi="en-US"/>
      </w:rPr>
    </w:lvl>
    <w:lvl w:ilvl="4" w:tplc="F654A08E">
      <w:numFmt w:val="bullet"/>
      <w:lvlText w:val="•"/>
      <w:lvlJc w:val="left"/>
      <w:pPr>
        <w:ind w:left="1929" w:hanging="495"/>
      </w:pPr>
      <w:rPr>
        <w:rFonts w:hint="default"/>
        <w:lang w:val="en-US" w:eastAsia="en-US" w:bidi="en-US"/>
      </w:rPr>
    </w:lvl>
    <w:lvl w:ilvl="5" w:tplc="0C9888BE">
      <w:numFmt w:val="bullet"/>
      <w:lvlText w:val="•"/>
      <w:lvlJc w:val="left"/>
      <w:pPr>
        <w:ind w:left="2171" w:hanging="495"/>
      </w:pPr>
      <w:rPr>
        <w:rFonts w:hint="default"/>
        <w:lang w:val="en-US" w:eastAsia="en-US" w:bidi="en-US"/>
      </w:rPr>
    </w:lvl>
    <w:lvl w:ilvl="6" w:tplc="7C1E1B18">
      <w:numFmt w:val="bullet"/>
      <w:lvlText w:val="•"/>
      <w:lvlJc w:val="left"/>
      <w:pPr>
        <w:ind w:left="2413" w:hanging="495"/>
      </w:pPr>
      <w:rPr>
        <w:rFonts w:hint="default"/>
        <w:lang w:val="en-US" w:eastAsia="en-US" w:bidi="en-US"/>
      </w:rPr>
    </w:lvl>
    <w:lvl w:ilvl="7" w:tplc="BC18716A">
      <w:numFmt w:val="bullet"/>
      <w:lvlText w:val="•"/>
      <w:lvlJc w:val="left"/>
      <w:pPr>
        <w:ind w:left="2656" w:hanging="495"/>
      </w:pPr>
      <w:rPr>
        <w:rFonts w:hint="default"/>
        <w:lang w:val="en-US" w:eastAsia="en-US" w:bidi="en-US"/>
      </w:rPr>
    </w:lvl>
    <w:lvl w:ilvl="8" w:tplc="6D2E0F8A">
      <w:numFmt w:val="bullet"/>
      <w:lvlText w:val="•"/>
      <w:lvlJc w:val="left"/>
      <w:pPr>
        <w:ind w:left="2898" w:hanging="495"/>
      </w:pPr>
      <w:rPr>
        <w:rFonts w:hint="default"/>
        <w:lang w:val="en-US" w:eastAsia="en-US" w:bidi="en-US"/>
      </w:rPr>
    </w:lvl>
  </w:abstractNum>
  <w:abstractNum w:abstractNumId="41" w15:restartNumberingAfterBreak="0">
    <w:nsid w:val="78E539C2"/>
    <w:multiLevelType w:val="multilevel"/>
    <w:tmpl w:val="32C052AA"/>
    <w:lvl w:ilvl="0">
      <w:start w:val="4"/>
      <w:numFmt w:val="decimal"/>
      <w:lvlText w:val="%1"/>
      <w:lvlJc w:val="left"/>
      <w:pPr>
        <w:ind w:left="2250" w:hanging="550"/>
        <w:jc w:val="left"/>
      </w:pPr>
      <w:rPr>
        <w:rFonts w:hint="default"/>
        <w:lang w:val="en-US" w:eastAsia="en-US" w:bidi="en-US"/>
      </w:rPr>
    </w:lvl>
    <w:lvl w:ilvl="1">
      <w:start w:val="3"/>
      <w:numFmt w:val="decimal"/>
      <w:lvlText w:val="%1.%2"/>
      <w:lvlJc w:val="left"/>
      <w:pPr>
        <w:ind w:left="2250" w:hanging="550"/>
        <w:jc w:val="left"/>
      </w:pPr>
      <w:rPr>
        <w:rFonts w:hint="default"/>
        <w:lang w:val="en-US" w:eastAsia="en-US" w:bidi="en-US"/>
      </w:rPr>
    </w:lvl>
    <w:lvl w:ilvl="2">
      <w:start w:val="2"/>
      <w:numFmt w:val="decimal"/>
      <w:lvlText w:val="%1.%2.%3"/>
      <w:lvlJc w:val="left"/>
      <w:pPr>
        <w:ind w:left="2250" w:hanging="550"/>
        <w:jc w:val="left"/>
      </w:pPr>
      <w:rPr>
        <w:rFonts w:ascii="Myriad Pro" w:eastAsia="Myriad Pro" w:hAnsi="Myriad Pro" w:cs="Myriad Pro" w:hint="default"/>
        <w:color w:val="005695"/>
        <w:spacing w:val="-9"/>
        <w:w w:val="100"/>
        <w:sz w:val="26"/>
        <w:szCs w:val="26"/>
        <w:lang w:val="en-US" w:eastAsia="en-US" w:bidi="en-US"/>
      </w:rPr>
    </w:lvl>
    <w:lvl w:ilvl="3">
      <w:numFmt w:val="bullet"/>
      <w:lvlText w:val="•"/>
      <w:lvlJc w:val="left"/>
      <w:pPr>
        <w:ind w:left="5153" w:hanging="550"/>
      </w:pPr>
      <w:rPr>
        <w:rFonts w:hint="default"/>
        <w:lang w:val="en-US" w:eastAsia="en-US" w:bidi="en-US"/>
      </w:rPr>
    </w:lvl>
    <w:lvl w:ilvl="4">
      <w:numFmt w:val="bullet"/>
      <w:lvlText w:val="•"/>
      <w:lvlJc w:val="left"/>
      <w:pPr>
        <w:ind w:left="6118" w:hanging="550"/>
      </w:pPr>
      <w:rPr>
        <w:rFonts w:hint="default"/>
        <w:lang w:val="en-US" w:eastAsia="en-US" w:bidi="en-US"/>
      </w:rPr>
    </w:lvl>
    <w:lvl w:ilvl="5">
      <w:numFmt w:val="bullet"/>
      <w:lvlText w:val="•"/>
      <w:lvlJc w:val="left"/>
      <w:pPr>
        <w:ind w:left="7082" w:hanging="550"/>
      </w:pPr>
      <w:rPr>
        <w:rFonts w:hint="default"/>
        <w:lang w:val="en-US" w:eastAsia="en-US" w:bidi="en-US"/>
      </w:rPr>
    </w:lvl>
    <w:lvl w:ilvl="6">
      <w:numFmt w:val="bullet"/>
      <w:lvlText w:val="•"/>
      <w:lvlJc w:val="left"/>
      <w:pPr>
        <w:ind w:left="8047" w:hanging="550"/>
      </w:pPr>
      <w:rPr>
        <w:rFonts w:hint="default"/>
        <w:lang w:val="en-US" w:eastAsia="en-US" w:bidi="en-US"/>
      </w:rPr>
    </w:lvl>
    <w:lvl w:ilvl="7">
      <w:numFmt w:val="bullet"/>
      <w:lvlText w:val="•"/>
      <w:lvlJc w:val="left"/>
      <w:pPr>
        <w:ind w:left="9011" w:hanging="550"/>
      </w:pPr>
      <w:rPr>
        <w:rFonts w:hint="default"/>
        <w:lang w:val="en-US" w:eastAsia="en-US" w:bidi="en-US"/>
      </w:rPr>
    </w:lvl>
    <w:lvl w:ilvl="8">
      <w:numFmt w:val="bullet"/>
      <w:lvlText w:val="•"/>
      <w:lvlJc w:val="left"/>
      <w:pPr>
        <w:ind w:left="9976" w:hanging="550"/>
      </w:pPr>
      <w:rPr>
        <w:rFonts w:hint="default"/>
        <w:lang w:val="en-US" w:eastAsia="en-US" w:bidi="en-US"/>
      </w:rPr>
    </w:lvl>
  </w:abstractNum>
  <w:num w:numId="1">
    <w:abstractNumId w:val="3"/>
  </w:num>
  <w:num w:numId="2">
    <w:abstractNumId w:val="14"/>
  </w:num>
  <w:num w:numId="3">
    <w:abstractNumId w:val="7"/>
  </w:num>
  <w:num w:numId="4">
    <w:abstractNumId w:val="32"/>
  </w:num>
  <w:num w:numId="5">
    <w:abstractNumId w:val="10"/>
  </w:num>
  <w:num w:numId="6">
    <w:abstractNumId w:val="16"/>
  </w:num>
  <w:num w:numId="7">
    <w:abstractNumId w:val="5"/>
  </w:num>
  <w:num w:numId="8">
    <w:abstractNumId w:val="1"/>
  </w:num>
  <w:num w:numId="9">
    <w:abstractNumId w:val="37"/>
  </w:num>
  <w:num w:numId="10">
    <w:abstractNumId w:val="4"/>
  </w:num>
  <w:num w:numId="11">
    <w:abstractNumId w:val="25"/>
  </w:num>
  <w:num w:numId="12">
    <w:abstractNumId w:val="28"/>
  </w:num>
  <w:num w:numId="13">
    <w:abstractNumId w:val="20"/>
  </w:num>
  <w:num w:numId="14">
    <w:abstractNumId w:val="11"/>
  </w:num>
  <w:num w:numId="15">
    <w:abstractNumId w:val="8"/>
  </w:num>
  <w:num w:numId="16">
    <w:abstractNumId w:val="40"/>
  </w:num>
  <w:num w:numId="17">
    <w:abstractNumId w:val="26"/>
  </w:num>
  <w:num w:numId="18">
    <w:abstractNumId w:val="34"/>
  </w:num>
  <w:num w:numId="19">
    <w:abstractNumId w:val="17"/>
  </w:num>
  <w:num w:numId="20">
    <w:abstractNumId w:val="12"/>
  </w:num>
  <w:num w:numId="21">
    <w:abstractNumId w:val="30"/>
  </w:num>
  <w:num w:numId="22">
    <w:abstractNumId w:val="24"/>
  </w:num>
  <w:num w:numId="23">
    <w:abstractNumId w:val="27"/>
  </w:num>
  <w:num w:numId="24">
    <w:abstractNumId w:val="22"/>
  </w:num>
  <w:num w:numId="25">
    <w:abstractNumId w:val="31"/>
  </w:num>
  <w:num w:numId="26">
    <w:abstractNumId w:val="38"/>
  </w:num>
  <w:num w:numId="27">
    <w:abstractNumId w:val="33"/>
  </w:num>
  <w:num w:numId="28">
    <w:abstractNumId w:val="6"/>
  </w:num>
  <w:num w:numId="29">
    <w:abstractNumId w:val="21"/>
  </w:num>
  <w:num w:numId="30">
    <w:abstractNumId w:val="13"/>
  </w:num>
  <w:num w:numId="31">
    <w:abstractNumId w:val="35"/>
  </w:num>
  <w:num w:numId="32">
    <w:abstractNumId w:val="15"/>
  </w:num>
  <w:num w:numId="33">
    <w:abstractNumId w:val="19"/>
  </w:num>
  <w:num w:numId="34">
    <w:abstractNumId w:val="29"/>
  </w:num>
  <w:num w:numId="35">
    <w:abstractNumId w:val="23"/>
  </w:num>
  <w:num w:numId="36">
    <w:abstractNumId w:val="41"/>
  </w:num>
  <w:num w:numId="37">
    <w:abstractNumId w:val="0"/>
  </w:num>
  <w:num w:numId="38">
    <w:abstractNumId w:val="18"/>
  </w:num>
  <w:num w:numId="39">
    <w:abstractNumId w:val="36"/>
  </w:num>
  <w:num w:numId="40">
    <w:abstractNumId w:val="9"/>
  </w:num>
  <w:num w:numId="41">
    <w:abstractNumId w:val="2"/>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D1511D"/>
    <w:rsid w:val="00076DF0"/>
    <w:rsid w:val="003F0CB3"/>
    <w:rsid w:val="00D151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3CB16BA"/>
  <w15:docId w15:val="{52667A76-3913-394F-8C8C-2C0062C8F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dobe Garamond Pro" w:eastAsia="Adobe Garamond Pro" w:hAnsi="Adobe Garamond Pro" w:cs="Adobe Garamond Pro"/>
      <w:lang w:bidi="en-US"/>
    </w:rPr>
  </w:style>
  <w:style w:type="paragraph" w:styleId="Heading1">
    <w:name w:val="heading 1"/>
    <w:basedOn w:val="Normal"/>
    <w:uiPriority w:val="9"/>
    <w:qFormat/>
    <w:pPr>
      <w:spacing w:before="101"/>
      <w:ind w:left="401"/>
      <w:outlineLvl w:val="0"/>
    </w:pPr>
    <w:rPr>
      <w:rFonts w:ascii="Myriad Pro" w:eastAsia="Myriad Pro" w:hAnsi="Myriad Pro" w:cs="Myriad Pro"/>
      <w:sz w:val="52"/>
      <w:szCs w:val="52"/>
    </w:rPr>
  </w:style>
  <w:style w:type="paragraph" w:styleId="Heading2">
    <w:name w:val="heading 2"/>
    <w:basedOn w:val="Normal"/>
    <w:uiPriority w:val="9"/>
    <w:unhideWhenUsed/>
    <w:qFormat/>
    <w:pPr>
      <w:ind w:left="2381" w:hanging="681"/>
      <w:outlineLvl w:val="1"/>
    </w:pPr>
    <w:rPr>
      <w:rFonts w:ascii="MyriadPro-Semibold" w:eastAsia="MyriadPro-Semibold" w:hAnsi="MyriadPro-Semibold" w:cs="MyriadPro-Semibold"/>
      <w:b/>
      <w:bCs/>
      <w:sz w:val="32"/>
      <w:szCs w:val="32"/>
    </w:rPr>
  </w:style>
  <w:style w:type="paragraph" w:styleId="Heading3">
    <w:name w:val="heading 3"/>
    <w:basedOn w:val="Normal"/>
    <w:uiPriority w:val="9"/>
    <w:unhideWhenUsed/>
    <w:qFormat/>
    <w:pPr>
      <w:ind w:left="2420"/>
      <w:outlineLvl w:val="2"/>
    </w:pPr>
    <w:rPr>
      <w:rFonts w:ascii="Myriad Pro" w:eastAsia="Myriad Pro" w:hAnsi="Myriad Pro" w:cs="Myriad Pro"/>
      <w:sz w:val="28"/>
      <w:szCs w:val="28"/>
    </w:rPr>
  </w:style>
  <w:style w:type="paragraph" w:styleId="Heading4">
    <w:name w:val="heading 4"/>
    <w:basedOn w:val="Normal"/>
    <w:uiPriority w:val="9"/>
    <w:unhideWhenUsed/>
    <w:qFormat/>
    <w:pPr>
      <w:ind w:left="1700"/>
      <w:outlineLvl w:val="3"/>
    </w:pPr>
    <w:rPr>
      <w:rFonts w:ascii="Myriad Pro" w:eastAsia="Myriad Pro" w:hAnsi="Myriad Pro" w:cs="Myriad Pro"/>
      <w:sz w:val="24"/>
      <w:szCs w:val="24"/>
    </w:rPr>
  </w:style>
  <w:style w:type="paragraph" w:styleId="Heading5">
    <w:name w:val="heading 5"/>
    <w:basedOn w:val="Normal"/>
    <w:uiPriority w:val="9"/>
    <w:unhideWhenUsed/>
    <w:qFormat/>
    <w:pPr>
      <w:spacing w:before="95"/>
      <w:ind w:left="1700"/>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6"/>
      <w:ind w:right="2148"/>
      <w:jc w:val="right"/>
    </w:pPr>
    <w:rPr>
      <w:rFonts w:ascii="Myriad Pro" w:eastAsia="Myriad Pro" w:hAnsi="Myriad Pro" w:cs="Myriad Pro"/>
    </w:rPr>
  </w:style>
  <w:style w:type="paragraph" w:styleId="TOC2">
    <w:name w:val="toc 2"/>
    <w:basedOn w:val="Normal"/>
    <w:uiPriority w:val="1"/>
    <w:qFormat/>
    <w:pPr>
      <w:spacing w:before="126"/>
      <w:ind w:left="2500" w:hanging="804"/>
    </w:pPr>
    <w:rPr>
      <w:rFonts w:ascii="Myriad Pro" w:eastAsia="Myriad Pro" w:hAnsi="Myriad Pro" w:cs="Myriad Pro"/>
      <w:b/>
      <w:bCs/>
    </w:rPr>
  </w:style>
  <w:style w:type="paragraph" w:styleId="TOC3">
    <w:name w:val="toc 3"/>
    <w:basedOn w:val="Normal"/>
    <w:uiPriority w:val="1"/>
    <w:qFormat/>
    <w:pPr>
      <w:spacing w:before="226"/>
      <w:ind w:left="1700"/>
    </w:pPr>
    <w:rPr>
      <w:rFonts w:ascii="Myriad Pro" w:eastAsia="Myriad Pro" w:hAnsi="Myriad Pro" w:cs="Myriad Pro"/>
    </w:rPr>
  </w:style>
  <w:style w:type="paragraph" w:styleId="TOC4">
    <w:name w:val="toc 4"/>
    <w:basedOn w:val="Normal"/>
    <w:uiPriority w:val="1"/>
    <w:qFormat/>
    <w:pPr>
      <w:spacing w:line="231" w:lineRule="exact"/>
      <w:ind w:left="2500"/>
    </w:pPr>
    <w:rPr>
      <w:rFonts w:ascii="Myriad Pro" w:eastAsia="Myriad Pro" w:hAnsi="Myriad Pro" w:cs="Myriad Pro"/>
      <w:b/>
      <w:bCs/>
    </w:rPr>
  </w:style>
  <w:style w:type="paragraph" w:styleId="TOC5">
    <w:name w:val="toc 5"/>
    <w:basedOn w:val="Normal"/>
    <w:uiPriority w:val="1"/>
    <w:qFormat/>
    <w:pPr>
      <w:spacing w:before="56"/>
      <w:ind w:left="4138"/>
    </w:pPr>
    <w:rPr>
      <w:rFonts w:ascii="Myriad Pro" w:eastAsia="Myriad Pro" w:hAnsi="Myriad Pro" w:cs="Myriad Pro"/>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2060" w:hanging="360"/>
    </w:pPr>
  </w:style>
  <w:style w:type="paragraph" w:customStyle="1" w:styleId="TableParagraph">
    <w:name w:val="Table Paragraph"/>
    <w:basedOn w:val="Normal"/>
    <w:uiPriority w:val="1"/>
    <w:qFormat/>
    <w:pPr>
      <w:spacing w:before="2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23.png"/><Relationship Id="rId21" Type="http://schemas.openxmlformats.org/officeDocument/2006/relationships/hyperlink" Target="https://www.environment.gov.au/marine/gbr/protecting-the-reef/intergovernmental-agreement" TargetMode="External"/><Relationship Id="rId42" Type="http://schemas.openxmlformats.org/officeDocument/2006/relationships/hyperlink" Target="https://www.gbrrestoration.org/the-program" TargetMode="External"/><Relationship Id="rId63" Type="http://schemas.openxmlformats.org/officeDocument/2006/relationships/hyperlink" Target="https://www.environment.gov.au/marine/gbr/long-term-sustainability-plan" TargetMode="External"/><Relationship Id="rId84" Type="http://schemas.openxmlformats.org/officeDocument/2006/relationships/hyperlink" Target="http://www.gbrmpa.gov.au/" TargetMode="External"/><Relationship Id="rId138" Type="http://schemas.openxmlformats.org/officeDocument/2006/relationships/image" Target="media/image44.png"/><Relationship Id="rId159" Type="http://schemas.openxmlformats.org/officeDocument/2006/relationships/image" Target="media/image63.png"/><Relationship Id="rId170" Type="http://schemas.openxmlformats.org/officeDocument/2006/relationships/image" Target="media/image74.png"/><Relationship Id="rId107" Type="http://schemas.openxmlformats.org/officeDocument/2006/relationships/hyperlink" Target="http://elibrary.gbrmpa.gov.au/jspui/bitstream/11017/3474/9/Outlook-Report-2019-Chapter10.pdf" TargetMode="External"/><Relationship Id="rId11" Type="http://schemas.openxmlformats.org/officeDocument/2006/relationships/image" Target="media/image4.png"/><Relationship Id="rId32" Type="http://schemas.openxmlformats.org/officeDocument/2006/relationships/image" Target="media/image8.png"/><Relationship Id="rId53" Type="http://schemas.openxmlformats.org/officeDocument/2006/relationships/hyperlink" Target="https://www.qld.gov.au/__data/assets/pdf_file/0032/68873/qld-reef-water-5year-invest-plan.pdf" TargetMode="External"/><Relationship Id="rId74" Type="http://schemas.openxmlformats.org/officeDocument/2006/relationships/hyperlink" Target="https://fieldcapture.ala.org.au/home/projectExplorer" TargetMode="External"/><Relationship Id="rId128" Type="http://schemas.openxmlformats.org/officeDocument/2006/relationships/image" Target="media/image34.png"/><Relationship Id="rId149" Type="http://schemas.openxmlformats.org/officeDocument/2006/relationships/image" Target="media/image55.png"/><Relationship Id="rId5" Type="http://schemas.openxmlformats.org/officeDocument/2006/relationships/footnotes" Target="footnotes.xml"/><Relationship Id="rId95" Type="http://schemas.openxmlformats.org/officeDocument/2006/relationships/image" Target="media/image19.jpeg"/><Relationship Id="rId160" Type="http://schemas.openxmlformats.org/officeDocument/2006/relationships/image" Target="media/image64.png"/><Relationship Id="rId22" Type="http://schemas.openxmlformats.org/officeDocument/2006/relationships/hyperlink" Target="http://www.environment.gov.au/marine/gbr/publications/reef-2050-investment-framework" TargetMode="External"/><Relationship Id="rId43" Type="http://schemas.openxmlformats.org/officeDocument/2006/relationships/image" Target="media/image13.png"/><Relationship Id="rId64" Type="http://schemas.openxmlformats.org/officeDocument/2006/relationships/hyperlink" Target="https://www.reefplan.qld.gov.au/" TargetMode="External"/><Relationship Id="rId118" Type="http://schemas.openxmlformats.org/officeDocument/2006/relationships/image" Target="media/image24.png"/><Relationship Id="rId139" Type="http://schemas.openxmlformats.org/officeDocument/2006/relationships/image" Target="media/image45.png"/><Relationship Id="rId85" Type="http://schemas.openxmlformats.org/officeDocument/2006/relationships/hyperlink" Target="http://www.gbrmpa.gov.au/" TargetMode="External"/><Relationship Id="rId150" Type="http://schemas.openxmlformats.org/officeDocument/2006/relationships/header" Target="header8.xml"/><Relationship Id="rId171" Type="http://schemas.openxmlformats.org/officeDocument/2006/relationships/image" Target="media/image75.png"/><Relationship Id="rId12" Type="http://schemas.openxmlformats.org/officeDocument/2006/relationships/image" Target="media/image5.png"/><Relationship Id="rId33" Type="http://schemas.openxmlformats.org/officeDocument/2006/relationships/hyperlink" Target="https://www.environment.gov.au/climate-change/climate-solutions-package" TargetMode="External"/><Relationship Id="rId108" Type="http://schemas.openxmlformats.org/officeDocument/2006/relationships/hyperlink" Target="http://www.environment.gov.au/heritage/about/world/notification-development-proposals" TargetMode="External"/><Relationship Id="rId129" Type="http://schemas.openxmlformats.org/officeDocument/2006/relationships/image" Target="media/image35.png"/><Relationship Id="rId54" Type="http://schemas.openxmlformats.org/officeDocument/2006/relationships/hyperlink" Target="https://www.barrierreef.org/science-with-impact/reef-partnership" TargetMode="External"/><Relationship Id="rId75" Type="http://schemas.openxmlformats.org/officeDocument/2006/relationships/hyperlink" Target="https://fieldcapture.ala.org.au/home/projectExplorer" TargetMode="External"/><Relationship Id="rId96" Type="http://schemas.openxmlformats.org/officeDocument/2006/relationships/hyperlink" Target="https://terrain.org.au/wp-content/uploads/2019/09/Case-Study-Woodleigh-Cattle-Station-Herbert-Gully-and-Grazing-Program.pdf" TargetMode="External"/><Relationship Id="rId140" Type="http://schemas.openxmlformats.org/officeDocument/2006/relationships/image" Target="media/image46.png"/><Relationship Id="rId161" Type="http://schemas.openxmlformats.org/officeDocument/2006/relationships/image" Target="media/image65.png"/><Relationship Id="rId6" Type="http://schemas.openxmlformats.org/officeDocument/2006/relationships/endnotes" Target="endnotes.xml"/><Relationship Id="rId23" Type="http://schemas.openxmlformats.org/officeDocument/2006/relationships/hyperlink" Target="http://elibrary.gbrmpa.gov.au/jspui/handle/11017/3474" TargetMode="External"/><Relationship Id="rId28" Type="http://schemas.openxmlformats.org/officeDocument/2006/relationships/hyperlink" Target="http://elibrary.gbrmpa.gov.au/jspui/handle/11017/3475" TargetMode="External"/><Relationship Id="rId49" Type="http://schemas.openxmlformats.org/officeDocument/2006/relationships/hyperlink" Target="https://www.daf.qld.gov.au/business-priorities/fisheries/sustainable/sustainable-fisheries-strategy/sustainable-fisheries-strategy-overview" TargetMode="External"/><Relationship Id="rId114" Type="http://schemas.openxmlformats.org/officeDocument/2006/relationships/header" Target="header7.xml"/><Relationship Id="rId119" Type="http://schemas.openxmlformats.org/officeDocument/2006/relationships/image" Target="media/image25.png"/><Relationship Id="rId44" Type="http://schemas.openxmlformats.org/officeDocument/2006/relationships/image" Target="media/image14.jpeg"/><Relationship Id="rId60" Type="http://schemas.openxmlformats.org/officeDocument/2006/relationships/hyperlink" Target="https://www.qld.gov.au/environment/agriculture/sustainable-farming/reef/reef-regulations/reef-initiatives/cane-farmers" TargetMode="External"/><Relationship Id="rId65" Type="http://schemas.openxmlformats.org/officeDocument/2006/relationships/hyperlink" Target="https://www.reefplan.qld.gov.au/tracking-progress/paddock-to-reef/management-practices" TargetMode="External"/><Relationship Id="rId81" Type="http://schemas.openxmlformats.org/officeDocument/2006/relationships/hyperlink" Target="http://www.environment.gov.au/system/files/resources/46eedcfc-204b-43de-99c5-4d6f6e72704f/files/recovery-plan-marine-turtles-2017.pdf" TargetMode="External"/><Relationship Id="rId86" Type="http://schemas.openxmlformats.org/officeDocument/2006/relationships/hyperlink" Target="http://elibrary.gbrmpa.gov.au/jspui/bitstream/11017/3537/7/Strong-Peoples-Strong-Country.pdf" TargetMode="External"/><Relationship Id="rId130" Type="http://schemas.openxmlformats.org/officeDocument/2006/relationships/image" Target="media/image36.png"/><Relationship Id="rId135" Type="http://schemas.openxmlformats.org/officeDocument/2006/relationships/image" Target="media/image41.png"/><Relationship Id="rId151" Type="http://schemas.openxmlformats.org/officeDocument/2006/relationships/header" Target="header9.xml"/><Relationship Id="rId156" Type="http://schemas.openxmlformats.org/officeDocument/2006/relationships/image" Target="media/image60.png"/><Relationship Id="rId177" Type="http://schemas.openxmlformats.org/officeDocument/2006/relationships/theme" Target="theme/theme1.xml"/><Relationship Id="rId172" Type="http://schemas.openxmlformats.org/officeDocument/2006/relationships/image" Target="media/image76.png"/><Relationship Id="rId13" Type="http://schemas.openxmlformats.org/officeDocument/2006/relationships/hyperlink" Target="http://creativecommons.org/licenses/by/3.0/au/" TargetMode="External"/><Relationship Id="rId18" Type="http://schemas.openxmlformats.org/officeDocument/2006/relationships/hyperlink" Target="https://www.environment.gov.au/marine/gbr/publications/reef-2050-long-term-sustainability-plan-2018" TargetMode="External"/><Relationship Id="rId39" Type="http://schemas.openxmlformats.org/officeDocument/2006/relationships/image" Target="media/image10.png"/><Relationship Id="rId109" Type="http://schemas.openxmlformats.org/officeDocument/2006/relationships/hyperlink" Target="http://www.environment.gov.au/heritage/about/world/notification-development-proposals" TargetMode="External"/><Relationship Id="rId34" Type="http://schemas.openxmlformats.org/officeDocument/2006/relationships/hyperlink" Target="https://www.environment.gov.au/climate-change/government/climate-solutions-fund" TargetMode="External"/><Relationship Id="rId50" Type="http://schemas.openxmlformats.org/officeDocument/2006/relationships/hyperlink" Target="https://www.daf.qld.gov.au/business-priorities/fisheries/sustainable/sustainable-fisheries-strategy/sustainable-fisheries-strategy-overview" TargetMode="External"/><Relationship Id="rId55" Type="http://schemas.openxmlformats.org/officeDocument/2006/relationships/hyperlink" Target="https://www.reefplan.qld.gov.au/water-quality-and-the-reef/the-plan" TargetMode="External"/><Relationship Id="rId76" Type="http://schemas.openxmlformats.org/officeDocument/2006/relationships/hyperlink" Target="http://www.gbrmpa.gov.au/" TargetMode="External"/><Relationship Id="rId97" Type="http://schemas.openxmlformats.org/officeDocument/2006/relationships/hyperlink" Target="https://terrain.org.au/wp-content/uploads/2019/09/Case-Study-Woodleigh-Cattle-Station-Herbert-Gully-and-Grazing-Program.pdf" TargetMode="External"/><Relationship Id="rId104" Type="http://schemas.openxmlformats.org/officeDocument/2006/relationships/hyperlink" Target="http://www.environment.gov.au/marine/gbr/long-term-sustainability-plan/progress-reports" TargetMode="External"/><Relationship Id="rId120" Type="http://schemas.openxmlformats.org/officeDocument/2006/relationships/image" Target="media/image26.png"/><Relationship Id="rId125" Type="http://schemas.openxmlformats.org/officeDocument/2006/relationships/image" Target="media/image31.png"/><Relationship Id="rId141" Type="http://schemas.openxmlformats.org/officeDocument/2006/relationships/image" Target="media/image47.png"/><Relationship Id="rId146" Type="http://schemas.openxmlformats.org/officeDocument/2006/relationships/image" Target="media/image52.png"/><Relationship Id="rId167" Type="http://schemas.openxmlformats.org/officeDocument/2006/relationships/image" Target="media/image71.png"/><Relationship Id="rId7" Type="http://schemas.openxmlformats.org/officeDocument/2006/relationships/image" Target="media/image1.png"/><Relationship Id="rId71" Type="http://schemas.openxmlformats.org/officeDocument/2006/relationships/hyperlink" Target="http://www.environment.gov.au/marine/gbr/long-term-sustainability-plan/progress-reports" TargetMode="External"/><Relationship Id="rId92" Type="http://schemas.openxmlformats.org/officeDocument/2006/relationships/hyperlink" Target="http://www.gbrmpa.gov.au/our-partners/traditional-owners/traditional-use-of-marine-resources-agreements" TargetMode="External"/><Relationship Id="rId162" Type="http://schemas.openxmlformats.org/officeDocument/2006/relationships/image" Target="media/image66.png"/><Relationship Id="rId2" Type="http://schemas.openxmlformats.org/officeDocument/2006/relationships/styles" Target="styles.xml"/><Relationship Id="rId29" Type="http://schemas.openxmlformats.org/officeDocument/2006/relationships/hyperlink" Target="https://www.environment.gov.au/marine/gbr/authority-governance-review" TargetMode="External"/><Relationship Id="rId24" Type="http://schemas.openxmlformats.org/officeDocument/2006/relationships/hyperlink" Target="https://www.ipcc.ch/srocc/download-report/" TargetMode="External"/><Relationship Id="rId40" Type="http://schemas.openxmlformats.org/officeDocument/2006/relationships/image" Target="media/image11.png"/><Relationship Id="rId45" Type="http://schemas.openxmlformats.org/officeDocument/2006/relationships/hyperlink" Target="http://www.environment.gov.au/marine/gbr/publications/reef-2050-long-term-sustainability-plan-2018" TargetMode="External"/><Relationship Id="rId66" Type="http://schemas.openxmlformats.org/officeDocument/2006/relationships/hyperlink" Target="https://www.reefplan.qld.gov.au/tracking-progress/paddock-to-reef" TargetMode="External"/><Relationship Id="rId87" Type="http://schemas.openxmlformats.org/officeDocument/2006/relationships/hyperlink" Target="https://www.environment.gov.au/marine/gbr/publications/reef-2050-traditional-owners-next-generation" TargetMode="External"/><Relationship Id="rId110" Type="http://schemas.openxmlformats.org/officeDocument/2006/relationships/header" Target="header4.xml"/><Relationship Id="rId115" Type="http://schemas.openxmlformats.org/officeDocument/2006/relationships/image" Target="media/image21.png"/><Relationship Id="rId131" Type="http://schemas.openxmlformats.org/officeDocument/2006/relationships/image" Target="media/image37.png"/><Relationship Id="rId136" Type="http://schemas.openxmlformats.org/officeDocument/2006/relationships/image" Target="media/image42.png"/><Relationship Id="rId157" Type="http://schemas.openxmlformats.org/officeDocument/2006/relationships/image" Target="media/image61.png"/><Relationship Id="rId61" Type="http://schemas.openxmlformats.org/officeDocument/2006/relationships/hyperlink" Target="https://www.qld.gov.au/environment/agriculture/sustainable-farming/reef/reef-regulations/reef-initiatives/cane-farmers" TargetMode="External"/><Relationship Id="rId82" Type="http://schemas.openxmlformats.org/officeDocument/2006/relationships/hyperlink" Target="http://www.environment.gov.au/system/files/resources/46eedcfc-204b-43de-99c5-4d6f6e72704f/files/recovery-plan-marine-turtles-2017.pdf" TargetMode="External"/><Relationship Id="rId152" Type="http://schemas.openxmlformats.org/officeDocument/2006/relationships/image" Target="media/image56.png"/><Relationship Id="rId173" Type="http://schemas.openxmlformats.org/officeDocument/2006/relationships/header" Target="header10.xml"/><Relationship Id="rId19" Type="http://schemas.openxmlformats.org/officeDocument/2006/relationships/hyperlink" Target="https://www.legislation.gov.au/Details/C2017C00279" TargetMode="External"/><Relationship Id="rId14" Type="http://schemas.openxmlformats.org/officeDocument/2006/relationships/header" Target="header2.xml"/><Relationship Id="rId30" Type="http://schemas.openxmlformats.org/officeDocument/2006/relationships/image" Target="media/image6.png"/><Relationship Id="rId35" Type="http://schemas.openxmlformats.org/officeDocument/2006/relationships/hyperlink" Target="https://www.qld.gov.au/environment/climate/climate-change/land-restoration-fund/about" TargetMode="External"/><Relationship Id="rId56" Type="http://schemas.openxmlformats.org/officeDocument/2006/relationships/hyperlink" Target="https://www.reefplan.qld.gov.au/water-quality-and-the-reef/the-plan" TargetMode="External"/><Relationship Id="rId77" Type="http://schemas.openxmlformats.org/officeDocument/2006/relationships/hyperlink" Target="http://www.gbrmpa.gov.au/" TargetMode="External"/><Relationship Id="rId100" Type="http://schemas.openxmlformats.org/officeDocument/2006/relationships/hyperlink" Target="http://www.gbrmpa.gov.au/" TargetMode="External"/><Relationship Id="rId105" Type="http://schemas.openxmlformats.org/officeDocument/2006/relationships/hyperlink" Target="http://elibrary.gbrmpa.gov.au/jspui/bitstream/11017/3389/9/Reef-2050-cumulative-impact-mngt-policy.pdf" TargetMode="External"/><Relationship Id="rId126" Type="http://schemas.openxmlformats.org/officeDocument/2006/relationships/image" Target="media/image32.png"/><Relationship Id="rId147" Type="http://schemas.openxmlformats.org/officeDocument/2006/relationships/image" Target="media/image53.png"/><Relationship Id="rId168" Type="http://schemas.openxmlformats.org/officeDocument/2006/relationships/image" Target="media/image72.png"/><Relationship Id="rId8" Type="http://schemas.openxmlformats.org/officeDocument/2006/relationships/image" Target="media/image2.png"/><Relationship Id="rId51" Type="http://schemas.openxmlformats.org/officeDocument/2006/relationships/image" Target="media/image15.jpeg"/><Relationship Id="rId72" Type="http://schemas.openxmlformats.org/officeDocument/2006/relationships/hyperlink" Target="http://www.environment.gov.au/marine/gbr/publications/reef-2050-plan-annual-report-2017" TargetMode="External"/><Relationship Id="rId93" Type="http://schemas.openxmlformats.org/officeDocument/2006/relationships/hyperlink" Target="https://www.reefplan.qld.gov.au/" TargetMode="External"/><Relationship Id="rId98" Type="http://schemas.openxmlformats.org/officeDocument/2006/relationships/hyperlink" Target="https://nesptropical.edu.au/index.php/round-3-projects/project-3-2-2/" TargetMode="External"/><Relationship Id="rId121" Type="http://schemas.openxmlformats.org/officeDocument/2006/relationships/image" Target="media/image27.png"/><Relationship Id="rId142" Type="http://schemas.openxmlformats.org/officeDocument/2006/relationships/image" Target="media/image48.png"/><Relationship Id="rId163" Type="http://schemas.openxmlformats.org/officeDocument/2006/relationships/image" Target="media/image67.png"/><Relationship Id="rId3" Type="http://schemas.openxmlformats.org/officeDocument/2006/relationships/settings" Target="settings.xml"/><Relationship Id="rId25" Type="http://schemas.openxmlformats.org/officeDocument/2006/relationships/hyperlink" Target="https://www.ipcc.ch/srocc/download-report/" TargetMode="External"/><Relationship Id="rId46" Type="http://schemas.openxmlformats.org/officeDocument/2006/relationships/hyperlink" Target="http://www.environment.gov.au/system/files/resources/35e55187-b76e-4aaf-a2fa-376a65c89810/files/reef-2050-long-term-sustainability-plan-action-tracker-2018.pdf" TargetMode="External"/><Relationship Id="rId67" Type="http://schemas.openxmlformats.org/officeDocument/2006/relationships/hyperlink" Target="https://wtsip.org.au/uncategorized/nutrient-management-plans-over-300-sugarcane-growers-benefit-from-reef-program/" TargetMode="External"/><Relationship Id="rId116" Type="http://schemas.openxmlformats.org/officeDocument/2006/relationships/image" Target="media/image22.png"/><Relationship Id="rId137" Type="http://schemas.openxmlformats.org/officeDocument/2006/relationships/image" Target="media/image43.png"/><Relationship Id="rId158" Type="http://schemas.openxmlformats.org/officeDocument/2006/relationships/image" Target="media/image62.png"/><Relationship Id="rId20" Type="http://schemas.openxmlformats.org/officeDocument/2006/relationships/hyperlink" Target="https://www.environment.gov.au/marine/gbr/protecting-the-reef/intergovernmental-agreement" TargetMode="External"/><Relationship Id="rId41" Type="http://schemas.openxmlformats.org/officeDocument/2006/relationships/image" Target="media/image12.png"/><Relationship Id="rId62" Type="http://schemas.openxmlformats.org/officeDocument/2006/relationships/hyperlink" Target="https://www.barrierreef.org/science-with-impact/reef-partnership" TargetMode="External"/><Relationship Id="rId83" Type="http://schemas.openxmlformats.org/officeDocument/2006/relationships/hyperlink" Target="http://www.gbrmpa.gov.au/" TargetMode="External"/><Relationship Id="rId88" Type="http://schemas.openxmlformats.org/officeDocument/2006/relationships/hyperlink" Target="https://www.environment.gov.au/marine/gbr/publications/reef-2050-traditional-owners-next-generation" TargetMode="External"/><Relationship Id="rId111" Type="http://schemas.openxmlformats.org/officeDocument/2006/relationships/image" Target="media/image20.jpeg"/><Relationship Id="rId132" Type="http://schemas.openxmlformats.org/officeDocument/2006/relationships/image" Target="media/image38.png"/><Relationship Id="rId153" Type="http://schemas.openxmlformats.org/officeDocument/2006/relationships/image" Target="media/image57.png"/><Relationship Id="rId174" Type="http://schemas.openxmlformats.org/officeDocument/2006/relationships/image" Target="media/image77.png"/><Relationship Id="rId15" Type="http://schemas.openxmlformats.org/officeDocument/2006/relationships/header" Target="header3.xml"/><Relationship Id="rId36" Type="http://schemas.openxmlformats.org/officeDocument/2006/relationships/hyperlink" Target="https://www.qld.gov.au/environment/climate/climate-change/land-restoration-fund/about" TargetMode="External"/><Relationship Id="rId57" Type="http://schemas.openxmlformats.org/officeDocument/2006/relationships/hyperlink" Target="https://www.reefplan.qld.gov.au/tracking-progress/paddock-to-reef" TargetMode="External"/><Relationship Id="rId106" Type="http://schemas.openxmlformats.org/officeDocument/2006/relationships/hyperlink" Target="http://elibrary.gbrmpa.gov.au/jspui/bitstream/11017/3388/9/Reef-2050-net-benefit-policy.pdf" TargetMode="External"/><Relationship Id="rId127" Type="http://schemas.openxmlformats.org/officeDocument/2006/relationships/image" Target="media/image33.png"/><Relationship Id="rId10" Type="http://schemas.openxmlformats.org/officeDocument/2006/relationships/header" Target="header1.xml"/><Relationship Id="rId31" Type="http://schemas.openxmlformats.org/officeDocument/2006/relationships/image" Target="media/image7.png"/><Relationship Id="rId52" Type="http://schemas.openxmlformats.org/officeDocument/2006/relationships/hyperlink" Target="https://www.reefplan.qld.gov.au/__data/assets/pdf_file/0019/46117/reef-2050wqip-investment.pdf" TargetMode="External"/><Relationship Id="rId73" Type="http://schemas.openxmlformats.org/officeDocument/2006/relationships/image" Target="media/image17.jpeg"/><Relationship Id="rId78" Type="http://schemas.openxmlformats.org/officeDocument/2006/relationships/hyperlink" Target="http://www.gbrmpa.gov.au/" TargetMode="External"/><Relationship Id="rId94" Type="http://schemas.openxmlformats.org/officeDocument/2006/relationships/hyperlink" Target="https://www.reefplan.qld.gov.au/tracking-progress/reef-report-card/2017-2018" TargetMode="External"/><Relationship Id="rId99" Type="http://schemas.openxmlformats.org/officeDocument/2006/relationships/hyperlink" Target="https://www.environment.gov.au/science/nesp/current-projects/tropical-water" TargetMode="External"/><Relationship Id="rId101" Type="http://schemas.openxmlformats.org/officeDocument/2006/relationships/hyperlink" Target="http://www.gbrmpa.gov.au/our-work/reef-strategies/reef-integrated-monitoring-and-reporting-program" TargetMode="External"/><Relationship Id="rId122" Type="http://schemas.openxmlformats.org/officeDocument/2006/relationships/image" Target="media/image28.png"/><Relationship Id="rId143" Type="http://schemas.openxmlformats.org/officeDocument/2006/relationships/image" Target="media/image49.png"/><Relationship Id="rId148" Type="http://schemas.openxmlformats.org/officeDocument/2006/relationships/image" Target="media/image54.png"/><Relationship Id="rId164" Type="http://schemas.openxmlformats.org/officeDocument/2006/relationships/image" Target="media/image68.png"/><Relationship Id="rId169" Type="http://schemas.openxmlformats.org/officeDocument/2006/relationships/image" Target="media/image73.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hyperlink" Target="http://elibrary.gbrmpa.gov.au/jspui/handle/11017/3475" TargetMode="External"/><Relationship Id="rId47" Type="http://schemas.openxmlformats.org/officeDocument/2006/relationships/hyperlink" Target="http://www.environment.gov.au/system/files/resources/35e55187-b76e-4aaf-a2fa-376a65c89810/files/reef-2050-long-term-sustainability-plan-action-tracker-2018.pdf" TargetMode="External"/><Relationship Id="rId68" Type="http://schemas.openxmlformats.org/officeDocument/2006/relationships/hyperlink" Target="https://wtsip.org.au/uncategorized/nutrient-management-plans-over-300-sugarcane-growers-benefit-from-reef-program/" TargetMode="External"/><Relationship Id="rId89" Type="http://schemas.openxmlformats.org/officeDocument/2006/relationships/hyperlink" Target="http://elibrary.gbrmpa.gov.au/jspui/handle/11017/3427" TargetMode="External"/><Relationship Id="rId112" Type="http://schemas.openxmlformats.org/officeDocument/2006/relationships/header" Target="header5.xml"/><Relationship Id="rId133" Type="http://schemas.openxmlformats.org/officeDocument/2006/relationships/image" Target="media/image39.png"/><Relationship Id="rId154" Type="http://schemas.openxmlformats.org/officeDocument/2006/relationships/image" Target="media/image58.png"/><Relationship Id="rId175" Type="http://schemas.openxmlformats.org/officeDocument/2006/relationships/header" Target="header11.xml"/><Relationship Id="rId16" Type="http://schemas.openxmlformats.org/officeDocument/2006/relationships/hyperlink" Target="https://www.environment.gov.au/marine/gbr/publications/reef-2050-plan-update-on-progress" TargetMode="External"/><Relationship Id="rId37" Type="http://schemas.openxmlformats.org/officeDocument/2006/relationships/hyperlink" Target="http://elibrary.gbrmpa.gov.au/jspui/handle/11017/3287" TargetMode="External"/><Relationship Id="rId58" Type="http://schemas.openxmlformats.org/officeDocument/2006/relationships/hyperlink" Target="https://www.reefplan.qld.gov.au/tracking-progress/paddock-to-reef" TargetMode="External"/><Relationship Id="rId79" Type="http://schemas.openxmlformats.org/officeDocument/2006/relationships/hyperlink" Target="http://www.gbrmpa.gov.au/" TargetMode="External"/><Relationship Id="rId102" Type="http://schemas.openxmlformats.org/officeDocument/2006/relationships/hyperlink" Target="http://www.gbrmpa.gov.au/our-work/reef-strategies/reef-integrated-monitoring-and-reporting-program" TargetMode="External"/><Relationship Id="rId123" Type="http://schemas.openxmlformats.org/officeDocument/2006/relationships/image" Target="media/image29.png"/><Relationship Id="rId144" Type="http://schemas.openxmlformats.org/officeDocument/2006/relationships/image" Target="media/image50.png"/><Relationship Id="rId90" Type="http://schemas.openxmlformats.org/officeDocument/2006/relationships/hyperlink" Target="http://www.directory.gov.au/portfolios/environment-and-energy/great-barrier-reef-marine-park-authority/indigenous-reef-advisory-committee" TargetMode="External"/><Relationship Id="rId165" Type="http://schemas.openxmlformats.org/officeDocument/2006/relationships/image" Target="media/image69.png"/><Relationship Id="rId27" Type="http://schemas.openxmlformats.org/officeDocument/2006/relationships/hyperlink" Target="http://elibrary.gbrmpa.gov.au/jspui/handle/11017/3475" TargetMode="External"/><Relationship Id="rId48" Type="http://schemas.openxmlformats.org/officeDocument/2006/relationships/hyperlink" Target="https://www.daf.qld.gov.au/business-priorities/fisheries/sustainable/sustainable-fisheries-strategy" TargetMode="External"/><Relationship Id="rId69" Type="http://schemas.openxmlformats.org/officeDocument/2006/relationships/hyperlink" Target="http://www.environment.gov.au/marine/gbr/our-partners" TargetMode="External"/><Relationship Id="rId113" Type="http://schemas.openxmlformats.org/officeDocument/2006/relationships/header" Target="header6.xml"/><Relationship Id="rId134" Type="http://schemas.openxmlformats.org/officeDocument/2006/relationships/image" Target="media/image40.png"/><Relationship Id="rId80" Type="http://schemas.openxmlformats.org/officeDocument/2006/relationships/image" Target="media/image18.png"/><Relationship Id="rId155" Type="http://schemas.openxmlformats.org/officeDocument/2006/relationships/image" Target="media/image59.png"/><Relationship Id="rId176" Type="http://schemas.openxmlformats.org/officeDocument/2006/relationships/fontTable" Target="fontTable.xml"/><Relationship Id="rId17" Type="http://schemas.openxmlformats.org/officeDocument/2006/relationships/hyperlink" Target="https://www.environment.gov.au/marine/gbr/publications/reef-2050-plan-update-on-progress" TargetMode="External"/><Relationship Id="rId38" Type="http://schemas.openxmlformats.org/officeDocument/2006/relationships/image" Target="media/image9.png"/><Relationship Id="rId59" Type="http://schemas.openxmlformats.org/officeDocument/2006/relationships/hyperlink" Target="https://www.reefplan.qld.gov.au/tracking-progress/outcomes" TargetMode="External"/><Relationship Id="rId103" Type="http://schemas.openxmlformats.org/officeDocument/2006/relationships/hyperlink" Target="http://gbrmpa.maps.arcgis.com/apps/MapJournal/index.html?appid=68cbaaff06c24d3e8e7f0686724d9ca6" TargetMode="External"/><Relationship Id="rId124" Type="http://schemas.openxmlformats.org/officeDocument/2006/relationships/image" Target="media/image30.png"/><Relationship Id="rId70" Type="http://schemas.openxmlformats.org/officeDocument/2006/relationships/image" Target="media/image16.jpeg"/><Relationship Id="rId91" Type="http://schemas.openxmlformats.org/officeDocument/2006/relationships/hyperlink" Target="http://www.directory.gov.au/portfolios/environment-and-energy/great-barrier-reef-marine-park-authority/indigenous-reef-advisory-committee" TargetMode="External"/><Relationship Id="rId145" Type="http://schemas.openxmlformats.org/officeDocument/2006/relationships/image" Target="media/image51.png"/><Relationship Id="rId166" Type="http://schemas.openxmlformats.org/officeDocument/2006/relationships/image" Target="media/image70.png"/><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68</Pages>
  <Words>23501</Words>
  <Characters>133961</Characters>
  <Application>Microsoft Office Word</Application>
  <DocSecurity>0</DocSecurity>
  <Lines>1116</Lines>
  <Paragraphs>314</Paragraphs>
  <ScaleCrop>false</ScaleCrop>
  <Company/>
  <LinksUpToDate>false</LinksUpToDate>
  <CharactersWithSpaces>157148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Party Report on the state of conservation of the Great Barrier Reef World Heritage Area (Australia)</dc:title>
  <dc:creator>Department of the Environment</dc:creator>
  <cp:lastModifiedBy>Joanne Jennings</cp:lastModifiedBy>
  <cp:revision>2</cp:revision>
  <dcterms:created xsi:type="dcterms:W3CDTF">2019-12-01T22:58:00Z</dcterms:created>
  <dcterms:modified xsi:type="dcterms:W3CDTF">2019-12-01T23:10:00Z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2019-12-02T00:00:00Z</vt:filetime>
  </property>
  <property fmtid="{D5CDD505-2E9C-101B-9397-08002B2CF9AE}" pid="3" name="Creator">
    <vt:lpwstr>Adobe InDesign 14.0 (Macintosh)</vt:lpwstr>
  </property>
  <property fmtid="{D5CDD505-2E9C-101B-9397-08002B2CF9AE}" pid="4" name="LastSaved">
    <vt:filetime>2019-12-01T00:00:00Z</vt:filetime>
  </property>
</Properties>
</file>