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F20BF" w14:textId="77777777" w:rsidR="007228C9" w:rsidRPr="00641B5C" w:rsidRDefault="00D6236B" w:rsidP="007228C9">
      <w:pPr>
        <w:pStyle w:val="Heading1"/>
      </w:pPr>
      <w:bookmarkStart w:id="0" w:name="OLE_LINK1"/>
      <w:bookmarkStart w:id="1" w:name="OLE_LINK2"/>
      <w:bookmarkStart w:id="2" w:name="_Toc248826405"/>
      <w:r>
        <w:t>Assurance GDS</w:t>
      </w:r>
      <w:r w:rsidRPr="00D6236B">
        <w:rPr>
          <w:rFonts w:ascii="Cambria" w:hAnsi="Cambria"/>
          <w:vertAlign w:val="superscript"/>
        </w:rPr>
        <w:t>®</w:t>
      </w:r>
      <w:r w:rsidR="007228C9">
        <w:t xml:space="preserve"> MPX </w:t>
      </w:r>
      <w:r w:rsidR="003912D6">
        <w:t xml:space="preserve">ID for </w:t>
      </w:r>
      <w:r w:rsidR="007228C9">
        <w:t xml:space="preserve">Top </w:t>
      </w:r>
      <w:r w:rsidR="003912D6">
        <w:t xml:space="preserve">6 </w:t>
      </w:r>
      <w:r w:rsidR="007228C9">
        <w:t>STEC</w:t>
      </w:r>
      <w:r w:rsidR="003912D6">
        <w:t xml:space="preserve"> – AOAC 101502</w:t>
      </w:r>
    </w:p>
    <w:p w14:paraId="2887EE4C" w14:textId="77777777" w:rsidR="007228C9" w:rsidRPr="00AA425F" w:rsidRDefault="007228C9" w:rsidP="007228C9">
      <w:pPr>
        <w:pStyle w:val="Heading2"/>
      </w:pPr>
      <w:bookmarkStart w:id="3" w:name="_Toc248826543"/>
      <w:bookmarkEnd w:id="0"/>
      <w:bookmarkEnd w:id="1"/>
      <w:r w:rsidRPr="00AA425F">
        <w:t>SCOPE</w:t>
      </w:r>
      <w:bookmarkEnd w:id="3"/>
    </w:p>
    <w:p w14:paraId="01CD903C" w14:textId="77777777" w:rsidR="007228C9" w:rsidRPr="004905F5" w:rsidRDefault="007228C9" w:rsidP="007228C9">
      <w:pPr>
        <w:rPr>
          <w:rFonts w:cs="TimesNewRoman"/>
        </w:rPr>
      </w:pPr>
      <w:r w:rsidRPr="004905F5">
        <w:t xml:space="preserve">This method is applicable for detection of </w:t>
      </w:r>
      <w:r w:rsidR="000C2F0A">
        <w:t>T</w:t>
      </w:r>
      <w:r w:rsidR="003912D6">
        <w:t xml:space="preserve">op 6 </w:t>
      </w:r>
      <w:r w:rsidR="003E2B5D">
        <w:t>S</w:t>
      </w:r>
      <w:r w:rsidR="003912D6">
        <w:t>higa toxin</w:t>
      </w:r>
      <w:r w:rsidR="003E2B5D">
        <w:t>-</w:t>
      </w:r>
      <w:r w:rsidR="003912D6">
        <w:t>producing</w:t>
      </w:r>
      <w:r>
        <w:t xml:space="preserve"> </w:t>
      </w:r>
      <w:r w:rsidRPr="004905F5">
        <w:rPr>
          <w:i/>
        </w:rPr>
        <w:t>E. coli</w:t>
      </w:r>
      <w:r w:rsidRPr="004905F5">
        <w:t xml:space="preserve"> </w:t>
      </w:r>
      <w:r w:rsidR="003912D6">
        <w:t>(</w:t>
      </w:r>
      <w:r>
        <w:t xml:space="preserve">O26, O45, O103, O111, O121 and O145) </w:t>
      </w:r>
      <w:r w:rsidRPr="004905F5">
        <w:t>in</w:t>
      </w:r>
      <w:r>
        <w:t xml:space="preserve"> beef trim</w:t>
      </w:r>
      <w:bookmarkStart w:id="4" w:name="_Toc248826544"/>
      <w:r w:rsidR="00D6236B">
        <w:rPr>
          <w:rFonts w:cs="TimesNewRoman"/>
        </w:rPr>
        <w:t xml:space="preserve"> as </w:t>
      </w:r>
      <w:r w:rsidR="003E2B5D">
        <w:rPr>
          <w:rFonts w:cs="TimesNewRoman"/>
        </w:rPr>
        <w:t xml:space="preserve">a </w:t>
      </w:r>
      <w:r w:rsidR="00D6236B">
        <w:rPr>
          <w:rFonts w:cs="TimesNewRoman"/>
        </w:rPr>
        <w:t xml:space="preserve">secondary screening method </w:t>
      </w:r>
      <w:r w:rsidR="003912D6">
        <w:rPr>
          <w:rFonts w:cs="TimesNewRoman"/>
        </w:rPr>
        <w:t xml:space="preserve">following a positive result using </w:t>
      </w:r>
      <w:r w:rsidR="003E2B5D">
        <w:rPr>
          <w:rFonts w:cs="TimesNewRoman"/>
        </w:rPr>
        <w:t xml:space="preserve">the </w:t>
      </w:r>
      <w:r w:rsidR="003912D6">
        <w:rPr>
          <w:rFonts w:cs="TimesNewRoman"/>
        </w:rPr>
        <w:t>Assurance GDS</w:t>
      </w:r>
      <w:r w:rsidR="00D6236B" w:rsidRPr="00D6236B">
        <w:rPr>
          <w:rFonts w:cs="TimesNewRoman"/>
          <w:vertAlign w:val="superscript"/>
        </w:rPr>
        <w:t>®</w:t>
      </w:r>
      <w:r w:rsidR="003912D6">
        <w:rPr>
          <w:rFonts w:cs="TimesNewRoman"/>
        </w:rPr>
        <w:t xml:space="preserve"> MPX Top 7 STEC assay (AOAC 071301).</w:t>
      </w:r>
      <w:r w:rsidR="00D6236B" w:rsidRPr="00D6236B">
        <w:t xml:space="preserve"> </w:t>
      </w:r>
    </w:p>
    <w:p w14:paraId="4623113B" w14:textId="77777777" w:rsidR="007228C9" w:rsidRPr="004905F5" w:rsidRDefault="007228C9" w:rsidP="007228C9">
      <w:pPr>
        <w:pStyle w:val="Heading2"/>
      </w:pPr>
      <w:r w:rsidRPr="004905F5">
        <w:t>PRINCIPLES</w:t>
      </w:r>
      <w:bookmarkEnd w:id="4"/>
    </w:p>
    <w:p w14:paraId="4A58F08F" w14:textId="77777777" w:rsidR="007228C9" w:rsidRPr="004905F5" w:rsidRDefault="007228C9" w:rsidP="007228C9">
      <w:r>
        <w:t>GDS</w:t>
      </w:r>
      <w:r w:rsidR="00D6236B" w:rsidRPr="00D6236B">
        <w:rPr>
          <w:vertAlign w:val="superscript"/>
        </w:rPr>
        <w:t>®</w:t>
      </w:r>
      <w:r w:rsidR="00D6236B">
        <w:t xml:space="preserve"> MPX ID</w:t>
      </w:r>
      <w:r w:rsidRPr="004905F5">
        <w:t xml:space="preserve"> </w:t>
      </w:r>
      <w:r w:rsidR="000C2F0A">
        <w:t>is designed to detect T</w:t>
      </w:r>
      <w:r w:rsidR="00A439F7">
        <w:t xml:space="preserve">op 6 </w:t>
      </w:r>
      <w:r w:rsidR="00B36EAC">
        <w:t>S</w:t>
      </w:r>
      <w:r w:rsidR="00A439F7">
        <w:t>higa toxin</w:t>
      </w:r>
      <w:r w:rsidR="00B36EAC">
        <w:t>-</w:t>
      </w:r>
      <w:r w:rsidR="00A439F7">
        <w:t>producing non-O157 STEC</w:t>
      </w:r>
      <w:r w:rsidR="00D6236B">
        <w:t xml:space="preserve"> and is used in conjunction with </w:t>
      </w:r>
      <w:r w:rsidR="00B36EAC">
        <w:t xml:space="preserve">the </w:t>
      </w:r>
      <w:r w:rsidR="00D6236B">
        <w:t xml:space="preserve">GDS MPX Top 7 STEC assay. </w:t>
      </w:r>
      <w:r w:rsidR="00A439F7">
        <w:t>Initially sample</w:t>
      </w:r>
      <w:r w:rsidR="001414CD">
        <w:t>s are</w:t>
      </w:r>
      <w:r w:rsidR="00A439F7">
        <w:t xml:space="preserve"> analysed by </w:t>
      </w:r>
      <w:r w:rsidR="00B36EAC">
        <w:t xml:space="preserve">the </w:t>
      </w:r>
      <w:r w:rsidR="001414CD">
        <w:rPr>
          <w:rFonts w:cs="TimesNewRoman"/>
        </w:rPr>
        <w:t>GDS</w:t>
      </w:r>
      <w:r w:rsidR="00D6236B" w:rsidRPr="00D6236B">
        <w:rPr>
          <w:rFonts w:cs="TimesNewRoman"/>
          <w:vertAlign w:val="superscript"/>
        </w:rPr>
        <w:t>®</w:t>
      </w:r>
      <w:r w:rsidR="001414CD">
        <w:rPr>
          <w:rFonts w:cs="TimesNewRoman"/>
        </w:rPr>
        <w:t xml:space="preserve"> MPX Top 7 STEC assay (AOAC 071301). </w:t>
      </w:r>
      <w:r w:rsidR="001414CD">
        <w:t xml:space="preserve">Any positive sample is analysed by </w:t>
      </w:r>
      <w:r w:rsidR="00D6236B">
        <w:t xml:space="preserve">GDS </w:t>
      </w:r>
      <w:r w:rsidR="001414CD">
        <w:t xml:space="preserve">MPX ID, which utilizes a proprietary </w:t>
      </w:r>
      <w:r w:rsidR="00357D7F">
        <w:t>immunomagnetic separation (</w:t>
      </w:r>
      <w:r w:rsidR="000C2F0A">
        <w:t>IMS</w:t>
      </w:r>
      <w:r w:rsidR="00357D7F">
        <w:t>)</w:t>
      </w:r>
      <w:r w:rsidR="000C2F0A">
        <w:t>-based procedure to capture T</w:t>
      </w:r>
      <w:r w:rsidR="001414CD">
        <w:t xml:space="preserve">op 6 STEC followed by detection of specific genes using multiplex PCR assays.  </w:t>
      </w:r>
    </w:p>
    <w:p w14:paraId="51116C8C" w14:textId="77777777" w:rsidR="007228C9" w:rsidRPr="004905F5" w:rsidRDefault="007228C9" w:rsidP="007228C9">
      <w:r>
        <w:t>Detection of target STEC involves the follow steps</w:t>
      </w:r>
      <w:r w:rsidRPr="004905F5">
        <w:t>:</w:t>
      </w:r>
    </w:p>
    <w:p w14:paraId="247E2575" w14:textId="77777777" w:rsidR="007228C9" w:rsidRPr="00AA425F" w:rsidRDefault="007228C9" w:rsidP="007228C9">
      <w:pPr>
        <w:pStyle w:val="Heading3"/>
      </w:pPr>
      <w:r>
        <w:t>Enrichment</w:t>
      </w:r>
    </w:p>
    <w:p w14:paraId="166FB0E1" w14:textId="77777777" w:rsidR="007228C9" w:rsidRDefault="007228C9" w:rsidP="007228C9">
      <w:pPr>
        <w:pStyle w:val="Normal-para"/>
      </w:pPr>
      <w:r>
        <w:t>S</w:t>
      </w:r>
      <w:r w:rsidRPr="00CB1C25">
        <w:t>ample</w:t>
      </w:r>
      <w:r>
        <w:t>s (375</w:t>
      </w:r>
      <w:r w:rsidR="005443AD">
        <w:t xml:space="preserve"> ±37.5</w:t>
      </w:r>
      <w:r>
        <w:t xml:space="preserve"> g) are diluted</w:t>
      </w:r>
      <w:r w:rsidRPr="00CB1C25">
        <w:t xml:space="preserve"> </w:t>
      </w:r>
      <w:r>
        <w:t>in 1.5 L of pre-warmed (42</w:t>
      </w:r>
      <w:r>
        <w:sym w:font="Symbol" w:char="F0B0"/>
      </w:r>
      <w:r w:rsidRPr="009A23F2">
        <w:rPr>
          <w:rFonts w:ascii="Arial" w:hAnsi="Arial" w:cs="Arial"/>
        </w:rPr>
        <w:t>C</w:t>
      </w:r>
      <w:r>
        <w:t>) mEHEC medium. Incubation is carried out for 10 h at 42</w:t>
      </w:r>
      <w:r>
        <w:sym w:font="Symbol" w:char="F0B0"/>
      </w:r>
      <w:r w:rsidRPr="009A23F2">
        <w:rPr>
          <w:rFonts w:ascii="Arial" w:hAnsi="Arial" w:cs="Arial"/>
        </w:rPr>
        <w:t>C</w:t>
      </w:r>
      <w:r>
        <w:t xml:space="preserve">. It is essential that the temperature of the broth and sample is at </w:t>
      </w:r>
      <w:r w:rsidR="00113FFD">
        <w:br/>
      </w:r>
      <w:r>
        <w:t xml:space="preserve">42 </w:t>
      </w:r>
      <w:r w:rsidRPr="00214F6E">
        <w:t>±</w:t>
      </w:r>
      <w:r>
        <w:t xml:space="preserve"> 1 °C for a minimum of 10h. A positive control culture (i</w:t>
      </w:r>
      <w:r w:rsidR="00C66328">
        <w:t>.</w:t>
      </w:r>
      <w:r>
        <w:t>e</w:t>
      </w:r>
      <w:r w:rsidR="00C66328">
        <w:t>.</w:t>
      </w:r>
      <w:r>
        <w:t xml:space="preserve"> </w:t>
      </w:r>
      <w:r w:rsidRPr="003104CC">
        <w:rPr>
          <w:i/>
        </w:rPr>
        <w:t>E. coli</w:t>
      </w:r>
      <w:r>
        <w:t xml:space="preserve"> O157 </w:t>
      </w:r>
      <w:proofErr w:type="spellStart"/>
      <w:r w:rsidRPr="00467AF5">
        <w:rPr>
          <w:i/>
        </w:rPr>
        <w:t>stx</w:t>
      </w:r>
      <w:proofErr w:type="spellEnd"/>
      <w:r>
        <w:t xml:space="preserve"> negative control) must be run through all procedures daily or when testing is carried out.</w:t>
      </w:r>
    </w:p>
    <w:p w14:paraId="55E16421" w14:textId="77777777" w:rsidR="005419FC" w:rsidRDefault="005419FC" w:rsidP="007228C9">
      <w:pPr>
        <w:pStyle w:val="Heading3"/>
        <w:rPr>
          <w:rFonts w:cs="TimesNewRoman"/>
        </w:rPr>
      </w:pPr>
      <w:r>
        <w:rPr>
          <w:rFonts w:cs="TimesNewRoman"/>
        </w:rPr>
        <w:t>Top 7 STEC assay (AOAC 071301)</w:t>
      </w:r>
    </w:p>
    <w:p w14:paraId="42CB2F43" w14:textId="2AC7D710" w:rsidR="005419FC" w:rsidRPr="00192D3D" w:rsidRDefault="005419FC" w:rsidP="005419FC">
      <w:pPr>
        <w:pStyle w:val="Normal-para"/>
        <w:rPr>
          <w:rFonts w:cs="TimesNewRoman"/>
        </w:rPr>
      </w:pPr>
      <w:r w:rsidRPr="00192D3D">
        <w:rPr>
          <w:rFonts w:cs="TimesNewRoman"/>
        </w:rPr>
        <w:t xml:space="preserve">Samples are analysed by </w:t>
      </w:r>
      <w:r w:rsidR="00113FFD" w:rsidRPr="00192D3D">
        <w:rPr>
          <w:rFonts w:cs="TimesNewRoman"/>
        </w:rPr>
        <w:t xml:space="preserve">the </w:t>
      </w:r>
      <w:r w:rsidRPr="00192D3D">
        <w:rPr>
          <w:rFonts w:cs="TimesNewRoman"/>
        </w:rPr>
        <w:t>Assurance GDS</w:t>
      </w:r>
      <w:r w:rsidR="007C6D25" w:rsidRPr="00192D3D">
        <w:rPr>
          <w:rFonts w:cs="TimesNewRoman"/>
          <w:vertAlign w:val="superscript"/>
        </w:rPr>
        <w:t>®</w:t>
      </w:r>
      <w:r w:rsidRPr="00192D3D">
        <w:rPr>
          <w:rFonts w:cs="TimesNewRoman"/>
        </w:rPr>
        <w:t xml:space="preserve"> MPX Top 7 STEC assay (AOAC 071301)</w:t>
      </w:r>
      <w:r w:rsidR="007C6D25" w:rsidRPr="00192D3D">
        <w:rPr>
          <w:rFonts w:cs="TimesNewRoman"/>
        </w:rPr>
        <w:t xml:space="preserve"> as per manufacturer’s instructions. </w:t>
      </w:r>
      <w:r w:rsidRPr="00192D3D">
        <w:rPr>
          <w:rFonts w:cs="TimesNewRoman"/>
        </w:rPr>
        <w:t xml:space="preserve"> </w:t>
      </w:r>
      <w:r w:rsidR="007C6D25" w:rsidRPr="00192D3D">
        <w:rPr>
          <w:rFonts w:cs="TimesNewRoman"/>
        </w:rPr>
        <w:t>Samples undergo</w:t>
      </w:r>
      <w:r w:rsidR="0039139C" w:rsidRPr="00192D3D">
        <w:rPr>
          <w:rFonts w:cs="TimesNewRoman"/>
        </w:rPr>
        <w:t xml:space="preserve"> </w:t>
      </w:r>
      <w:r w:rsidR="00B83009" w:rsidRPr="00192D3D">
        <w:rPr>
          <w:rFonts w:cs="TimesNewRoman"/>
        </w:rPr>
        <w:t xml:space="preserve">proprietary </w:t>
      </w:r>
      <w:r w:rsidR="00357D7F" w:rsidRPr="00192D3D">
        <w:rPr>
          <w:rFonts w:cs="TimesNewRoman"/>
        </w:rPr>
        <w:t>IMS</w:t>
      </w:r>
      <w:r w:rsidR="00B83009" w:rsidRPr="00192D3D">
        <w:rPr>
          <w:rFonts w:cs="TimesNewRoman"/>
        </w:rPr>
        <w:t xml:space="preserve"> followed by </w:t>
      </w:r>
      <w:r w:rsidR="007C6D25" w:rsidRPr="00192D3D">
        <w:rPr>
          <w:rFonts w:cs="TimesNewRoman"/>
        </w:rPr>
        <w:t>GDS</w:t>
      </w:r>
      <w:r w:rsidR="007C6D25" w:rsidRPr="00192D3D">
        <w:rPr>
          <w:rFonts w:cs="TimesNewRoman"/>
          <w:vertAlign w:val="superscript"/>
        </w:rPr>
        <w:t>®</w:t>
      </w:r>
      <w:r w:rsidR="007C6D25" w:rsidRPr="00192D3D">
        <w:rPr>
          <w:rFonts w:cs="TimesNewRoman"/>
        </w:rPr>
        <w:t xml:space="preserve"> </w:t>
      </w:r>
      <w:r w:rsidR="00B83009" w:rsidRPr="00192D3D">
        <w:rPr>
          <w:rFonts w:cs="TimesNewRoman"/>
        </w:rPr>
        <w:t xml:space="preserve">MPX Top 7 </w:t>
      </w:r>
      <w:r w:rsidR="007C6D25" w:rsidRPr="00192D3D">
        <w:rPr>
          <w:rFonts w:cs="TimesNewRoman"/>
        </w:rPr>
        <w:t xml:space="preserve">STEC </w:t>
      </w:r>
      <w:r w:rsidR="00B83009" w:rsidRPr="00192D3D">
        <w:rPr>
          <w:rFonts w:cs="TimesNewRoman"/>
        </w:rPr>
        <w:t xml:space="preserve">PCR. </w:t>
      </w:r>
      <w:r w:rsidR="009F3440" w:rsidRPr="00192D3D">
        <w:rPr>
          <w:rFonts w:cs="TimesNewRoman"/>
        </w:rPr>
        <w:t xml:space="preserve">All screen positive samples must be confirmed for </w:t>
      </w:r>
      <w:r w:rsidR="009F3440" w:rsidRPr="00192D3D">
        <w:rPr>
          <w:rFonts w:cs="TimesNewRoman"/>
          <w:i/>
        </w:rPr>
        <w:t>E. coli</w:t>
      </w:r>
      <w:r w:rsidR="009F3440" w:rsidRPr="00192D3D">
        <w:rPr>
          <w:rFonts w:cs="TimesNewRoman"/>
        </w:rPr>
        <w:t xml:space="preserve"> O157:H7 by </w:t>
      </w:r>
      <w:r w:rsidR="00305B01">
        <w:rPr>
          <w:rFonts w:cs="TimesNewRoman"/>
        </w:rPr>
        <w:t xml:space="preserve">a DAFF approved confirmatory </w:t>
      </w:r>
      <w:r w:rsidR="009858B1">
        <w:rPr>
          <w:rFonts w:cs="TimesNewRoman"/>
        </w:rPr>
        <w:t>method.</w:t>
      </w:r>
      <w:r w:rsidR="009F3440" w:rsidRPr="00192D3D">
        <w:rPr>
          <w:rFonts w:cs="TimesNewRoman"/>
        </w:rPr>
        <w:t xml:space="preserve"> Prior to </w:t>
      </w:r>
      <w:r w:rsidR="009858B1" w:rsidRPr="00192D3D">
        <w:rPr>
          <w:rFonts w:cs="TimesNewRoman"/>
        </w:rPr>
        <w:t>confirmation</w:t>
      </w:r>
      <w:r w:rsidR="009858B1">
        <w:rPr>
          <w:rFonts w:cs="TimesNewRoman"/>
        </w:rPr>
        <w:t xml:space="preserve">, </w:t>
      </w:r>
      <w:r w:rsidR="009858B1" w:rsidRPr="00192D3D">
        <w:rPr>
          <w:rFonts w:cs="TimesNewRoman"/>
        </w:rPr>
        <w:t>Top</w:t>
      </w:r>
      <w:r w:rsidR="009F3440" w:rsidRPr="00192D3D">
        <w:rPr>
          <w:rFonts w:cs="TimesNewRoman"/>
        </w:rPr>
        <w:t xml:space="preserve"> 6 non-O157 STEC screen positive samples can be individually identified by </w:t>
      </w:r>
      <w:r w:rsidR="007C6D25" w:rsidRPr="00192D3D">
        <w:rPr>
          <w:rFonts w:cs="TimesNewRoman"/>
        </w:rPr>
        <w:t>GDS</w:t>
      </w:r>
      <w:r w:rsidR="007C6D25" w:rsidRPr="00192D3D">
        <w:rPr>
          <w:rFonts w:cs="TimesNewRoman"/>
          <w:vertAlign w:val="superscript"/>
        </w:rPr>
        <w:t>®</w:t>
      </w:r>
      <w:r w:rsidR="007C6D25" w:rsidRPr="00192D3D">
        <w:rPr>
          <w:rFonts w:cs="TimesNewRoman"/>
        </w:rPr>
        <w:t xml:space="preserve"> </w:t>
      </w:r>
      <w:r w:rsidR="00B83009" w:rsidRPr="00192D3D">
        <w:rPr>
          <w:rFonts w:cs="TimesNewRoman"/>
        </w:rPr>
        <w:t>MPX ID</w:t>
      </w:r>
      <w:r w:rsidR="000F4FC0" w:rsidRPr="00192D3D">
        <w:rPr>
          <w:rFonts w:cs="TimesNewRoman"/>
        </w:rPr>
        <w:t xml:space="preserve"> for </w:t>
      </w:r>
      <w:r w:rsidR="00071DAF" w:rsidRPr="00192D3D">
        <w:rPr>
          <w:rFonts w:cs="TimesNewRoman"/>
        </w:rPr>
        <w:t>T</w:t>
      </w:r>
      <w:r w:rsidR="000F4FC0" w:rsidRPr="00192D3D">
        <w:rPr>
          <w:rFonts w:cs="TimesNewRoman"/>
        </w:rPr>
        <w:t>op 6 non-O157 STEC</w:t>
      </w:r>
      <w:r w:rsidR="00071DAF" w:rsidRPr="00192D3D">
        <w:rPr>
          <w:rFonts w:cs="TimesNewRoman"/>
        </w:rPr>
        <w:t xml:space="preserve">. </w:t>
      </w:r>
    </w:p>
    <w:p w14:paraId="07E0FF0D" w14:textId="77777777" w:rsidR="007228C9" w:rsidRPr="00192D3D" w:rsidRDefault="007228C9" w:rsidP="007228C9">
      <w:pPr>
        <w:pStyle w:val="Heading3"/>
      </w:pPr>
      <w:r w:rsidRPr="00192D3D">
        <w:t>Separation and concentration</w:t>
      </w:r>
    </w:p>
    <w:p w14:paraId="5DA543CD" w14:textId="77777777" w:rsidR="007228C9" w:rsidRPr="00C91532" w:rsidRDefault="00203BEE" w:rsidP="007228C9">
      <w:pPr>
        <w:pStyle w:val="Normal-para"/>
        <w:rPr>
          <w:b/>
        </w:rPr>
      </w:pPr>
      <w:r w:rsidRPr="00192D3D">
        <w:t xml:space="preserve">Top 6 </w:t>
      </w:r>
      <w:r w:rsidR="007228C9" w:rsidRPr="00192D3D">
        <w:t xml:space="preserve">STEC are separated and concentrated from the enrichment broth using proprietary </w:t>
      </w:r>
      <w:r w:rsidRPr="00192D3D">
        <w:t>IMS-based sample</w:t>
      </w:r>
      <w:r>
        <w:t xml:space="preserve"> preparation procedure to capture</w:t>
      </w:r>
      <w:r w:rsidR="007228C9" w:rsidRPr="00C91532">
        <w:t xml:space="preserve"> O26, O45, O</w:t>
      </w:r>
      <w:r>
        <w:t xml:space="preserve">103, O111, O121 and O145 prior to </w:t>
      </w:r>
      <w:r w:rsidR="007C6D25">
        <w:t>GDS</w:t>
      </w:r>
      <w:r w:rsidR="007C6D25" w:rsidRPr="007C6D25">
        <w:rPr>
          <w:vertAlign w:val="superscript"/>
        </w:rPr>
        <w:t>®</w:t>
      </w:r>
      <w:r w:rsidR="007C6D25">
        <w:t xml:space="preserve"> MPX ID </w:t>
      </w:r>
      <w:r>
        <w:t>PCR assay.</w:t>
      </w:r>
    </w:p>
    <w:p w14:paraId="28270483" w14:textId="77777777" w:rsidR="007228C9" w:rsidRPr="00AA425F" w:rsidRDefault="00203BEE" w:rsidP="007228C9">
      <w:pPr>
        <w:pStyle w:val="Heading3"/>
      </w:pPr>
      <w:r>
        <w:t>PCR Confirmation</w:t>
      </w:r>
    </w:p>
    <w:p w14:paraId="7BE4E4C9" w14:textId="77777777" w:rsidR="00570A44" w:rsidRPr="00071DAF" w:rsidRDefault="00203BEE" w:rsidP="007228C9">
      <w:pPr>
        <w:pStyle w:val="Normal-para"/>
      </w:pPr>
      <w:r>
        <w:t xml:space="preserve">Screened samples, identified as positive, are analysed for </w:t>
      </w:r>
      <w:r w:rsidR="000C2F0A">
        <w:t>T</w:t>
      </w:r>
      <w:r>
        <w:t xml:space="preserve">op 6 serogroups using GDS Group 1 </w:t>
      </w:r>
      <w:r w:rsidR="007C6D25">
        <w:t xml:space="preserve">and </w:t>
      </w:r>
      <w:r>
        <w:t>Group 2 STEC</w:t>
      </w:r>
      <w:r w:rsidR="007C6D25">
        <w:t xml:space="preserve"> PCR</w:t>
      </w:r>
      <w:r>
        <w:t xml:space="preserve"> </w:t>
      </w:r>
      <w:r w:rsidR="007228C9" w:rsidRPr="00CB1C25">
        <w:t xml:space="preserve">following the manufacturer’s recommended protocol. </w:t>
      </w:r>
      <w:bookmarkEnd w:id="2"/>
      <w:r w:rsidR="007228C9" w:rsidRPr="00DA7A79">
        <w:rPr>
          <w:rFonts w:cs="Arial"/>
        </w:rPr>
        <w:t xml:space="preserve">Upon completion </w:t>
      </w:r>
      <w:r w:rsidR="007228C9">
        <w:rPr>
          <w:rFonts w:cs="Arial"/>
        </w:rPr>
        <w:t xml:space="preserve">of the assay </w:t>
      </w:r>
      <w:r w:rsidR="007228C9" w:rsidRPr="00DA7A79">
        <w:rPr>
          <w:rFonts w:cs="Arial"/>
        </w:rPr>
        <w:t xml:space="preserve">the </w:t>
      </w:r>
      <w:r w:rsidR="00656A5D">
        <w:rPr>
          <w:rFonts w:cs="Arial"/>
        </w:rPr>
        <w:t>GDS</w:t>
      </w:r>
      <w:r w:rsidR="007C6D25" w:rsidRPr="007C6D25">
        <w:rPr>
          <w:rFonts w:cs="Arial"/>
          <w:vertAlign w:val="superscript"/>
        </w:rPr>
        <w:t>®</w:t>
      </w:r>
      <w:r w:rsidR="00656A5D">
        <w:rPr>
          <w:rFonts w:cs="Arial"/>
        </w:rPr>
        <w:t xml:space="preserve"> </w:t>
      </w:r>
      <w:r w:rsidR="007228C9" w:rsidRPr="00DA7A79">
        <w:rPr>
          <w:rFonts w:cs="Arial"/>
        </w:rPr>
        <w:t>Rotor-Gene program will provide</w:t>
      </w:r>
      <w:r w:rsidR="007228C9">
        <w:rPr>
          <w:rFonts w:cs="Arial"/>
        </w:rPr>
        <w:t xml:space="preserve"> </w:t>
      </w:r>
      <w:r w:rsidR="00064BD1">
        <w:rPr>
          <w:rFonts w:cs="Arial"/>
        </w:rPr>
        <w:t>results for the presence of</w:t>
      </w:r>
      <w:r w:rsidR="000C2F0A">
        <w:rPr>
          <w:rFonts w:cs="Arial"/>
        </w:rPr>
        <w:t xml:space="preserve"> </w:t>
      </w:r>
      <w:r w:rsidR="003C042A">
        <w:rPr>
          <w:rFonts w:cs="Arial"/>
        </w:rPr>
        <w:t xml:space="preserve">individual </w:t>
      </w:r>
      <w:r w:rsidR="000C2F0A">
        <w:rPr>
          <w:rFonts w:cs="Arial"/>
        </w:rPr>
        <w:t>T</w:t>
      </w:r>
      <w:r w:rsidR="00656A5D">
        <w:rPr>
          <w:rFonts w:cs="Arial"/>
        </w:rPr>
        <w:t>op 6 STEC</w:t>
      </w:r>
      <w:r w:rsidR="007228C9" w:rsidRPr="00DA7A79">
        <w:rPr>
          <w:rFonts w:cs="Arial"/>
        </w:rPr>
        <w:t xml:space="preserve">. </w:t>
      </w:r>
      <w:r w:rsidR="007228C9" w:rsidRPr="00071DAF">
        <w:t xml:space="preserve">Each test sample will be identified as positive, indicating that the test sample is positive for pathogenic STEC, negative indicating that the test sample is negative for pathogenic STEC, or “No Amp” indicating that amplification did not occur. </w:t>
      </w:r>
    </w:p>
    <w:p w14:paraId="1729F300" w14:textId="77777777" w:rsidR="007228C9" w:rsidRPr="00071DAF" w:rsidRDefault="00570A44" w:rsidP="007228C9">
      <w:pPr>
        <w:pStyle w:val="Normal-para"/>
      </w:pPr>
      <w:r w:rsidRPr="00071DAF">
        <w:t>A “No Amp” reading may be due to reagent or test failure or operator error. In this event the test must be repeated using the same enrichment cultures. If the result continues to show “No Amp” the equipment supplier must be contacted for technical services. In this case, the enrichment broth must be analysed using an alternate method or the product deem</w:t>
      </w:r>
      <w:r w:rsidR="007A4E39">
        <w:t>ed</w:t>
      </w:r>
      <w:r w:rsidRPr="00071DAF">
        <w:t xml:space="preserve"> positive for pathogenic STEC for disposition purposes</w:t>
      </w:r>
    </w:p>
    <w:p w14:paraId="3F5C03C4" w14:textId="77777777" w:rsidR="007228C9" w:rsidRPr="00071DAF" w:rsidRDefault="007228C9" w:rsidP="007228C9">
      <w:pPr>
        <w:pStyle w:val="Heading3"/>
      </w:pPr>
      <w:r w:rsidRPr="00071DAF">
        <w:t>Confirmation</w:t>
      </w:r>
    </w:p>
    <w:p w14:paraId="48095BF5" w14:textId="2DFF082D" w:rsidR="001E48B7" w:rsidRPr="00305B01" w:rsidRDefault="007228C9" w:rsidP="00305B01">
      <w:pPr>
        <w:pStyle w:val="Normal-para"/>
        <w:rPr>
          <w:rFonts w:cs="TimesNewRoman"/>
        </w:rPr>
      </w:pPr>
      <w:r w:rsidRPr="00071DAF">
        <w:t>Positive</w:t>
      </w:r>
      <w:r w:rsidR="007A4E39">
        <w:t xml:space="preserve"> </w:t>
      </w:r>
      <w:r w:rsidRPr="00071DAF">
        <w:t xml:space="preserve">samples must be confirmed </w:t>
      </w:r>
      <w:r w:rsidR="004A7DA5" w:rsidRPr="00071DAF">
        <w:t xml:space="preserve">by </w:t>
      </w:r>
      <w:r w:rsidR="00305B01">
        <w:t xml:space="preserve">a DAFF approved confirmatory method </w:t>
      </w:r>
      <w:r w:rsidRPr="00071DAF">
        <w:t>at a department approved</w:t>
      </w:r>
      <w:r w:rsidR="004A7DA5" w:rsidRPr="00071DAF">
        <w:t xml:space="preserve"> confirmatory</w:t>
      </w:r>
      <w:r w:rsidRPr="00071DAF">
        <w:t xml:space="preserve"> laboratory or the product deemed positive </w:t>
      </w:r>
      <w:r w:rsidRPr="00071DAF">
        <w:rPr>
          <w:rFonts w:cs="TimesNewRoman"/>
        </w:rPr>
        <w:t xml:space="preserve">for one of the indentified STEC </w:t>
      </w:r>
      <w:r w:rsidRPr="00071DAF">
        <w:t>for the</w:t>
      </w:r>
      <w:r w:rsidRPr="009A23F2">
        <w:t xml:space="preserve"> purposes of disposition. </w:t>
      </w:r>
    </w:p>
    <w:p w14:paraId="2A19931B" w14:textId="77777777" w:rsidR="00305B01" w:rsidRPr="00305B01" w:rsidRDefault="00305B01" w:rsidP="00305B01"/>
    <w:p w14:paraId="322D4921" w14:textId="77777777" w:rsidR="00305B01" w:rsidRPr="00305B01" w:rsidRDefault="00305B01" w:rsidP="009858B1">
      <w:pPr>
        <w:sectPr w:rsidR="00305B01" w:rsidRPr="00305B01" w:rsidSect="002D24D9">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737" w:left="1701" w:header="680" w:footer="567" w:gutter="0"/>
          <w:cols w:space="708"/>
          <w:docGrid w:linePitch="360"/>
        </w:sectPr>
      </w:pPr>
    </w:p>
    <w:p w14:paraId="0E5B340F" w14:textId="77777777" w:rsidR="007228C9" w:rsidRDefault="007228C9" w:rsidP="007228C9">
      <w:pPr>
        <w:pStyle w:val="Heading2"/>
      </w:pPr>
      <w:r w:rsidRPr="00FF6A50">
        <w:lastRenderedPageBreak/>
        <w:t>CHECKLIST</w:t>
      </w:r>
    </w:p>
    <w:tbl>
      <w:tblPr>
        <w:tblW w:w="9180" w:type="dxa"/>
        <w:tblInd w:w="108" w:type="dxa"/>
        <w:tblLook w:val="01E0" w:firstRow="1" w:lastRow="1" w:firstColumn="1" w:lastColumn="1" w:noHBand="0" w:noVBand="0"/>
      </w:tblPr>
      <w:tblGrid>
        <w:gridCol w:w="1800"/>
        <w:gridCol w:w="5040"/>
        <w:gridCol w:w="2340"/>
      </w:tblGrid>
      <w:tr w:rsidR="007228C9" w:rsidRPr="007228C9" w14:paraId="09A38A16" w14:textId="77777777" w:rsidTr="006107D1">
        <w:tc>
          <w:tcPr>
            <w:tcW w:w="1800" w:type="dxa"/>
            <w:tcBorders>
              <w:top w:val="single" w:sz="4" w:space="0" w:color="auto"/>
            </w:tcBorders>
          </w:tcPr>
          <w:p w14:paraId="5BE8D859" w14:textId="77777777" w:rsidR="007228C9" w:rsidRPr="007228C9" w:rsidRDefault="007228C9" w:rsidP="006107D1">
            <w:pPr>
              <w:spacing w:beforeLines="40" w:before="96" w:afterLines="40" w:after="96"/>
              <w:rPr>
                <w:b/>
                <w:sz w:val="22"/>
                <w:szCs w:val="22"/>
              </w:rPr>
            </w:pPr>
            <w:r w:rsidRPr="007228C9">
              <w:rPr>
                <w:b/>
                <w:sz w:val="22"/>
                <w:szCs w:val="22"/>
              </w:rPr>
              <w:t>Enrichment</w:t>
            </w:r>
          </w:p>
        </w:tc>
        <w:tc>
          <w:tcPr>
            <w:tcW w:w="5040" w:type="dxa"/>
            <w:tcBorders>
              <w:top w:val="single" w:sz="4" w:space="0" w:color="auto"/>
            </w:tcBorders>
          </w:tcPr>
          <w:p w14:paraId="0EC0B151" w14:textId="77777777" w:rsidR="007228C9" w:rsidRPr="007228C9" w:rsidRDefault="007228C9" w:rsidP="006107D1">
            <w:pPr>
              <w:spacing w:beforeLines="40" w:before="96" w:afterLines="40" w:after="96"/>
              <w:rPr>
                <w:sz w:val="22"/>
                <w:szCs w:val="22"/>
              </w:rPr>
            </w:pPr>
            <w:r w:rsidRPr="007228C9">
              <w:rPr>
                <w:sz w:val="22"/>
                <w:szCs w:val="22"/>
              </w:rPr>
              <w:t>Is the sample enriched in mEHEC medium pre-warmed at 42</w:t>
            </w:r>
            <w:r w:rsidRPr="007228C9">
              <w:rPr>
                <w:sz w:val="22"/>
                <w:szCs w:val="22"/>
              </w:rPr>
              <w:sym w:font="Symbol" w:char="F0B0"/>
            </w:r>
            <w:r w:rsidRPr="007228C9">
              <w:rPr>
                <w:sz w:val="22"/>
                <w:szCs w:val="22"/>
              </w:rPr>
              <w:t xml:space="preserve">C before use? </w:t>
            </w:r>
          </w:p>
        </w:tc>
        <w:tc>
          <w:tcPr>
            <w:tcW w:w="2340" w:type="dxa"/>
            <w:tcBorders>
              <w:top w:val="single" w:sz="4" w:space="0" w:color="auto"/>
            </w:tcBorders>
            <w:vAlign w:val="center"/>
          </w:tcPr>
          <w:p w14:paraId="115F21E2"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3C06C763" w14:textId="77777777" w:rsidTr="006107D1">
        <w:tc>
          <w:tcPr>
            <w:tcW w:w="1800" w:type="dxa"/>
          </w:tcPr>
          <w:p w14:paraId="61F51D32" w14:textId="77777777" w:rsidR="007228C9" w:rsidRPr="007228C9" w:rsidRDefault="007228C9" w:rsidP="006107D1">
            <w:pPr>
              <w:spacing w:beforeLines="40" w:before="96" w:afterLines="40" w:after="96"/>
              <w:rPr>
                <w:b/>
                <w:sz w:val="22"/>
                <w:szCs w:val="22"/>
              </w:rPr>
            </w:pPr>
          </w:p>
        </w:tc>
        <w:tc>
          <w:tcPr>
            <w:tcW w:w="5040" w:type="dxa"/>
          </w:tcPr>
          <w:p w14:paraId="136DF1A4" w14:textId="77777777" w:rsidR="007228C9" w:rsidRPr="007228C9" w:rsidRDefault="007228C9" w:rsidP="006107D1">
            <w:pPr>
              <w:spacing w:beforeLines="40" w:before="96" w:afterLines="40" w:after="96"/>
              <w:rPr>
                <w:sz w:val="22"/>
                <w:szCs w:val="22"/>
              </w:rPr>
            </w:pPr>
            <w:r w:rsidRPr="007228C9">
              <w:rPr>
                <w:sz w:val="22"/>
                <w:szCs w:val="22"/>
              </w:rPr>
              <w:t>Is enrichment carried out 42</w:t>
            </w:r>
            <w:r w:rsidRPr="007228C9">
              <w:rPr>
                <w:sz w:val="22"/>
                <w:szCs w:val="22"/>
              </w:rPr>
              <w:sym w:font="Symbol" w:char="F0B0"/>
            </w:r>
            <w:r w:rsidRPr="007228C9">
              <w:rPr>
                <w:rFonts w:cs="Arial"/>
              </w:rPr>
              <w:t>C</w:t>
            </w:r>
            <w:r w:rsidRPr="007228C9">
              <w:rPr>
                <w:sz w:val="22"/>
                <w:szCs w:val="22"/>
              </w:rPr>
              <w:t xml:space="preserve"> and is the enrichment broth and samp</w:t>
            </w:r>
            <w:r w:rsidR="007A4E39">
              <w:rPr>
                <w:sz w:val="22"/>
                <w:szCs w:val="22"/>
              </w:rPr>
              <w:t>le at 42 °C for a minimum of</w:t>
            </w:r>
            <w:r w:rsidRPr="007228C9">
              <w:rPr>
                <w:sz w:val="22"/>
                <w:szCs w:val="22"/>
              </w:rPr>
              <w:t xml:space="preserve"> 10 h?</w:t>
            </w:r>
          </w:p>
        </w:tc>
        <w:tc>
          <w:tcPr>
            <w:tcW w:w="2340" w:type="dxa"/>
            <w:vAlign w:val="center"/>
          </w:tcPr>
          <w:p w14:paraId="7BDBD852"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49348394" w14:textId="77777777" w:rsidTr="006107D1">
        <w:tc>
          <w:tcPr>
            <w:tcW w:w="1800" w:type="dxa"/>
          </w:tcPr>
          <w:p w14:paraId="6B1BF5B5" w14:textId="77777777" w:rsidR="007228C9" w:rsidRPr="007228C9" w:rsidRDefault="007228C9" w:rsidP="006107D1">
            <w:pPr>
              <w:spacing w:beforeLines="40" w:before="96" w:afterLines="40" w:after="96"/>
              <w:rPr>
                <w:b/>
                <w:sz w:val="22"/>
                <w:szCs w:val="22"/>
              </w:rPr>
            </w:pPr>
          </w:p>
        </w:tc>
        <w:tc>
          <w:tcPr>
            <w:tcW w:w="5040" w:type="dxa"/>
          </w:tcPr>
          <w:p w14:paraId="2AAE0B4E" w14:textId="403D52DC" w:rsidR="007228C9" w:rsidRPr="007228C9" w:rsidRDefault="007228C9" w:rsidP="006107D1">
            <w:pPr>
              <w:spacing w:beforeLines="40" w:before="96" w:afterLines="40" w:after="96"/>
              <w:rPr>
                <w:sz w:val="22"/>
                <w:szCs w:val="22"/>
              </w:rPr>
            </w:pPr>
            <w:r w:rsidRPr="007228C9">
              <w:rPr>
                <w:sz w:val="22"/>
                <w:szCs w:val="22"/>
              </w:rPr>
              <w:t>Is the correct amount of enrichment broth used?</w:t>
            </w:r>
          </w:p>
        </w:tc>
        <w:tc>
          <w:tcPr>
            <w:tcW w:w="2340" w:type="dxa"/>
            <w:vAlign w:val="center"/>
          </w:tcPr>
          <w:p w14:paraId="71F46E33"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51E2497E" w14:textId="77777777" w:rsidTr="006107D1">
        <w:tc>
          <w:tcPr>
            <w:tcW w:w="1800" w:type="dxa"/>
          </w:tcPr>
          <w:p w14:paraId="7EA891B7" w14:textId="77777777" w:rsidR="007228C9" w:rsidRPr="007228C9" w:rsidRDefault="007228C9" w:rsidP="006107D1">
            <w:pPr>
              <w:spacing w:beforeLines="40" w:before="96" w:afterLines="40" w:after="96"/>
              <w:rPr>
                <w:b/>
                <w:sz w:val="22"/>
                <w:szCs w:val="22"/>
              </w:rPr>
            </w:pPr>
          </w:p>
        </w:tc>
        <w:tc>
          <w:tcPr>
            <w:tcW w:w="5040" w:type="dxa"/>
          </w:tcPr>
          <w:p w14:paraId="23EB083A" w14:textId="77777777" w:rsidR="007228C9" w:rsidRPr="007228C9" w:rsidRDefault="007228C9" w:rsidP="006107D1">
            <w:pPr>
              <w:spacing w:beforeLines="40" w:before="96" w:afterLines="40" w:after="96"/>
              <w:rPr>
                <w:sz w:val="22"/>
                <w:szCs w:val="22"/>
              </w:rPr>
            </w:pPr>
            <w:r w:rsidRPr="007228C9">
              <w:rPr>
                <w:sz w:val="22"/>
                <w:szCs w:val="22"/>
              </w:rPr>
              <w:t>Is a positive control run with each batch of samples/daily?</w:t>
            </w:r>
          </w:p>
        </w:tc>
        <w:tc>
          <w:tcPr>
            <w:tcW w:w="2340" w:type="dxa"/>
            <w:vAlign w:val="center"/>
          </w:tcPr>
          <w:p w14:paraId="0AA75E88"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097B5C3D" w14:textId="77777777" w:rsidTr="006107D1">
        <w:tc>
          <w:tcPr>
            <w:tcW w:w="1800" w:type="dxa"/>
          </w:tcPr>
          <w:p w14:paraId="712A488D" w14:textId="77777777" w:rsidR="007228C9" w:rsidRPr="007228C9" w:rsidRDefault="007228C9" w:rsidP="006107D1">
            <w:pPr>
              <w:spacing w:beforeLines="40" w:before="96" w:afterLines="40" w:after="96"/>
              <w:rPr>
                <w:b/>
                <w:sz w:val="22"/>
                <w:szCs w:val="22"/>
              </w:rPr>
            </w:pPr>
          </w:p>
        </w:tc>
        <w:tc>
          <w:tcPr>
            <w:tcW w:w="5040" w:type="dxa"/>
          </w:tcPr>
          <w:p w14:paraId="7E2E4AFF" w14:textId="77777777" w:rsidR="007228C9" w:rsidRPr="007228C9" w:rsidRDefault="007228C9" w:rsidP="006107D1">
            <w:pPr>
              <w:spacing w:beforeLines="40" w:before="96" w:afterLines="40" w:after="96"/>
              <w:rPr>
                <w:sz w:val="22"/>
                <w:szCs w:val="22"/>
              </w:rPr>
            </w:pPr>
            <w:r w:rsidRPr="007228C9">
              <w:rPr>
                <w:sz w:val="22"/>
                <w:szCs w:val="22"/>
              </w:rPr>
              <w:t>Are reference cultures inoculated into enrichment media at a level of 10-100 cells/mL?</w:t>
            </w:r>
          </w:p>
        </w:tc>
        <w:tc>
          <w:tcPr>
            <w:tcW w:w="2340" w:type="dxa"/>
            <w:vAlign w:val="center"/>
          </w:tcPr>
          <w:p w14:paraId="5100098E"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6F2776" w:rsidRPr="007228C9" w14:paraId="3AF65E81" w14:textId="77777777" w:rsidTr="006107D1">
        <w:tc>
          <w:tcPr>
            <w:tcW w:w="1800" w:type="dxa"/>
          </w:tcPr>
          <w:p w14:paraId="5C8E46DB" w14:textId="77777777" w:rsidR="006F2776" w:rsidRPr="007228C9" w:rsidRDefault="006F2776" w:rsidP="006107D1">
            <w:pPr>
              <w:spacing w:beforeLines="40" w:before="96" w:afterLines="40" w:after="96"/>
              <w:rPr>
                <w:b/>
                <w:sz w:val="22"/>
                <w:szCs w:val="22"/>
              </w:rPr>
            </w:pPr>
          </w:p>
        </w:tc>
        <w:tc>
          <w:tcPr>
            <w:tcW w:w="5040" w:type="dxa"/>
          </w:tcPr>
          <w:p w14:paraId="59413053" w14:textId="77777777" w:rsidR="006F2776" w:rsidRPr="007228C9" w:rsidRDefault="006F2776" w:rsidP="006107D1">
            <w:pPr>
              <w:spacing w:beforeLines="40" w:before="96" w:afterLines="40" w:after="96"/>
              <w:rPr>
                <w:sz w:val="22"/>
                <w:szCs w:val="22"/>
              </w:rPr>
            </w:pPr>
            <w:r>
              <w:rPr>
                <w:sz w:val="22"/>
                <w:szCs w:val="22"/>
              </w:rPr>
              <w:t xml:space="preserve">Are the enriched samples also analysed for </w:t>
            </w:r>
            <w:r w:rsidRPr="000C2F0A">
              <w:rPr>
                <w:i/>
                <w:sz w:val="22"/>
                <w:szCs w:val="22"/>
              </w:rPr>
              <w:t>E. coli</w:t>
            </w:r>
            <w:r>
              <w:rPr>
                <w:sz w:val="22"/>
                <w:szCs w:val="22"/>
              </w:rPr>
              <w:t xml:space="preserve"> O157:H7 using Assurance GDS O157 (AOAC 2005.</w:t>
            </w:r>
            <w:r w:rsidR="000C2F0A">
              <w:rPr>
                <w:sz w:val="22"/>
                <w:szCs w:val="22"/>
              </w:rPr>
              <w:t>04)?</w:t>
            </w:r>
          </w:p>
        </w:tc>
        <w:tc>
          <w:tcPr>
            <w:tcW w:w="2340" w:type="dxa"/>
            <w:vAlign w:val="center"/>
          </w:tcPr>
          <w:p w14:paraId="34E7C827" w14:textId="77777777" w:rsidR="006F2776" w:rsidRPr="007228C9" w:rsidRDefault="000C2F0A" w:rsidP="006107D1">
            <w:pPr>
              <w:tabs>
                <w:tab w:val="left" w:pos="1962"/>
              </w:tabs>
              <w:spacing w:beforeLines="40" w:before="96" w:afterLines="40" w:after="96"/>
              <w:ind w:left="72"/>
              <w:rPr>
                <w:sz w:val="22"/>
                <w:szCs w:val="22"/>
                <w:u w:val="single"/>
              </w:rPr>
            </w:pPr>
            <w:r w:rsidRPr="007228C9">
              <w:rPr>
                <w:sz w:val="22"/>
                <w:szCs w:val="22"/>
                <w:u w:val="single"/>
              </w:rPr>
              <w:tab/>
            </w:r>
          </w:p>
        </w:tc>
      </w:tr>
      <w:tr w:rsidR="00AC4C73" w:rsidRPr="007228C9" w14:paraId="609D1278" w14:textId="77777777" w:rsidTr="006107D1">
        <w:tc>
          <w:tcPr>
            <w:tcW w:w="1800" w:type="dxa"/>
          </w:tcPr>
          <w:p w14:paraId="189448A4" w14:textId="77777777" w:rsidR="00AC4C73" w:rsidRPr="007228C9" w:rsidRDefault="00AC4C73" w:rsidP="006107D1">
            <w:pPr>
              <w:spacing w:beforeLines="40" w:before="96" w:afterLines="40" w:after="96"/>
              <w:rPr>
                <w:b/>
                <w:sz w:val="22"/>
                <w:szCs w:val="22"/>
              </w:rPr>
            </w:pPr>
            <w:r>
              <w:rPr>
                <w:b/>
                <w:sz w:val="22"/>
                <w:szCs w:val="22"/>
              </w:rPr>
              <w:t>Assay</w:t>
            </w:r>
          </w:p>
        </w:tc>
        <w:tc>
          <w:tcPr>
            <w:tcW w:w="5040" w:type="dxa"/>
          </w:tcPr>
          <w:p w14:paraId="0BB383E3" w14:textId="77777777" w:rsidR="00AC4C73" w:rsidRPr="007228C9" w:rsidRDefault="005C68F4" w:rsidP="006107D1">
            <w:pPr>
              <w:spacing w:beforeLines="40" w:before="96" w:afterLines="40" w:after="96"/>
              <w:rPr>
                <w:sz w:val="22"/>
                <w:szCs w:val="22"/>
              </w:rPr>
            </w:pPr>
            <w:r>
              <w:rPr>
                <w:sz w:val="22"/>
                <w:szCs w:val="22"/>
              </w:rPr>
              <w:t xml:space="preserve">Do </w:t>
            </w:r>
            <w:r w:rsidR="00AC4C73">
              <w:rPr>
                <w:sz w:val="22"/>
                <w:szCs w:val="22"/>
              </w:rPr>
              <w:t xml:space="preserve">screen positive samples undergo IMS prior to </w:t>
            </w:r>
            <w:r w:rsidR="000C2F0A">
              <w:rPr>
                <w:sz w:val="22"/>
                <w:szCs w:val="22"/>
              </w:rPr>
              <w:t xml:space="preserve">GDS MPX ID </w:t>
            </w:r>
            <w:r w:rsidR="00AC4C73">
              <w:rPr>
                <w:sz w:val="22"/>
                <w:szCs w:val="22"/>
              </w:rPr>
              <w:t>Group 1 and Group 2 STEC PCR assays?</w:t>
            </w:r>
          </w:p>
        </w:tc>
        <w:tc>
          <w:tcPr>
            <w:tcW w:w="2340" w:type="dxa"/>
            <w:vAlign w:val="center"/>
          </w:tcPr>
          <w:p w14:paraId="00D759CF" w14:textId="77777777" w:rsidR="00AC4C73" w:rsidRPr="007228C9" w:rsidRDefault="00AC4C73"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057834D4" w14:textId="77777777" w:rsidTr="006107D1">
        <w:tc>
          <w:tcPr>
            <w:tcW w:w="1800" w:type="dxa"/>
          </w:tcPr>
          <w:p w14:paraId="04DA6F3F" w14:textId="77777777" w:rsidR="007228C9" w:rsidRPr="007228C9" w:rsidRDefault="007228C9" w:rsidP="006107D1">
            <w:pPr>
              <w:spacing w:beforeLines="40" w:before="96" w:afterLines="40" w:after="96"/>
              <w:rPr>
                <w:b/>
                <w:sz w:val="22"/>
                <w:szCs w:val="22"/>
              </w:rPr>
            </w:pPr>
          </w:p>
        </w:tc>
        <w:tc>
          <w:tcPr>
            <w:tcW w:w="5040" w:type="dxa"/>
          </w:tcPr>
          <w:p w14:paraId="4AEA872C" w14:textId="77777777" w:rsidR="007228C9" w:rsidRPr="007228C9" w:rsidRDefault="007228C9" w:rsidP="006107D1">
            <w:pPr>
              <w:spacing w:beforeLines="40" w:before="96" w:afterLines="40" w:after="96"/>
              <w:rPr>
                <w:sz w:val="22"/>
                <w:szCs w:val="22"/>
              </w:rPr>
            </w:pPr>
            <w:r w:rsidRPr="007228C9">
              <w:rPr>
                <w:sz w:val="22"/>
                <w:szCs w:val="22"/>
              </w:rPr>
              <w:t>Are manufacturer’s instructions available for reference?</w:t>
            </w:r>
          </w:p>
        </w:tc>
        <w:tc>
          <w:tcPr>
            <w:tcW w:w="2340" w:type="dxa"/>
            <w:vAlign w:val="center"/>
          </w:tcPr>
          <w:p w14:paraId="2250812C"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0F2560AA" w14:textId="77777777" w:rsidTr="006107D1">
        <w:tc>
          <w:tcPr>
            <w:tcW w:w="1800" w:type="dxa"/>
          </w:tcPr>
          <w:p w14:paraId="6F8F5333" w14:textId="77777777" w:rsidR="007228C9" w:rsidRPr="007228C9" w:rsidRDefault="007228C9" w:rsidP="006107D1">
            <w:pPr>
              <w:spacing w:beforeLines="40" w:before="96" w:afterLines="40" w:after="96"/>
              <w:rPr>
                <w:b/>
                <w:sz w:val="22"/>
                <w:szCs w:val="22"/>
              </w:rPr>
            </w:pPr>
          </w:p>
        </w:tc>
        <w:tc>
          <w:tcPr>
            <w:tcW w:w="5040" w:type="dxa"/>
          </w:tcPr>
          <w:p w14:paraId="6877AF7B" w14:textId="77777777" w:rsidR="007228C9" w:rsidRPr="007228C9" w:rsidRDefault="007228C9" w:rsidP="006107D1">
            <w:pPr>
              <w:spacing w:beforeLines="40" w:before="96" w:afterLines="40" w:after="96"/>
              <w:rPr>
                <w:sz w:val="22"/>
                <w:szCs w:val="22"/>
              </w:rPr>
            </w:pPr>
            <w:r w:rsidRPr="007228C9">
              <w:rPr>
                <w:sz w:val="22"/>
                <w:szCs w:val="22"/>
              </w:rPr>
              <w:t>Are internal controls run with each batch of samples?</w:t>
            </w:r>
          </w:p>
        </w:tc>
        <w:tc>
          <w:tcPr>
            <w:tcW w:w="2340" w:type="dxa"/>
            <w:vAlign w:val="center"/>
          </w:tcPr>
          <w:p w14:paraId="5293E783"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60726917" w14:textId="77777777" w:rsidTr="006107D1">
        <w:tc>
          <w:tcPr>
            <w:tcW w:w="1800" w:type="dxa"/>
          </w:tcPr>
          <w:p w14:paraId="27FA0598" w14:textId="77777777" w:rsidR="007228C9" w:rsidRPr="007228C9" w:rsidRDefault="007228C9" w:rsidP="006107D1">
            <w:pPr>
              <w:spacing w:beforeLines="40" w:before="96" w:afterLines="40" w:after="96"/>
              <w:rPr>
                <w:b/>
                <w:sz w:val="22"/>
                <w:szCs w:val="22"/>
              </w:rPr>
            </w:pPr>
          </w:p>
        </w:tc>
        <w:tc>
          <w:tcPr>
            <w:tcW w:w="5040" w:type="dxa"/>
          </w:tcPr>
          <w:p w14:paraId="3DB555A9" w14:textId="77777777" w:rsidR="007228C9" w:rsidRPr="007228C9" w:rsidRDefault="007228C9" w:rsidP="006107D1">
            <w:pPr>
              <w:spacing w:beforeLines="40" w:before="96" w:afterLines="40" w:after="96"/>
              <w:rPr>
                <w:sz w:val="22"/>
                <w:szCs w:val="22"/>
              </w:rPr>
            </w:pPr>
            <w:r w:rsidRPr="007228C9">
              <w:rPr>
                <w:sz w:val="22"/>
                <w:szCs w:val="22"/>
              </w:rPr>
              <w:t>Are technicians familiar with and trained in the operation of the GDS</w:t>
            </w:r>
            <w:r w:rsidRPr="000C2F0A">
              <w:rPr>
                <w:sz w:val="22"/>
                <w:szCs w:val="22"/>
                <w:vertAlign w:val="superscript"/>
              </w:rPr>
              <w:t xml:space="preserve">® </w:t>
            </w:r>
            <w:r w:rsidRPr="007228C9">
              <w:rPr>
                <w:sz w:val="22"/>
                <w:szCs w:val="22"/>
              </w:rPr>
              <w:t>MPX Automated System and the Rotor-Gene Program?</w:t>
            </w:r>
          </w:p>
        </w:tc>
        <w:tc>
          <w:tcPr>
            <w:tcW w:w="2340" w:type="dxa"/>
          </w:tcPr>
          <w:p w14:paraId="70A40C22"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23E28194" w14:textId="77777777" w:rsidTr="006107D1">
        <w:tc>
          <w:tcPr>
            <w:tcW w:w="1800" w:type="dxa"/>
            <w:vAlign w:val="center"/>
          </w:tcPr>
          <w:p w14:paraId="20367132" w14:textId="77777777" w:rsidR="007228C9" w:rsidRPr="007228C9" w:rsidRDefault="007228C9" w:rsidP="006107D1">
            <w:pPr>
              <w:spacing w:beforeLines="40" w:before="96" w:afterLines="40" w:after="96"/>
              <w:rPr>
                <w:b/>
                <w:sz w:val="22"/>
                <w:szCs w:val="22"/>
              </w:rPr>
            </w:pPr>
          </w:p>
        </w:tc>
        <w:tc>
          <w:tcPr>
            <w:tcW w:w="5040" w:type="dxa"/>
          </w:tcPr>
          <w:p w14:paraId="63A15CD6" w14:textId="77777777" w:rsidR="007228C9" w:rsidRPr="007228C9" w:rsidRDefault="007228C9" w:rsidP="007228C9">
            <w:pPr>
              <w:spacing w:beforeLines="40" w:before="96" w:afterLines="40" w:after="96"/>
              <w:rPr>
                <w:sz w:val="22"/>
                <w:szCs w:val="22"/>
              </w:rPr>
            </w:pPr>
            <w:r w:rsidRPr="007228C9">
              <w:rPr>
                <w:sz w:val="22"/>
                <w:szCs w:val="22"/>
              </w:rPr>
              <w:t>Is the shelf-life of media and kits controlled?</w:t>
            </w:r>
          </w:p>
        </w:tc>
        <w:tc>
          <w:tcPr>
            <w:tcW w:w="2340" w:type="dxa"/>
            <w:vAlign w:val="center"/>
          </w:tcPr>
          <w:p w14:paraId="40735722"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6655E481" w14:textId="77777777" w:rsidTr="006107D1">
        <w:tc>
          <w:tcPr>
            <w:tcW w:w="1800" w:type="dxa"/>
            <w:vAlign w:val="center"/>
          </w:tcPr>
          <w:p w14:paraId="4391D685" w14:textId="77777777" w:rsidR="007228C9" w:rsidRPr="007228C9" w:rsidRDefault="007228C9" w:rsidP="006107D1">
            <w:pPr>
              <w:spacing w:beforeLines="40" w:before="96" w:afterLines="40" w:after="96"/>
              <w:rPr>
                <w:b/>
                <w:sz w:val="22"/>
                <w:szCs w:val="22"/>
              </w:rPr>
            </w:pPr>
            <w:r w:rsidRPr="007228C9">
              <w:rPr>
                <w:b/>
                <w:sz w:val="22"/>
                <w:szCs w:val="22"/>
              </w:rPr>
              <w:t>Confirmation</w:t>
            </w:r>
          </w:p>
        </w:tc>
        <w:tc>
          <w:tcPr>
            <w:tcW w:w="5040" w:type="dxa"/>
          </w:tcPr>
          <w:p w14:paraId="4CDF784B" w14:textId="77777777" w:rsidR="007228C9" w:rsidRPr="00192D3D" w:rsidRDefault="00AC4C73" w:rsidP="006107D1">
            <w:pPr>
              <w:spacing w:beforeLines="40" w:before="96" w:afterLines="40" w:after="96"/>
              <w:rPr>
                <w:sz w:val="22"/>
                <w:szCs w:val="22"/>
              </w:rPr>
            </w:pPr>
            <w:r w:rsidRPr="00192D3D">
              <w:rPr>
                <w:sz w:val="22"/>
                <w:szCs w:val="22"/>
              </w:rPr>
              <w:t>Is confirmation carried out using an approved method at a department approved laboratory?</w:t>
            </w:r>
          </w:p>
        </w:tc>
        <w:tc>
          <w:tcPr>
            <w:tcW w:w="2340" w:type="dxa"/>
            <w:vAlign w:val="center"/>
          </w:tcPr>
          <w:p w14:paraId="3416B621"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r w:rsidR="00071DAF" w:rsidRPr="007228C9" w14:paraId="6B70C593" w14:textId="77777777" w:rsidTr="006107D1">
        <w:tc>
          <w:tcPr>
            <w:tcW w:w="1800" w:type="dxa"/>
            <w:vAlign w:val="center"/>
          </w:tcPr>
          <w:p w14:paraId="082C24E0" w14:textId="77777777" w:rsidR="00071DAF" w:rsidRPr="007228C9" w:rsidRDefault="00071DAF" w:rsidP="006107D1">
            <w:pPr>
              <w:spacing w:beforeLines="40" w:before="96" w:afterLines="40" w:after="96"/>
              <w:rPr>
                <w:b/>
                <w:sz w:val="22"/>
                <w:szCs w:val="22"/>
              </w:rPr>
            </w:pPr>
          </w:p>
        </w:tc>
        <w:tc>
          <w:tcPr>
            <w:tcW w:w="5040" w:type="dxa"/>
          </w:tcPr>
          <w:p w14:paraId="208F4A18" w14:textId="0BA08656" w:rsidR="00071DAF" w:rsidRPr="00192D3D" w:rsidRDefault="00071DAF" w:rsidP="006107D1">
            <w:pPr>
              <w:spacing w:beforeLines="40" w:before="96" w:afterLines="40" w:after="96"/>
              <w:rPr>
                <w:sz w:val="22"/>
                <w:szCs w:val="22"/>
              </w:rPr>
            </w:pPr>
            <w:r w:rsidRPr="00192D3D">
              <w:rPr>
                <w:sz w:val="22"/>
                <w:szCs w:val="22"/>
              </w:rPr>
              <w:t>Is screen positive sample (</w:t>
            </w:r>
            <w:r w:rsidR="009E558A" w:rsidRPr="00192D3D">
              <w:rPr>
                <w:rFonts w:cs="TimesNewRoman"/>
              </w:rPr>
              <w:t>AOAC 071301)</w:t>
            </w:r>
            <w:r w:rsidRPr="00192D3D">
              <w:rPr>
                <w:sz w:val="22"/>
                <w:szCs w:val="22"/>
              </w:rPr>
              <w:t xml:space="preserve"> confirmed for </w:t>
            </w:r>
            <w:r w:rsidRPr="00192D3D">
              <w:rPr>
                <w:i/>
                <w:sz w:val="22"/>
                <w:szCs w:val="22"/>
              </w:rPr>
              <w:t>E. coli</w:t>
            </w:r>
            <w:r w:rsidRPr="00192D3D">
              <w:rPr>
                <w:sz w:val="22"/>
                <w:szCs w:val="22"/>
              </w:rPr>
              <w:t xml:space="preserve"> O157 by</w:t>
            </w:r>
            <w:r w:rsidR="00305B01">
              <w:rPr>
                <w:sz w:val="22"/>
                <w:szCs w:val="22"/>
              </w:rPr>
              <w:t xml:space="preserve"> a DAFF approved confirmatory method</w:t>
            </w:r>
            <w:r w:rsidRPr="00192D3D">
              <w:rPr>
                <w:sz w:val="22"/>
                <w:szCs w:val="22"/>
              </w:rPr>
              <w:t>?</w:t>
            </w:r>
          </w:p>
        </w:tc>
        <w:tc>
          <w:tcPr>
            <w:tcW w:w="2340" w:type="dxa"/>
            <w:vAlign w:val="center"/>
          </w:tcPr>
          <w:p w14:paraId="341A2E58" w14:textId="77777777" w:rsidR="00071DAF" w:rsidRPr="007228C9" w:rsidRDefault="009E558A" w:rsidP="006107D1">
            <w:pPr>
              <w:tabs>
                <w:tab w:val="left" w:pos="1962"/>
              </w:tabs>
              <w:spacing w:beforeLines="40" w:before="96" w:afterLines="40" w:after="96"/>
              <w:ind w:left="72"/>
              <w:rPr>
                <w:sz w:val="22"/>
                <w:szCs w:val="22"/>
                <w:u w:val="single"/>
              </w:rPr>
            </w:pPr>
            <w:r w:rsidRPr="007228C9">
              <w:rPr>
                <w:sz w:val="22"/>
                <w:szCs w:val="22"/>
                <w:u w:val="single"/>
              </w:rPr>
              <w:tab/>
            </w:r>
          </w:p>
        </w:tc>
      </w:tr>
      <w:tr w:rsidR="007228C9" w:rsidRPr="007228C9" w14:paraId="6A9460FF" w14:textId="77777777" w:rsidTr="006107D1">
        <w:tc>
          <w:tcPr>
            <w:tcW w:w="1800" w:type="dxa"/>
            <w:tcBorders>
              <w:bottom w:val="single" w:sz="4" w:space="0" w:color="auto"/>
            </w:tcBorders>
            <w:vAlign w:val="center"/>
          </w:tcPr>
          <w:p w14:paraId="60588FE9" w14:textId="77777777" w:rsidR="007228C9" w:rsidRPr="007228C9" w:rsidRDefault="007228C9" w:rsidP="006107D1">
            <w:pPr>
              <w:spacing w:beforeLines="40" w:before="96" w:afterLines="40" w:after="96"/>
              <w:rPr>
                <w:b/>
                <w:sz w:val="22"/>
                <w:szCs w:val="22"/>
              </w:rPr>
            </w:pPr>
          </w:p>
        </w:tc>
        <w:tc>
          <w:tcPr>
            <w:tcW w:w="5040" w:type="dxa"/>
            <w:tcBorders>
              <w:bottom w:val="single" w:sz="4" w:space="0" w:color="auto"/>
            </w:tcBorders>
          </w:tcPr>
          <w:p w14:paraId="4095D30F" w14:textId="77777777" w:rsidR="007228C9" w:rsidRPr="007228C9" w:rsidRDefault="00AC4C73" w:rsidP="007228C9">
            <w:pPr>
              <w:spacing w:beforeLines="40" w:before="96" w:afterLines="40" w:after="96"/>
              <w:rPr>
                <w:sz w:val="22"/>
                <w:szCs w:val="22"/>
              </w:rPr>
            </w:pPr>
            <w:r w:rsidRPr="007228C9">
              <w:rPr>
                <w:sz w:val="22"/>
                <w:szCs w:val="22"/>
              </w:rPr>
              <w:t>Is confirmation carried out from the enrichment culture using IMS?</w:t>
            </w:r>
          </w:p>
        </w:tc>
        <w:tc>
          <w:tcPr>
            <w:tcW w:w="2340" w:type="dxa"/>
            <w:tcBorders>
              <w:bottom w:val="single" w:sz="4" w:space="0" w:color="auto"/>
            </w:tcBorders>
            <w:vAlign w:val="center"/>
          </w:tcPr>
          <w:p w14:paraId="4ECEB220" w14:textId="77777777" w:rsidR="007228C9" w:rsidRPr="007228C9" w:rsidRDefault="007228C9" w:rsidP="006107D1">
            <w:pPr>
              <w:tabs>
                <w:tab w:val="left" w:pos="1962"/>
              </w:tabs>
              <w:spacing w:beforeLines="40" w:before="96" w:afterLines="40" w:after="96"/>
              <w:ind w:left="72"/>
              <w:rPr>
                <w:sz w:val="22"/>
                <w:szCs w:val="22"/>
                <w:u w:val="single"/>
              </w:rPr>
            </w:pPr>
            <w:r w:rsidRPr="007228C9">
              <w:rPr>
                <w:sz w:val="22"/>
                <w:szCs w:val="22"/>
                <w:u w:val="single"/>
              </w:rPr>
              <w:tab/>
            </w:r>
          </w:p>
        </w:tc>
      </w:tr>
    </w:tbl>
    <w:p w14:paraId="5959FBA4" w14:textId="77777777" w:rsidR="007228C9" w:rsidRDefault="007228C9" w:rsidP="007228C9">
      <w:pPr>
        <w:ind w:left="0"/>
      </w:pPr>
    </w:p>
    <w:sectPr w:rsidR="007228C9" w:rsidSect="006107D1">
      <w:headerReference w:type="even" r:id="rId16"/>
      <w:headerReference w:type="default" r:id="rId17"/>
      <w:footerReference w:type="even" r:id="rId18"/>
      <w:footerReference w:type="default" r:id="rId19"/>
      <w:headerReference w:type="first" r:id="rId20"/>
      <w:footerReference w:type="first" r:id="rId21"/>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87A2D" w14:textId="77777777" w:rsidR="00527985" w:rsidRDefault="00527985" w:rsidP="00E0322F">
      <w:pPr>
        <w:spacing w:before="0" w:after="0"/>
      </w:pPr>
      <w:r>
        <w:separator/>
      </w:r>
    </w:p>
  </w:endnote>
  <w:endnote w:type="continuationSeparator" w:id="0">
    <w:p w14:paraId="5C774887" w14:textId="77777777" w:rsidR="00527985" w:rsidRDefault="00527985" w:rsidP="00E03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8A57" w14:textId="495109F2" w:rsidR="009858B1" w:rsidRDefault="009858B1">
    <w:pPr>
      <w:pStyle w:val="Footer"/>
    </w:pPr>
    <w:r>
      <w:rPr>
        <w:noProof/>
      </w:rPr>
      <mc:AlternateContent>
        <mc:Choice Requires="wps">
          <w:drawing>
            <wp:anchor distT="0" distB="0" distL="0" distR="0" simplePos="0" relativeHeight="251665408" behindDoc="0" locked="0" layoutInCell="1" allowOverlap="1" wp14:anchorId="44F7758F" wp14:editId="01C8438B">
              <wp:simplePos x="635" y="635"/>
              <wp:positionH relativeFrom="page">
                <wp:align>center</wp:align>
              </wp:positionH>
              <wp:positionV relativeFrom="page">
                <wp:align>bottom</wp:align>
              </wp:positionV>
              <wp:extent cx="624205" cy="452755"/>
              <wp:effectExtent l="0" t="0" r="4445" b="0"/>
              <wp:wrapNone/>
              <wp:docPr id="152643398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210E9444" w14:textId="475ABEE2"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7758F" id="_x0000_t202" coordsize="21600,21600" o:spt="202" path="m,l,21600r21600,l21600,xe">
              <v:stroke joinstyle="miter"/>
              <v:path gradientshapeok="t" o:connecttype="rect"/>
            </v:shapetype>
            <v:shape id="Text Box 8" o:spid="_x0000_s1027" type="#_x0000_t202" alt="OFFICIAL" style="position:absolute;left:0;text-align:left;margin-left:0;margin-top:0;width:49.15pt;height:35.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" filled="f" stroked="f">
              <v:fill o:detectmouseclick="t"/>
              <v:textbox style="mso-fit-shape-to-text:t" inset="0,0,0,15pt">
                <w:txbxContent>
                  <w:p w14:paraId="210E9444" w14:textId="475ABEE2"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C5C5" w14:textId="7A309B39" w:rsidR="00AC4C73" w:rsidRPr="00930065" w:rsidRDefault="00AC4C73" w:rsidP="00767922">
    <w:pPr>
      <w:pStyle w:val="Footer"/>
      <w:tabs>
        <w:tab w:val="clear" w:pos="4513"/>
        <w:tab w:val="center" w:pos="8647"/>
      </w:tabs>
      <w:rPr>
        <w:color w:val="505050"/>
      </w:rPr>
    </w:pPr>
    <w:r w:rsidRPr="00930065">
      <w:rPr>
        <w:color w:val="505050"/>
      </w:rPr>
      <w:t>I</w:t>
    </w:r>
    <w:r w:rsidR="0032541C" w:rsidRPr="00930065">
      <w:rPr>
        <w:color w:val="505050"/>
      </w:rPr>
      <w:t>ssue 20</w:t>
    </w:r>
    <w:r w:rsidR="00305B01" w:rsidRPr="00930065">
      <w:rPr>
        <w:color w:val="505050"/>
      </w:rPr>
      <w:t>25</w:t>
    </w:r>
    <w:r w:rsidR="00003E92" w:rsidRPr="00930065">
      <w:rPr>
        <w:color w:val="505050"/>
      </w:rPr>
      <w:t xml:space="preserve"> 0</w:t>
    </w:r>
    <w:r w:rsidR="00305B01" w:rsidRPr="00930065">
      <w:rPr>
        <w:color w:val="505050"/>
      </w:rPr>
      <w:t>5</w:t>
    </w:r>
    <w:r w:rsidR="009858B1" w:rsidRPr="00930065">
      <w:rPr>
        <w:color w:val="505050"/>
      </w:rPr>
      <w:t xml:space="preserve"> </w:t>
    </w:r>
    <w:r w:rsidR="00305B01" w:rsidRPr="00930065">
      <w:rPr>
        <w:color w:val="505050"/>
      </w:rPr>
      <w:t>01</w:t>
    </w:r>
    <w:r w:rsidRPr="00930065">
      <w:rPr>
        <w:color w:val="505050"/>
      </w:rPr>
      <w:t xml:space="preserve"> | Approved Methods Manual</w:t>
    </w:r>
  </w:p>
  <w:p w14:paraId="4015C912" w14:textId="77777777" w:rsidR="00AC4C73" w:rsidRPr="00930065" w:rsidRDefault="00AC4C73" w:rsidP="00670835">
    <w:pPr>
      <w:pStyle w:val="Footer"/>
      <w:tabs>
        <w:tab w:val="clear" w:pos="4513"/>
        <w:tab w:val="clear" w:pos="9026"/>
        <w:tab w:val="center" w:pos="8505"/>
        <w:tab w:val="right" w:pos="8789"/>
      </w:tabs>
      <w:ind w:right="-2"/>
      <w:rPr>
        <w:color w:val="505050"/>
      </w:rPr>
    </w:pPr>
    <w:r w:rsidRPr="00930065">
      <w:rPr>
        <w:color w:val="505050"/>
      </w:rPr>
      <w:t xml:space="preserve">Export Standards Branch | Exports </w:t>
    </w:r>
    <w:r w:rsidR="00305B01" w:rsidRPr="00930065">
      <w:rPr>
        <w:color w:val="505050"/>
      </w:rPr>
      <w:t xml:space="preserve">and Veterinary Services </w:t>
    </w:r>
    <w:r w:rsidRPr="00930065">
      <w:rPr>
        <w:color w:val="505050"/>
      </w:rPr>
      <w:t>Division</w:t>
    </w:r>
    <w:r w:rsidRPr="00930065">
      <w:rPr>
        <w:color w:val="505050"/>
      </w:rPr>
      <w:tab/>
      <w:t xml:space="preserve">Page </w:t>
    </w:r>
    <w:r w:rsidRPr="00930065">
      <w:rPr>
        <w:color w:val="505050"/>
      </w:rPr>
      <w:fldChar w:fldCharType="begin"/>
    </w:r>
    <w:r w:rsidRPr="00930065">
      <w:rPr>
        <w:color w:val="505050"/>
      </w:rPr>
      <w:instrText xml:space="preserve"> PAGE </w:instrText>
    </w:r>
    <w:r w:rsidRPr="00930065">
      <w:rPr>
        <w:color w:val="505050"/>
      </w:rPr>
      <w:fldChar w:fldCharType="separate"/>
    </w:r>
    <w:r w:rsidR="00BD0F66" w:rsidRPr="00930065">
      <w:rPr>
        <w:noProof/>
        <w:color w:val="505050"/>
      </w:rPr>
      <w:t>1</w:t>
    </w:r>
    <w:r w:rsidRPr="00930065">
      <w:rPr>
        <w:color w:val="505050"/>
      </w:rPr>
      <w:fldChar w:fldCharType="end"/>
    </w:r>
    <w:r w:rsidRPr="00930065">
      <w:rPr>
        <w:color w:val="505050"/>
      </w:rPr>
      <w:t xml:space="preserve"> of </w:t>
    </w:r>
    <w:r w:rsidRPr="00930065">
      <w:rPr>
        <w:color w:val="505050"/>
      </w:rPr>
      <w:fldChar w:fldCharType="begin"/>
    </w:r>
    <w:r w:rsidRPr="00930065">
      <w:rPr>
        <w:color w:val="505050"/>
      </w:rPr>
      <w:instrText xml:space="preserve"> NUMPAGES  </w:instrText>
    </w:r>
    <w:r w:rsidRPr="00930065">
      <w:rPr>
        <w:color w:val="505050"/>
      </w:rPr>
      <w:fldChar w:fldCharType="separate"/>
    </w:r>
    <w:r w:rsidR="00BD0F66" w:rsidRPr="00930065">
      <w:rPr>
        <w:noProof/>
        <w:color w:val="505050"/>
      </w:rPr>
      <w:t>2</w:t>
    </w:r>
    <w:r w:rsidRPr="00930065">
      <w:rPr>
        <w:color w:val="505050"/>
      </w:rPr>
      <w:fldChar w:fldCharType="end"/>
    </w:r>
  </w:p>
  <w:p w14:paraId="1ECF7B5A" w14:textId="774E525C" w:rsidR="00AC4C73" w:rsidRPr="00930065" w:rsidRDefault="00AC4C73" w:rsidP="00670835">
    <w:pPr>
      <w:pStyle w:val="Footer"/>
      <w:tabs>
        <w:tab w:val="clear" w:pos="4513"/>
        <w:tab w:val="clear" w:pos="9026"/>
        <w:tab w:val="center" w:pos="8505"/>
        <w:tab w:val="right" w:pos="8789"/>
      </w:tabs>
      <w:ind w:right="-2"/>
      <w:rPr>
        <w:color w:val="505050"/>
      </w:rPr>
    </w:pPr>
    <w:r w:rsidRPr="00930065">
      <w:rPr>
        <w:color w:val="505050"/>
      </w:rPr>
      <w:t>Department of Agriculture</w:t>
    </w:r>
    <w:r w:rsidR="00305B01" w:rsidRPr="00930065">
      <w:rPr>
        <w:color w:val="505050"/>
      </w:rPr>
      <w:t>, 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A2AB" w14:textId="2498DF93" w:rsidR="009858B1" w:rsidRDefault="009858B1">
    <w:pPr>
      <w:pStyle w:val="Footer"/>
    </w:pPr>
    <w:r>
      <w:rPr>
        <w:noProof/>
      </w:rPr>
      <mc:AlternateContent>
        <mc:Choice Requires="wps">
          <w:drawing>
            <wp:anchor distT="0" distB="0" distL="0" distR="0" simplePos="0" relativeHeight="251664384" behindDoc="0" locked="0" layoutInCell="1" allowOverlap="1" wp14:anchorId="17C5BF9B" wp14:editId="72862D27">
              <wp:simplePos x="635" y="635"/>
              <wp:positionH relativeFrom="page">
                <wp:align>center</wp:align>
              </wp:positionH>
              <wp:positionV relativeFrom="page">
                <wp:align>bottom</wp:align>
              </wp:positionV>
              <wp:extent cx="624205" cy="452755"/>
              <wp:effectExtent l="0" t="0" r="4445" b="0"/>
              <wp:wrapNone/>
              <wp:docPr id="202372753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21AFEDA9" w14:textId="753D33F3"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5BF9B" id="_x0000_t202" coordsize="21600,21600" o:spt="202" path="m,l,21600r21600,l21600,xe">
              <v:stroke joinstyle="miter"/>
              <v:path gradientshapeok="t" o:connecttype="rect"/>
            </v:shapetype>
            <v:shape id="Text Box 7" o:spid="_x0000_s1029" type="#_x0000_t202" alt="OFFICIAL" style="position:absolute;left:0;text-align:left;margin-left:0;margin-top:0;width:49.15pt;height:35.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" filled="f" stroked="f">
              <v:fill o:detectmouseclick="t"/>
              <v:textbox style="mso-fit-shape-to-text:t" inset="0,0,0,15pt">
                <w:txbxContent>
                  <w:p w14:paraId="21AFEDA9" w14:textId="753D33F3"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7E4F" w14:textId="37B445E6" w:rsidR="009858B1" w:rsidRDefault="009858B1">
    <w:pPr>
      <w:pStyle w:val="Footer"/>
    </w:pPr>
    <w:r>
      <w:rPr>
        <w:noProof/>
      </w:rPr>
      <mc:AlternateContent>
        <mc:Choice Requires="wps">
          <w:drawing>
            <wp:anchor distT="0" distB="0" distL="0" distR="0" simplePos="0" relativeHeight="251668480" behindDoc="0" locked="0" layoutInCell="1" allowOverlap="1" wp14:anchorId="19EA471F" wp14:editId="5B23D6E5">
              <wp:simplePos x="635" y="635"/>
              <wp:positionH relativeFrom="page">
                <wp:align>center</wp:align>
              </wp:positionH>
              <wp:positionV relativeFrom="page">
                <wp:align>bottom</wp:align>
              </wp:positionV>
              <wp:extent cx="624205" cy="452755"/>
              <wp:effectExtent l="0" t="0" r="4445" b="0"/>
              <wp:wrapNone/>
              <wp:docPr id="3132399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195D05C5" w14:textId="20B30BD8"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A471F" id="_x0000_t202" coordsize="21600,21600" o:spt="202" path="m,l,21600r21600,l21600,xe">
              <v:stroke joinstyle="miter"/>
              <v:path gradientshapeok="t" o:connecttype="rect"/>
            </v:shapetype>
            <v:shape id="Text Box 11" o:spid="_x0000_s1031" type="#_x0000_t202" alt="OFFICIAL" style="position:absolute;left:0;text-align:left;margin-left:0;margin-top:0;width:49.15pt;height:35.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" filled="f" stroked="f">
              <v:fill o:detectmouseclick="t"/>
              <v:textbox style="mso-fit-shape-to-text:t" inset="0,0,0,15pt">
                <w:txbxContent>
                  <w:p w14:paraId="195D05C5" w14:textId="20B30BD8"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964D5" w14:textId="77777777" w:rsidR="004F12B0" w:rsidRPr="00930065" w:rsidRDefault="004F12B0" w:rsidP="004F12B0">
    <w:pPr>
      <w:pStyle w:val="Footer"/>
      <w:tabs>
        <w:tab w:val="clear" w:pos="4513"/>
        <w:tab w:val="center" w:pos="8647"/>
      </w:tabs>
      <w:rPr>
        <w:color w:val="505050"/>
      </w:rPr>
    </w:pPr>
    <w:r w:rsidRPr="00930065">
      <w:rPr>
        <w:color w:val="505050"/>
      </w:rPr>
      <w:t>Issue 2025 05 01 | Approved Methods Manual</w:t>
    </w:r>
  </w:p>
  <w:p w14:paraId="0FEE4641" w14:textId="77777777" w:rsidR="004F12B0" w:rsidRPr="00930065" w:rsidRDefault="004F12B0" w:rsidP="004F12B0">
    <w:pPr>
      <w:pStyle w:val="Footer"/>
      <w:tabs>
        <w:tab w:val="clear" w:pos="4513"/>
        <w:tab w:val="clear" w:pos="9026"/>
        <w:tab w:val="center" w:pos="8505"/>
        <w:tab w:val="right" w:pos="8789"/>
      </w:tabs>
      <w:ind w:right="-2"/>
      <w:rPr>
        <w:color w:val="505050"/>
      </w:rPr>
    </w:pPr>
    <w:r w:rsidRPr="00930065">
      <w:rPr>
        <w:color w:val="505050"/>
      </w:rPr>
      <w:t>Export Standards Branch | Exports and Veterinary Services Division</w:t>
    </w:r>
    <w:r w:rsidRPr="00930065">
      <w:rPr>
        <w:color w:val="505050"/>
      </w:rPr>
      <w:tab/>
      <w:t xml:space="preserve">Page </w:t>
    </w:r>
    <w:r w:rsidRPr="00930065">
      <w:rPr>
        <w:color w:val="505050"/>
      </w:rPr>
      <w:fldChar w:fldCharType="begin"/>
    </w:r>
    <w:r w:rsidRPr="00930065">
      <w:rPr>
        <w:color w:val="505050"/>
      </w:rPr>
      <w:instrText xml:space="preserve"> PAGE </w:instrText>
    </w:r>
    <w:r w:rsidRPr="00930065">
      <w:rPr>
        <w:color w:val="505050"/>
      </w:rPr>
      <w:fldChar w:fldCharType="separate"/>
    </w:r>
    <w:r w:rsidRPr="00930065">
      <w:rPr>
        <w:color w:val="505050"/>
      </w:rPr>
      <w:t>1</w:t>
    </w:r>
    <w:r w:rsidRPr="00930065">
      <w:rPr>
        <w:color w:val="505050"/>
      </w:rPr>
      <w:fldChar w:fldCharType="end"/>
    </w:r>
    <w:r w:rsidRPr="00930065">
      <w:rPr>
        <w:color w:val="505050"/>
      </w:rPr>
      <w:t xml:space="preserve"> of </w:t>
    </w:r>
    <w:r w:rsidRPr="00930065">
      <w:rPr>
        <w:color w:val="505050"/>
      </w:rPr>
      <w:fldChar w:fldCharType="begin"/>
    </w:r>
    <w:r w:rsidRPr="00930065">
      <w:rPr>
        <w:color w:val="505050"/>
      </w:rPr>
      <w:instrText xml:space="preserve"> NUMPAGES  </w:instrText>
    </w:r>
    <w:r w:rsidRPr="00930065">
      <w:rPr>
        <w:color w:val="505050"/>
      </w:rPr>
      <w:fldChar w:fldCharType="separate"/>
    </w:r>
    <w:r w:rsidRPr="00930065">
      <w:rPr>
        <w:color w:val="505050"/>
      </w:rPr>
      <w:t>2</w:t>
    </w:r>
    <w:r w:rsidRPr="00930065">
      <w:rPr>
        <w:color w:val="505050"/>
      </w:rPr>
      <w:fldChar w:fldCharType="end"/>
    </w:r>
  </w:p>
  <w:p w14:paraId="4309DD4A" w14:textId="77777777" w:rsidR="004F12B0" w:rsidRPr="00930065" w:rsidRDefault="004F12B0" w:rsidP="004F12B0">
    <w:pPr>
      <w:pStyle w:val="Footer"/>
      <w:tabs>
        <w:tab w:val="clear" w:pos="4513"/>
        <w:tab w:val="clear" w:pos="9026"/>
        <w:tab w:val="center" w:pos="8505"/>
        <w:tab w:val="right" w:pos="8789"/>
      </w:tabs>
      <w:ind w:right="-2"/>
      <w:rPr>
        <w:color w:val="505050"/>
      </w:rPr>
    </w:pPr>
    <w:r w:rsidRPr="00930065">
      <w:rPr>
        <w:color w:val="505050"/>
      </w:rPr>
      <w:t>Department of Agriculture, Fisheries and Forestry</w:t>
    </w:r>
  </w:p>
  <w:p w14:paraId="2DF238B2" w14:textId="4AA6856F" w:rsidR="009858B1" w:rsidRDefault="009858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AACB" w14:textId="15D2482A" w:rsidR="009858B1" w:rsidRDefault="009858B1">
    <w:pPr>
      <w:pStyle w:val="Footer"/>
    </w:pPr>
    <w:r>
      <w:rPr>
        <w:noProof/>
      </w:rPr>
      <mc:AlternateContent>
        <mc:Choice Requires="wps">
          <w:drawing>
            <wp:anchor distT="0" distB="0" distL="0" distR="0" simplePos="0" relativeHeight="251667456" behindDoc="0" locked="0" layoutInCell="1" allowOverlap="1" wp14:anchorId="3F273AF7" wp14:editId="1153CAE1">
              <wp:simplePos x="635" y="635"/>
              <wp:positionH relativeFrom="page">
                <wp:align>center</wp:align>
              </wp:positionH>
              <wp:positionV relativeFrom="page">
                <wp:align>bottom</wp:align>
              </wp:positionV>
              <wp:extent cx="624205" cy="452755"/>
              <wp:effectExtent l="0" t="0" r="4445" b="0"/>
              <wp:wrapNone/>
              <wp:docPr id="52906113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5FA47404" w14:textId="4303B7D0"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273AF7" id="_x0000_t202" coordsize="21600,21600" o:spt="202" path="m,l,21600r21600,l21600,xe">
              <v:stroke joinstyle="miter"/>
              <v:path gradientshapeok="t" o:connecttype="rect"/>
            </v:shapetype>
            <v:shape id="Text Box 10" o:spid="_x0000_s1033" type="#_x0000_t202" alt="OFFICIAL" style="position:absolute;left:0;text-align:left;margin-left:0;margin-top:0;width:49.15pt;height:35.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" filled="f" stroked="f">
              <v:fill o:detectmouseclick="t"/>
              <v:textbox style="mso-fit-shape-to-text:t" inset="0,0,0,15pt">
                <w:txbxContent>
                  <w:p w14:paraId="5FA47404" w14:textId="4303B7D0"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98DBB" w14:textId="77777777" w:rsidR="00527985" w:rsidRDefault="00527985" w:rsidP="00E0322F">
      <w:pPr>
        <w:spacing w:before="0" w:after="0"/>
      </w:pPr>
      <w:r>
        <w:separator/>
      </w:r>
    </w:p>
  </w:footnote>
  <w:footnote w:type="continuationSeparator" w:id="0">
    <w:p w14:paraId="11D7EB0E" w14:textId="77777777" w:rsidR="00527985" w:rsidRDefault="00527985" w:rsidP="00E03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60659" w14:textId="4D1C98CF" w:rsidR="009858B1" w:rsidRDefault="009858B1">
    <w:pPr>
      <w:pStyle w:val="Header"/>
    </w:pPr>
    <w:r>
      <w:rPr>
        <w:noProof/>
      </w:rPr>
      <mc:AlternateContent>
        <mc:Choice Requires="wps">
          <w:drawing>
            <wp:anchor distT="0" distB="0" distL="0" distR="0" simplePos="0" relativeHeight="251659264" behindDoc="0" locked="0" layoutInCell="1" allowOverlap="1" wp14:anchorId="5D1F1B15" wp14:editId="0693D60E">
              <wp:simplePos x="635" y="635"/>
              <wp:positionH relativeFrom="page">
                <wp:align>center</wp:align>
              </wp:positionH>
              <wp:positionV relativeFrom="page">
                <wp:align>top</wp:align>
              </wp:positionV>
              <wp:extent cx="624205" cy="452755"/>
              <wp:effectExtent l="0" t="0" r="4445" b="4445"/>
              <wp:wrapNone/>
              <wp:docPr id="15572902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191F69BF" w14:textId="652891C9"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1F1B15" id="_x0000_t202" coordsize="21600,21600" o:spt="202" path="m,l,21600r21600,l21600,xe">
              <v:stroke joinstyle="miter"/>
              <v:path gradientshapeok="t" o:connecttype="rect"/>
            </v:shapetype>
            <v:shape id="Text Box 2" o:spid="_x0000_s1026" type="#_x0000_t202" alt="OFFICIAL" style="position:absolute;left:0;text-align:left;margin-left:0;margin-top:0;width:49.1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" filled="f" stroked="f">
              <v:fill o:detectmouseclick="t"/>
              <v:textbox style="mso-fit-shape-to-text:t" inset="0,15pt,0,0">
                <w:txbxContent>
                  <w:p w14:paraId="191F69BF" w14:textId="652891C9"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8B59" w14:textId="46F00AEA" w:rsidR="00AC4C73" w:rsidRDefault="009858B1" w:rsidP="007228C9">
    <w:pPr>
      <w:pStyle w:val="Header"/>
      <w:spacing w:after="600"/>
      <w:jc w:val="left"/>
    </w:pPr>
    <w:r w:rsidRPr="00CF4CBF">
      <w:rPr>
        <w:noProof/>
      </w:rPr>
      <w:drawing>
        <wp:inline distT="0" distB="0" distL="0" distR="0" wp14:anchorId="1DCBB10E" wp14:editId="01DF9A57">
          <wp:extent cx="4048125" cy="561975"/>
          <wp:effectExtent l="0" t="0" r="0" b="0"/>
          <wp:docPr id="2116590871" name="Picture 1" descr="Department of Agriculture, Fisheries and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Fisheries and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561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B562" w14:textId="391D5B3A" w:rsidR="009858B1" w:rsidRDefault="009858B1">
    <w:pPr>
      <w:pStyle w:val="Header"/>
    </w:pPr>
    <w:r>
      <w:rPr>
        <w:noProof/>
      </w:rPr>
      <mc:AlternateContent>
        <mc:Choice Requires="wps">
          <w:drawing>
            <wp:anchor distT="0" distB="0" distL="0" distR="0" simplePos="0" relativeHeight="251658240" behindDoc="0" locked="0" layoutInCell="1" allowOverlap="1" wp14:anchorId="3641829C" wp14:editId="349A757E">
              <wp:simplePos x="635" y="635"/>
              <wp:positionH relativeFrom="page">
                <wp:align>center</wp:align>
              </wp:positionH>
              <wp:positionV relativeFrom="page">
                <wp:align>top</wp:align>
              </wp:positionV>
              <wp:extent cx="624205" cy="452755"/>
              <wp:effectExtent l="0" t="0" r="4445" b="4445"/>
              <wp:wrapNone/>
              <wp:docPr id="16797385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6B08D617" w14:textId="4D0A112A"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41829C" id="_x0000_t202" coordsize="21600,21600" o:spt="202" path="m,l,21600r21600,l21600,xe">
              <v:stroke joinstyle="miter"/>
              <v:path gradientshapeok="t" o:connecttype="rect"/>
            </v:shapetype>
            <v:shape id="Text Box 1" o:spid="_x0000_s1028" type="#_x0000_t202" alt="OFFICIAL" style="position:absolute;left:0;text-align:left;margin-left:0;margin-top:0;width:49.1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" filled="f" stroked="f">
              <v:fill o:detectmouseclick="t"/>
              <v:textbox style="mso-fit-shape-to-text:t" inset="0,15pt,0,0">
                <w:txbxContent>
                  <w:p w14:paraId="6B08D617" w14:textId="4D0A112A"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55D1" w14:textId="54F886BB" w:rsidR="009858B1" w:rsidRDefault="009858B1">
    <w:pPr>
      <w:pStyle w:val="Header"/>
    </w:pPr>
    <w:r>
      <w:rPr>
        <w:noProof/>
      </w:rPr>
      <mc:AlternateContent>
        <mc:Choice Requires="wps">
          <w:drawing>
            <wp:anchor distT="0" distB="0" distL="0" distR="0" simplePos="0" relativeHeight="251662336" behindDoc="0" locked="0" layoutInCell="1" allowOverlap="1" wp14:anchorId="5D559916" wp14:editId="2F87F369">
              <wp:simplePos x="635" y="635"/>
              <wp:positionH relativeFrom="page">
                <wp:align>center</wp:align>
              </wp:positionH>
              <wp:positionV relativeFrom="page">
                <wp:align>top</wp:align>
              </wp:positionV>
              <wp:extent cx="624205" cy="452755"/>
              <wp:effectExtent l="0" t="0" r="4445" b="4445"/>
              <wp:wrapNone/>
              <wp:docPr id="43221710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13D0FF17" w14:textId="53D6C023"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559916" id="_x0000_t202" coordsize="21600,21600" o:spt="202" path="m,l,21600r21600,l21600,xe">
              <v:stroke joinstyle="miter"/>
              <v:path gradientshapeok="t" o:connecttype="rect"/>
            </v:shapetype>
            <v:shape id="Text Box 5" o:spid="_x0000_s1030" type="#_x0000_t202" alt="OFFICIAL" style="position:absolute;left:0;text-align:left;margin-left:0;margin-top:0;width:49.15pt;height:35.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" filled="f" stroked="f">
              <v:fill o:detectmouseclick="t"/>
              <v:textbox style="mso-fit-shape-to-text:t" inset="0,15pt,0,0">
                <w:txbxContent>
                  <w:p w14:paraId="13D0FF17" w14:textId="53D6C023"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B32D" w14:textId="35BFCC93" w:rsidR="00AC4C73" w:rsidRPr="00930065" w:rsidRDefault="00AC4C73" w:rsidP="007228C9">
    <w:pPr>
      <w:pStyle w:val="Header"/>
      <w:rPr>
        <w:color w:val="505050"/>
        <w:szCs w:val="18"/>
      </w:rPr>
    </w:pPr>
    <w:r w:rsidRPr="00930065">
      <w:rPr>
        <w:color w:val="505050"/>
        <w:szCs w:val="18"/>
      </w:rPr>
      <w:t>Assurance GDS</w:t>
    </w:r>
    <w:r w:rsidRPr="00930065">
      <w:rPr>
        <w:color w:val="505050"/>
        <w:szCs w:val="18"/>
        <w:vertAlign w:val="superscript"/>
      </w:rPr>
      <w:t xml:space="preserve">® </w:t>
    </w:r>
    <w:r w:rsidRPr="00930065">
      <w:rPr>
        <w:color w:val="505050"/>
        <w:szCs w:val="18"/>
      </w:rPr>
      <w:t xml:space="preserve">MPX </w:t>
    </w:r>
    <w:r w:rsidR="0032541C" w:rsidRPr="00930065">
      <w:rPr>
        <w:color w:val="505050"/>
        <w:szCs w:val="18"/>
      </w:rPr>
      <w:t>ID for Top 6</w:t>
    </w:r>
    <w:r w:rsidRPr="00930065">
      <w:rPr>
        <w:color w:val="505050"/>
        <w:szCs w:val="18"/>
      </w:rPr>
      <w:t xml:space="preserve"> STEC</w:t>
    </w:r>
    <w:r w:rsidR="0032541C" w:rsidRPr="00930065">
      <w:rPr>
        <w:color w:val="505050"/>
        <w:szCs w:val="18"/>
      </w:rPr>
      <w:t xml:space="preserve"> – AOAC 101502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867A" w14:textId="659FABDE" w:rsidR="009858B1" w:rsidRDefault="009858B1">
    <w:pPr>
      <w:pStyle w:val="Header"/>
    </w:pPr>
    <w:r>
      <w:rPr>
        <w:noProof/>
      </w:rPr>
      <mc:AlternateContent>
        <mc:Choice Requires="wps">
          <w:drawing>
            <wp:anchor distT="0" distB="0" distL="0" distR="0" simplePos="0" relativeHeight="251661312" behindDoc="0" locked="0" layoutInCell="1" allowOverlap="1" wp14:anchorId="39914C8C" wp14:editId="6962763B">
              <wp:simplePos x="635" y="635"/>
              <wp:positionH relativeFrom="page">
                <wp:align>center</wp:align>
              </wp:positionH>
              <wp:positionV relativeFrom="page">
                <wp:align>top</wp:align>
              </wp:positionV>
              <wp:extent cx="624205" cy="452755"/>
              <wp:effectExtent l="0" t="0" r="4445" b="4445"/>
              <wp:wrapNone/>
              <wp:docPr id="117226681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52755"/>
                      </a:xfrm>
                      <a:prstGeom prst="rect">
                        <a:avLst/>
                      </a:prstGeom>
                      <a:noFill/>
                      <a:ln>
                        <a:noFill/>
                      </a:ln>
                    </wps:spPr>
                    <wps:txbx>
                      <w:txbxContent>
                        <w:p w14:paraId="0EFF0FCD" w14:textId="6A0DE5EA"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914C8C" id="_x0000_t202" coordsize="21600,21600" o:spt="202" path="m,l,21600r21600,l21600,xe">
              <v:stroke joinstyle="miter"/>
              <v:path gradientshapeok="t" o:connecttype="rect"/>
            </v:shapetype>
            <v:shape id="Text Box 4" o:spid="_x0000_s1032" type="#_x0000_t202" alt="OFFICIAL" style="position:absolute;left:0;text-align:left;margin-left:0;margin-top:0;width:49.1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" filled="f" stroked="f">
              <v:fill o:detectmouseclick="t"/>
              <v:textbox style="mso-fit-shape-to-text:t" inset="0,15pt,0,0">
                <w:txbxContent>
                  <w:p w14:paraId="0EFF0FCD" w14:textId="6A0DE5EA" w:rsidR="009858B1" w:rsidRPr="009858B1" w:rsidRDefault="009858B1" w:rsidP="009858B1">
                    <w:pPr>
                      <w:spacing w:after="0"/>
                      <w:rPr>
                        <w:rFonts w:ascii="Calibri" w:eastAsia="Calibri" w:hAnsi="Calibri" w:cs="Calibri"/>
                        <w:noProof/>
                        <w:color w:val="FF0000"/>
                        <w:sz w:val="24"/>
                        <w:szCs w:val="24"/>
                      </w:rPr>
                    </w:pPr>
                    <w:r w:rsidRPr="009858B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1905944062">
    <w:abstractNumId w:val="0"/>
  </w:num>
  <w:num w:numId="2" w16cid:durableId="2113669062">
    <w:abstractNumId w:val="1"/>
  </w:num>
  <w:num w:numId="3" w16cid:durableId="1422946388">
    <w:abstractNumId w:val="3"/>
  </w:num>
  <w:num w:numId="4" w16cid:durableId="499320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8E"/>
    <w:rsid w:val="00003E92"/>
    <w:rsid w:val="000122A2"/>
    <w:rsid w:val="00013257"/>
    <w:rsid w:val="000222C8"/>
    <w:rsid w:val="000236E5"/>
    <w:rsid w:val="00064BD1"/>
    <w:rsid w:val="00071DAF"/>
    <w:rsid w:val="000763DC"/>
    <w:rsid w:val="000C2F0A"/>
    <w:rsid w:val="000C53C7"/>
    <w:rsid w:val="000E1166"/>
    <w:rsid w:val="000F4FC0"/>
    <w:rsid w:val="00104392"/>
    <w:rsid w:val="00113FFD"/>
    <w:rsid w:val="001414CD"/>
    <w:rsid w:val="00146DC2"/>
    <w:rsid w:val="00187BE5"/>
    <w:rsid w:val="00192D3D"/>
    <w:rsid w:val="001A25B8"/>
    <w:rsid w:val="001B09CB"/>
    <w:rsid w:val="001B1761"/>
    <w:rsid w:val="001D4BD8"/>
    <w:rsid w:val="001E48B7"/>
    <w:rsid w:val="001E6336"/>
    <w:rsid w:val="00202FC9"/>
    <w:rsid w:val="00203BEE"/>
    <w:rsid w:val="002079F4"/>
    <w:rsid w:val="00221386"/>
    <w:rsid w:val="0023008E"/>
    <w:rsid w:val="00234F1B"/>
    <w:rsid w:val="00272AAC"/>
    <w:rsid w:val="00286224"/>
    <w:rsid w:val="002C7146"/>
    <w:rsid w:val="002D0EED"/>
    <w:rsid w:val="002D24D9"/>
    <w:rsid w:val="002E1679"/>
    <w:rsid w:val="003029BE"/>
    <w:rsid w:val="00305B01"/>
    <w:rsid w:val="003104CC"/>
    <w:rsid w:val="0032541C"/>
    <w:rsid w:val="00357D7F"/>
    <w:rsid w:val="00360055"/>
    <w:rsid w:val="00367E78"/>
    <w:rsid w:val="00371076"/>
    <w:rsid w:val="003912D6"/>
    <w:rsid w:val="0039139C"/>
    <w:rsid w:val="003C042A"/>
    <w:rsid w:val="003E2B5D"/>
    <w:rsid w:val="003E49B8"/>
    <w:rsid w:val="003F03AC"/>
    <w:rsid w:val="0042371A"/>
    <w:rsid w:val="00423964"/>
    <w:rsid w:val="00427747"/>
    <w:rsid w:val="00482BDE"/>
    <w:rsid w:val="0049340F"/>
    <w:rsid w:val="004A7DA5"/>
    <w:rsid w:val="004C644E"/>
    <w:rsid w:val="004F12B0"/>
    <w:rsid w:val="005276AA"/>
    <w:rsid w:val="00527985"/>
    <w:rsid w:val="005419FC"/>
    <w:rsid w:val="005443AD"/>
    <w:rsid w:val="00552335"/>
    <w:rsid w:val="00560DF8"/>
    <w:rsid w:val="00570A44"/>
    <w:rsid w:val="00595BF4"/>
    <w:rsid w:val="00597206"/>
    <w:rsid w:val="005A1BA4"/>
    <w:rsid w:val="005C68F4"/>
    <w:rsid w:val="006107D1"/>
    <w:rsid w:val="006170C6"/>
    <w:rsid w:val="0063113D"/>
    <w:rsid w:val="00656A5D"/>
    <w:rsid w:val="00664AF3"/>
    <w:rsid w:val="00667F57"/>
    <w:rsid w:val="00670835"/>
    <w:rsid w:val="006A0E1A"/>
    <w:rsid w:val="006F2776"/>
    <w:rsid w:val="007228C9"/>
    <w:rsid w:val="00740CA0"/>
    <w:rsid w:val="00767922"/>
    <w:rsid w:val="00793DA8"/>
    <w:rsid w:val="007A4E39"/>
    <w:rsid w:val="007B2C7D"/>
    <w:rsid w:val="007C1B2F"/>
    <w:rsid w:val="007C6D25"/>
    <w:rsid w:val="007E4068"/>
    <w:rsid w:val="007E7C98"/>
    <w:rsid w:val="007F69EF"/>
    <w:rsid w:val="00852040"/>
    <w:rsid w:val="008949E4"/>
    <w:rsid w:val="00917ED7"/>
    <w:rsid w:val="009264DB"/>
    <w:rsid w:val="00930065"/>
    <w:rsid w:val="00932FD0"/>
    <w:rsid w:val="0094660E"/>
    <w:rsid w:val="00952047"/>
    <w:rsid w:val="009858B1"/>
    <w:rsid w:val="009B0083"/>
    <w:rsid w:val="009E4708"/>
    <w:rsid w:val="009E558A"/>
    <w:rsid w:val="009E60CA"/>
    <w:rsid w:val="009E6DCC"/>
    <w:rsid w:val="009F2FC4"/>
    <w:rsid w:val="009F3440"/>
    <w:rsid w:val="00A020BB"/>
    <w:rsid w:val="00A061D0"/>
    <w:rsid w:val="00A26CC1"/>
    <w:rsid w:val="00A439F7"/>
    <w:rsid w:val="00A81F44"/>
    <w:rsid w:val="00A83672"/>
    <w:rsid w:val="00A9026C"/>
    <w:rsid w:val="00AA6BE4"/>
    <w:rsid w:val="00AC4C73"/>
    <w:rsid w:val="00AD7EC2"/>
    <w:rsid w:val="00B15B9C"/>
    <w:rsid w:val="00B25EE6"/>
    <w:rsid w:val="00B32BD2"/>
    <w:rsid w:val="00B32EA5"/>
    <w:rsid w:val="00B36EAC"/>
    <w:rsid w:val="00B629CE"/>
    <w:rsid w:val="00B63D41"/>
    <w:rsid w:val="00B647B9"/>
    <w:rsid w:val="00B83009"/>
    <w:rsid w:val="00BA04E6"/>
    <w:rsid w:val="00BD0F66"/>
    <w:rsid w:val="00BD7359"/>
    <w:rsid w:val="00C117CA"/>
    <w:rsid w:val="00C53682"/>
    <w:rsid w:val="00C56A77"/>
    <w:rsid w:val="00C66328"/>
    <w:rsid w:val="00CC2DED"/>
    <w:rsid w:val="00D04B8A"/>
    <w:rsid w:val="00D1679C"/>
    <w:rsid w:val="00D6236B"/>
    <w:rsid w:val="00DB0834"/>
    <w:rsid w:val="00DC5D56"/>
    <w:rsid w:val="00E0322F"/>
    <w:rsid w:val="00E06588"/>
    <w:rsid w:val="00E12B47"/>
    <w:rsid w:val="00E62E76"/>
    <w:rsid w:val="00EC64E9"/>
    <w:rsid w:val="00ED64A6"/>
    <w:rsid w:val="00EF3F21"/>
    <w:rsid w:val="00F01F9E"/>
    <w:rsid w:val="00F47060"/>
    <w:rsid w:val="00F55D31"/>
    <w:rsid w:val="00F66EF1"/>
    <w:rsid w:val="00F75E04"/>
    <w:rsid w:val="00F91501"/>
    <w:rsid w:val="00FA2D1F"/>
    <w:rsid w:val="00FA2F64"/>
    <w:rsid w:val="00FD54DF"/>
    <w:rsid w:val="00FE2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9D09B"/>
  <w15:chartTrackingRefBased/>
  <w15:docId w15:val="{B3EE0846-D68D-46B5-8EB0-3D923934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8C9"/>
    <w:pPr>
      <w:overflowPunct w:val="0"/>
      <w:autoSpaceDE w:val="0"/>
      <w:autoSpaceDN w:val="0"/>
      <w:adjustRightInd w:val="0"/>
      <w:spacing w:before="120" w:after="120"/>
      <w:ind w:left="57" w:right="57"/>
      <w:textAlignment w:val="baseline"/>
    </w:pPr>
    <w:rPr>
      <w:rFonts w:ascii="Cambria" w:hAnsi="Cambria"/>
    </w:rPr>
  </w:style>
  <w:style w:type="paragraph" w:styleId="Heading1">
    <w:name w:val="heading 1"/>
    <w:basedOn w:val="Normal"/>
    <w:next w:val="Normal"/>
    <w:link w:val="Heading1Char"/>
    <w:qFormat/>
    <w:rsid w:val="007228C9"/>
    <w:pPr>
      <w:keepNext/>
      <w:keepLines/>
      <w:spacing w:before="0" w:after="240"/>
      <w:outlineLvl w:val="0"/>
    </w:pPr>
    <w:rPr>
      <w:rFonts w:ascii="Calibri" w:hAnsi="Calibri"/>
      <w:b/>
      <w:bCs/>
      <w:sz w:val="24"/>
      <w:szCs w:val="28"/>
    </w:rPr>
  </w:style>
  <w:style w:type="paragraph" w:styleId="Heading2">
    <w:name w:val="heading 2"/>
    <w:basedOn w:val="Normal"/>
    <w:next w:val="Normal"/>
    <w:link w:val="Heading2Char"/>
    <w:autoRedefine/>
    <w:unhideWhenUsed/>
    <w:qFormat/>
    <w:rsid w:val="0042371A"/>
    <w:pPr>
      <w:keepNext/>
      <w:keepLines/>
      <w:spacing w:before="24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B32EA5"/>
    <w:pPr>
      <w:keepNext/>
      <w:keepLines/>
      <w:numPr>
        <w:numId w:val="1"/>
      </w:numPr>
      <w:spacing w:before="200" w:after="0"/>
      <w:ind w:left="454" w:hanging="4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28C9"/>
    <w:rPr>
      <w:rFonts w:ascii="Calibri" w:hAnsi="Calibri"/>
      <w:b/>
      <w:bCs/>
      <w:sz w:val="24"/>
      <w:szCs w:val="28"/>
    </w:rPr>
  </w:style>
  <w:style w:type="character" w:customStyle="1" w:styleId="Heading2Char">
    <w:name w:val="Heading 2 Char"/>
    <w:link w:val="Heading2"/>
    <w:rsid w:val="0042371A"/>
    <w:rPr>
      <w:rFonts w:ascii="Calibri" w:hAnsi="Calibri"/>
      <w:b/>
      <w:bCs/>
      <w:spacing w:val="30"/>
      <w:sz w:val="24"/>
      <w:szCs w:val="26"/>
    </w:rPr>
  </w:style>
  <w:style w:type="character" w:customStyle="1" w:styleId="Heading3Char">
    <w:name w:val="Heading 3 Char"/>
    <w:link w:val="Heading3"/>
    <w:rsid w:val="00B32EA5"/>
    <w:rPr>
      <w:rFonts w:ascii="Cambria" w:eastAsia="Times New Roman" w:hAnsi="Cambria" w:cs="Times New Roman"/>
      <w:b/>
      <w:bCs/>
      <w:sz w:val="22"/>
    </w:rPr>
  </w:style>
  <w:style w:type="paragraph" w:customStyle="1" w:styleId="Normal-para">
    <w:name w:val="Normal-para"/>
    <w:basedOn w:val="Normal"/>
    <w:qFormat/>
    <w:rsid w:val="00B32EA5"/>
    <w:pPr>
      <w:spacing w:before="0" w:after="140"/>
      <w:ind w:left="454"/>
    </w:pPr>
  </w:style>
  <w:style w:type="paragraph" w:styleId="ListParagraph">
    <w:name w:val="List Paragraph"/>
    <w:basedOn w:val="Normal"/>
    <w:uiPriority w:val="34"/>
    <w:qFormat/>
    <w:rsid w:val="00ED64A6"/>
    <w:pPr>
      <w:numPr>
        <w:numId w:val="2"/>
      </w:numPr>
      <w:spacing w:before="0"/>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before="0" w:after="0"/>
    </w:pPr>
    <w:rPr>
      <w:b/>
    </w:rPr>
  </w:style>
  <w:style w:type="paragraph" w:customStyle="1" w:styleId="TableBody">
    <w:name w:val="Table Body"/>
    <w:basedOn w:val="Normal"/>
    <w:qFormat/>
    <w:rsid w:val="002E1679"/>
    <w:pPr>
      <w:spacing w:before="40"/>
    </w:pPr>
  </w:style>
  <w:style w:type="character" w:styleId="Strong">
    <w:name w:val="Strong"/>
    <w:rsid w:val="006A0E1A"/>
    <w:rPr>
      <w:b/>
      <w:bCs/>
    </w:rPr>
  </w:style>
  <w:style w:type="paragraph" w:styleId="Header">
    <w:name w:val="header"/>
    <w:basedOn w:val="Normal"/>
    <w:link w:val="HeaderChar"/>
    <w:rsid w:val="002D24D9"/>
    <w:pPr>
      <w:tabs>
        <w:tab w:val="center" w:pos="4153"/>
        <w:tab w:val="right" w:pos="8306"/>
      </w:tabs>
      <w:overflowPunct/>
      <w:autoSpaceDE/>
      <w:autoSpaceDN/>
      <w:adjustRightInd/>
      <w:spacing w:before="0" w:after="0"/>
      <w:ind w:left="0" w:right="0"/>
      <w:jc w:val="right"/>
      <w:textAlignment w:val="auto"/>
    </w:pPr>
    <w:rPr>
      <w:color w:val="7F7F7F"/>
      <w:sz w:val="18"/>
      <w:szCs w:val="24"/>
    </w:rPr>
  </w:style>
  <w:style w:type="character" w:customStyle="1" w:styleId="HeaderChar">
    <w:name w:val="Header Char"/>
    <w:link w:val="Header"/>
    <w:rsid w:val="002D24D9"/>
    <w:rPr>
      <w:rFonts w:ascii="Cambria" w:hAnsi="Cambria"/>
      <w:color w:val="7F7F7F"/>
      <w:sz w:val="18"/>
      <w:szCs w:val="24"/>
    </w:rPr>
  </w:style>
  <w:style w:type="paragraph" w:styleId="FootnoteText">
    <w:name w:val="footnote text"/>
    <w:basedOn w:val="Normal"/>
    <w:link w:val="FootnoteTextChar"/>
    <w:rsid w:val="001B09CB"/>
    <w:pPr>
      <w:spacing w:before="0" w:after="480"/>
    </w:pPr>
    <w:rPr>
      <w:sz w:val="16"/>
    </w:rPr>
  </w:style>
  <w:style w:type="character" w:customStyle="1" w:styleId="FootnoteTextChar">
    <w:name w:val="Footnote Text Char"/>
    <w:link w:val="FootnoteText"/>
    <w:rsid w:val="001B09CB"/>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before="0"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paragraph" w:styleId="BalloonText">
    <w:name w:val="Balloon Text"/>
    <w:basedOn w:val="Normal"/>
    <w:link w:val="BalloonTextChar"/>
    <w:rsid w:val="00113FFD"/>
    <w:pPr>
      <w:spacing w:before="0" w:after="0"/>
    </w:pPr>
    <w:rPr>
      <w:rFonts w:ascii="Segoe UI" w:hAnsi="Segoe UI" w:cs="Segoe UI"/>
      <w:sz w:val="18"/>
      <w:szCs w:val="18"/>
    </w:rPr>
  </w:style>
  <w:style w:type="character" w:customStyle="1" w:styleId="BalloonTextChar">
    <w:name w:val="Balloon Text Char"/>
    <w:link w:val="BalloonText"/>
    <w:rsid w:val="00113FFD"/>
    <w:rPr>
      <w:rFonts w:ascii="Segoe UI" w:hAnsi="Segoe UI" w:cs="Segoe UI"/>
      <w:sz w:val="18"/>
      <w:szCs w:val="18"/>
    </w:rPr>
  </w:style>
  <w:style w:type="paragraph" w:styleId="Revision">
    <w:name w:val="Revision"/>
    <w:hidden/>
    <w:uiPriority w:val="99"/>
    <w:semiHidden/>
    <w:rsid w:val="00305B01"/>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6E6EF440-B1BE-4857-8C61-37BBC3928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E5433-3999-4D80-AA46-CF836C7FBA19}">
  <ds:schemaRefs>
    <ds:schemaRef ds:uri="http://schemas.microsoft.com/sharepoint/v3/contenttype/forms"/>
  </ds:schemaRefs>
</ds:datastoreItem>
</file>

<file path=customXml/itemProps3.xml><?xml version="1.0" encoding="utf-8"?>
<ds:datastoreItem xmlns:ds="http://schemas.openxmlformats.org/officeDocument/2006/customXml" ds:itemID="{606E104F-B750-4289-8BF1-D0CAB542E269}">
  <ds:schemaRefs>
    <ds:schemaRef ds:uri="http://schemas.openxmlformats.org/package/2006/metadata/core-properties"/>
    <ds:schemaRef ds:uri="http://schemas.microsoft.com/office/2006/metadata/properties"/>
    <ds:schemaRef ds:uri="http://purl.org/dc/terms/"/>
    <ds:schemaRef ds:uri="http://www.w3.org/XML/1998/namespace"/>
    <ds:schemaRef ds:uri="81c01dc6-2c49-4730-b140-874c95cac377"/>
    <ds:schemaRef ds:uri="http://purl.org/dc/dcmitype/"/>
    <ds:schemaRef ds:uri="http://schemas.microsoft.com/office/2006/documentManagement/types"/>
    <ds:schemaRef ds:uri="http://purl.org/dc/elements/1.1/"/>
    <ds:schemaRef ds:uri="http://schemas.microsoft.com/office/infopath/2007/PartnerControls"/>
    <ds:schemaRef ds:uri="c95b51c2-b2ac-4224-a5b5-069909057829"/>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Assurance GDS® MPX ID for Top 6 STEC – AOAC 101502</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GDS® MPX ID for Top 6 STEC – AOAC 101502</dc:title>
  <dc:subject>Approved Method Manual</dc:subject>
  <dc:creator>Department of Agriculture, Fisheries and Forestry</dc:creator>
  <cp:keywords>Microbiological Testing, Meat testing</cp:keywords>
  <dc:description>Testing of meat and meat products for top 6 non-O157 using Assurance GDS® MPX ID for Top 6 STEC</dc:description>
  <cp:revision>8</cp:revision>
  <cp:lastPrinted>2025-06-03T07:16:00Z</cp:lastPrinted>
  <dcterms:created xsi:type="dcterms:W3CDTF">2025-06-03T07:15:00Z</dcterms:created>
  <dcterms:modified xsi:type="dcterms:W3CDTF">2025-06-06T05:27:00Z</dcterms:modified>
  <cp:category>Microbiological method</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641ec69b,5cd25d0d,6872095c,45df5f41,19c31c12,6b62fd36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789fa1b3,5afb88c0,457b20a0,1f88d50b,12aba967,783ac713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2025-06-03T07:15:05Z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a69aabeb-b820-4fff-901e-ffc933025d9d</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0x0101008991DB94C8E2E14F9D69CDF9B52A3286</vt:lpwstr>
  </property>
  <property fmtid="{D5CDD505-2E9C-101B-9397-08002B2CF9AE}" pid="17" name="MediaServiceImageTags">
    <vt:lpwstr/>
  </property>
</Properties>
</file>