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0F0D7" w14:textId="77777777" w:rsidR="00E3548B" w:rsidRDefault="009A5F26" w:rsidP="00E3548B">
      <w:pPr>
        <w:pStyle w:val="Heading1"/>
      </w:pPr>
      <w:r>
        <w:t>GENE-UP</w:t>
      </w:r>
      <w:r w:rsidR="006A0BC0">
        <w:t>®</w:t>
      </w:r>
      <w:r>
        <w:t xml:space="preserve"> EHEC </w:t>
      </w:r>
      <w:r w:rsidR="000D5E39">
        <w:t>Detection Method</w:t>
      </w:r>
      <w:r w:rsidR="008C7F19">
        <w:t xml:space="preserve"> – AOAC </w:t>
      </w:r>
      <w:r w:rsidR="000D5E39">
        <w:t>2020.06</w:t>
      </w:r>
    </w:p>
    <w:p w14:paraId="254460E4" w14:textId="77777777" w:rsidR="00E3548B" w:rsidRDefault="00E3548B" w:rsidP="00FB4446">
      <w:pPr>
        <w:pStyle w:val="Heading2"/>
        <w:tabs>
          <w:tab w:val="center" w:pos="4393"/>
        </w:tabs>
      </w:pPr>
      <w:r>
        <w:t>SCOPE</w:t>
      </w:r>
      <w:r w:rsidR="00FB4446">
        <w:tab/>
      </w:r>
    </w:p>
    <w:p w14:paraId="4B45DD2D" w14:textId="77777777" w:rsidR="009A5F26" w:rsidRPr="00A73789" w:rsidRDefault="009A5F26" w:rsidP="00E3548B">
      <w:pPr>
        <w:pStyle w:val="Heading2"/>
        <w:rPr>
          <w:rFonts w:ascii="Cambria" w:hAnsi="Cambria"/>
          <w:b w:val="0"/>
          <w:bCs w:val="0"/>
          <w:spacing w:val="0"/>
          <w:sz w:val="22"/>
          <w:szCs w:val="20"/>
        </w:rPr>
      </w:pPr>
      <w:r w:rsidRPr="00A73789">
        <w:rPr>
          <w:rFonts w:ascii="Cambria" w:hAnsi="Cambria"/>
          <w:b w:val="0"/>
          <w:bCs w:val="0"/>
          <w:spacing w:val="0"/>
          <w:sz w:val="22"/>
          <w:szCs w:val="20"/>
        </w:rPr>
        <w:t xml:space="preserve">This </w:t>
      </w:r>
      <w:r w:rsidR="00A109D1" w:rsidRPr="00A73789">
        <w:rPr>
          <w:rFonts w:ascii="Cambria" w:hAnsi="Cambria"/>
          <w:b w:val="0"/>
          <w:bCs w:val="0"/>
          <w:spacing w:val="0"/>
          <w:sz w:val="22"/>
          <w:szCs w:val="20"/>
        </w:rPr>
        <w:t xml:space="preserve">method </w:t>
      </w:r>
      <w:r w:rsidRPr="00A73789">
        <w:rPr>
          <w:rFonts w:ascii="Cambria" w:hAnsi="Cambria"/>
          <w:b w:val="0"/>
          <w:bCs w:val="0"/>
          <w:spacing w:val="0"/>
          <w:sz w:val="22"/>
          <w:szCs w:val="20"/>
        </w:rPr>
        <w:t xml:space="preserve">is applicable for testing of </w:t>
      </w:r>
      <w:r w:rsidR="0024200C" w:rsidRPr="00A73789">
        <w:rPr>
          <w:rFonts w:ascii="Cambria" w:hAnsi="Cambria"/>
          <w:b w:val="0"/>
          <w:bCs w:val="0"/>
          <w:spacing w:val="0"/>
          <w:sz w:val="22"/>
          <w:szCs w:val="20"/>
        </w:rPr>
        <w:t>raw ground beef</w:t>
      </w:r>
      <w:r w:rsidR="006667B8" w:rsidRPr="00A73789">
        <w:rPr>
          <w:rFonts w:ascii="Cambria" w:hAnsi="Cambria"/>
          <w:b w:val="0"/>
          <w:bCs w:val="0"/>
          <w:spacing w:val="0"/>
          <w:sz w:val="22"/>
          <w:szCs w:val="20"/>
        </w:rPr>
        <w:t xml:space="preserve"> and </w:t>
      </w:r>
      <w:r w:rsidR="00DA0434" w:rsidRPr="00A73789">
        <w:rPr>
          <w:rFonts w:ascii="Cambria" w:hAnsi="Cambria"/>
          <w:b w:val="0"/>
          <w:bCs w:val="0"/>
          <w:spacing w:val="0"/>
          <w:sz w:val="22"/>
          <w:szCs w:val="20"/>
        </w:rPr>
        <w:t>raw beef trim</w:t>
      </w:r>
      <w:r w:rsidR="00C1335C" w:rsidRPr="00A73789">
        <w:rPr>
          <w:rFonts w:ascii="Cambria" w:hAnsi="Cambria"/>
          <w:b w:val="0"/>
          <w:bCs w:val="0"/>
          <w:spacing w:val="0"/>
          <w:sz w:val="22"/>
          <w:szCs w:val="20"/>
        </w:rPr>
        <w:t xml:space="preserve"> and some selected foo</w:t>
      </w:r>
      <w:r w:rsidR="004D596C" w:rsidRPr="00A73789">
        <w:rPr>
          <w:rFonts w:ascii="Cambria" w:hAnsi="Cambria"/>
          <w:b w:val="0"/>
          <w:bCs w:val="0"/>
          <w:spacing w:val="0"/>
          <w:sz w:val="22"/>
          <w:szCs w:val="20"/>
        </w:rPr>
        <w:t>d</w:t>
      </w:r>
      <w:r w:rsidR="00C1335C" w:rsidRPr="00A73789">
        <w:rPr>
          <w:rFonts w:ascii="Cambria" w:hAnsi="Cambria"/>
          <w:b w:val="0"/>
          <w:bCs w:val="0"/>
          <w:spacing w:val="0"/>
          <w:sz w:val="22"/>
          <w:szCs w:val="20"/>
        </w:rPr>
        <w:t>s</w:t>
      </w:r>
      <w:r w:rsidR="006667B8" w:rsidRPr="00A73789">
        <w:rPr>
          <w:rFonts w:ascii="Cambria" w:hAnsi="Cambria"/>
          <w:b w:val="0"/>
          <w:bCs w:val="0"/>
          <w:spacing w:val="0"/>
          <w:sz w:val="22"/>
          <w:szCs w:val="20"/>
        </w:rPr>
        <w:t xml:space="preserve"> for </w:t>
      </w:r>
      <w:r w:rsidR="006667B8" w:rsidRPr="00A73789">
        <w:rPr>
          <w:rFonts w:ascii="Cambria" w:hAnsi="Cambria"/>
          <w:b w:val="0"/>
          <w:bCs w:val="0"/>
          <w:i/>
          <w:spacing w:val="0"/>
          <w:sz w:val="22"/>
          <w:szCs w:val="20"/>
        </w:rPr>
        <w:t>E. coli</w:t>
      </w:r>
      <w:r w:rsidR="006667B8" w:rsidRPr="00A73789">
        <w:rPr>
          <w:rFonts w:ascii="Cambria" w:hAnsi="Cambria"/>
          <w:b w:val="0"/>
          <w:bCs w:val="0"/>
          <w:spacing w:val="0"/>
          <w:sz w:val="22"/>
          <w:szCs w:val="20"/>
        </w:rPr>
        <w:t xml:space="preserve"> </w:t>
      </w:r>
      <w:r w:rsidR="00A109D1" w:rsidRPr="00A73789">
        <w:rPr>
          <w:rFonts w:ascii="Cambria" w:hAnsi="Cambria"/>
          <w:b w:val="0"/>
          <w:bCs w:val="0"/>
          <w:spacing w:val="0"/>
          <w:sz w:val="22"/>
          <w:szCs w:val="20"/>
        </w:rPr>
        <w:t>(</w:t>
      </w:r>
      <w:r w:rsidR="00AA4A18" w:rsidRPr="00A73789">
        <w:rPr>
          <w:rFonts w:ascii="Cambria" w:hAnsi="Cambria"/>
          <w:b w:val="0"/>
          <w:bCs w:val="0"/>
          <w:iCs/>
          <w:spacing w:val="0"/>
          <w:sz w:val="22"/>
          <w:szCs w:val="20"/>
        </w:rPr>
        <w:t xml:space="preserve">O157, </w:t>
      </w:r>
      <w:r w:rsidR="00A109D1" w:rsidRPr="00A73789">
        <w:rPr>
          <w:rFonts w:ascii="Cambria" w:hAnsi="Cambria"/>
          <w:b w:val="0"/>
          <w:bCs w:val="0"/>
          <w:spacing w:val="0"/>
          <w:sz w:val="22"/>
          <w:szCs w:val="20"/>
        </w:rPr>
        <w:t>O26, O45, O103, O111, O121 and O145)</w:t>
      </w:r>
      <w:r w:rsidR="0024200C" w:rsidRPr="00A73789">
        <w:rPr>
          <w:rFonts w:ascii="Cambria" w:hAnsi="Cambria"/>
          <w:b w:val="0"/>
          <w:bCs w:val="0"/>
          <w:spacing w:val="0"/>
          <w:sz w:val="22"/>
          <w:szCs w:val="20"/>
        </w:rPr>
        <w:t xml:space="preserve">. </w:t>
      </w:r>
      <w:r w:rsidR="007D3AF3" w:rsidRPr="00A73789">
        <w:rPr>
          <w:rFonts w:ascii="Cambria" w:hAnsi="Cambria"/>
          <w:b w:val="0"/>
          <w:bCs w:val="0"/>
          <w:spacing w:val="0"/>
          <w:sz w:val="22"/>
          <w:szCs w:val="20"/>
        </w:rPr>
        <w:t>Standard method (AOAC 2020.06) must be followed without any modification.</w:t>
      </w:r>
    </w:p>
    <w:p w14:paraId="5242D2BA" w14:textId="77777777" w:rsidR="00E3548B" w:rsidRPr="00A73789" w:rsidRDefault="00E3548B" w:rsidP="00E3548B">
      <w:pPr>
        <w:pStyle w:val="Heading2"/>
      </w:pPr>
      <w:r w:rsidRPr="00A73789">
        <w:t>PRINCIPLES</w:t>
      </w:r>
    </w:p>
    <w:p w14:paraId="689AF911" w14:textId="77777777" w:rsidR="00032033" w:rsidRPr="00A73789" w:rsidRDefault="00FB2533" w:rsidP="00073347">
      <w:r w:rsidRPr="00A73789">
        <w:t xml:space="preserve">The </w:t>
      </w:r>
      <w:r w:rsidR="006667B8" w:rsidRPr="00A73789">
        <w:t>GENE-UP</w:t>
      </w:r>
      <w:r w:rsidR="006A0BC0" w:rsidRPr="00A73789">
        <w:rPr>
          <w:vertAlign w:val="superscript"/>
        </w:rPr>
        <w:t>®</w:t>
      </w:r>
      <w:r w:rsidR="006667B8" w:rsidRPr="00A73789">
        <w:t xml:space="preserve"> EHEC </w:t>
      </w:r>
      <w:r w:rsidR="00AA4A18" w:rsidRPr="00A73789">
        <w:t xml:space="preserve">Detection Method </w:t>
      </w:r>
      <w:r w:rsidR="00E3548B" w:rsidRPr="00A73789">
        <w:t xml:space="preserve">is a </w:t>
      </w:r>
      <w:r w:rsidR="00032033" w:rsidRPr="00A73789">
        <w:t xml:space="preserve">qualitative real-time PCR assay. </w:t>
      </w:r>
      <w:r w:rsidR="007B625A" w:rsidRPr="00A73789">
        <w:t>DNA is extracted using an automated process on</w:t>
      </w:r>
      <w:r w:rsidR="00073347" w:rsidRPr="00A73789">
        <w:t xml:space="preserve"> </w:t>
      </w:r>
      <w:r w:rsidR="006F7C89" w:rsidRPr="00A73789">
        <w:t>the VIDAS</w:t>
      </w:r>
      <w:r w:rsidR="002D2057" w:rsidRPr="00A73789">
        <w:t xml:space="preserve"> </w:t>
      </w:r>
      <w:r w:rsidR="007B625A" w:rsidRPr="00A73789">
        <w:t xml:space="preserve">or </w:t>
      </w:r>
      <w:r w:rsidR="006D5426" w:rsidRPr="00A73789">
        <w:t xml:space="preserve">through bead beating </w:t>
      </w:r>
      <w:r w:rsidR="007B625A" w:rsidRPr="00A73789">
        <w:t xml:space="preserve">using the GENE-UP Lysis Test Kit. </w:t>
      </w:r>
      <w:r w:rsidR="006F7C89" w:rsidRPr="00A73789">
        <w:t xml:space="preserve"> </w:t>
      </w:r>
      <w:r w:rsidR="00C1335C" w:rsidRPr="00A73789">
        <w:t xml:space="preserve">DNA is analysed for EHEC virulence factors using </w:t>
      </w:r>
      <w:r w:rsidR="00E05D68" w:rsidRPr="00A73789">
        <w:t xml:space="preserve">the </w:t>
      </w:r>
      <w:r w:rsidR="00C1335C" w:rsidRPr="00A73789">
        <w:t>GENE-UP</w:t>
      </w:r>
      <w:r w:rsidR="00C90E3B" w:rsidRPr="00A73789">
        <w:rPr>
          <w:vertAlign w:val="superscript"/>
        </w:rPr>
        <w:t>®</w:t>
      </w:r>
      <w:r w:rsidR="00C1335C" w:rsidRPr="00A73789">
        <w:t xml:space="preserve"> STEC-</w:t>
      </w:r>
      <w:proofErr w:type="spellStart"/>
      <w:r w:rsidR="00BE7BD0" w:rsidRPr="00A73789">
        <w:rPr>
          <w:i/>
          <w:iCs/>
        </w:rPr>
        <w:t>stx</w:t>
      </w:r>
      <w:proofErr w:type="spellEnd"/>
      <w:r w:rsidR="00BE7BD0" w:rsidRPr="00A73789">
        <w:t xml:space="preserve"> &amp; </w:t>
      </w:r>
      <w:proofErr w:type="spellStart"/>
      <w:r w:rsidR="00BE7BD0" w:rsidRPr="00A73789">
        <w:rPr>
          <w:i/>
          <w:iCs/>
        </w:rPr>
        <w:t>eae</w:t>
      </w:r>
      <w:proofErr w:type="spellEnd"/>
      <w:r w:rsidR="00BE7BD0" w:rsidRPr="00A73789">
        <w:t xml:space="preserve"> 2 assay, followed by GENE-UP</w:t>
      </w:r>
      <w:r w:rsidR="00C90E3B" w:rsidRPr="00A73789">
        <w:rPr>
          <w:vertAlign w:val="superscript"/>
        </w:rPr>
        <w:t>®</w:t>
      </w:r>
      <w:r w:rsidR="00BE7BD0" w:rsidRPr="00A73789">
        <w:t xml:space="preserve"> STEC Top 6 and </w:t>
      </w:r>
      <w:r w:rsidR="00C1335C" w:rsidRPr="00A73789">
        <w:rPr>
          <w:i/>
          <w:iCs/>
        </w:rPr>
        <w:t>E. coli</w:t>
      </w:r>
      <w:r w:rsidR="00BE7BD0" w:rsidRPr="00A73789">
        <w:rPr>
          <w:i/>
          <w:iCs/>
        </w:rPr>
        <w:t xml:space="preserve"> </w:t>
      </w:r>
      <w:r w:rsidR="00BE7BD0" w:rsidRPr="00A73789">
        <w:t>O157:H7 2</w:t>
      </w:r>
      <w:r w:rsidR="000D5E39" w:rsidRPr="00A73789">
        <w:t xml:space="preserve"> PCR</w:t>
      </w:r>
      <w:r w:rsidR="00BE7BD0" w:rsidRPr="00A73789">
        <w:t xml:space="preserve"> assays</w:t>
      </w:r>
      <w:r w:rsidR="00073347" w:rsidRPr="00A73789">
        <w:t>. Th</w:t>
      </w:r>
      <w:r w:rsidR="006667B8" w:rsidRPr="00A73789">
        <w:t>e GENE-UP</w:t>
      </w:r>
      <w:r w:rsidR="00C90E3B" w:rsidRPr="00A73789">
        <w:rPr>
          <w:vertAlign w:val="superscript"/>
        </w:rPr>
        <w:t>®</w:t>
      </w:r>
      <w:r w:rsidR="006667B8" w:rsidRPr="00A73789">
        <w:t xml:space="preserve"> Thermocycler </w:t>
      </w:r>
      <w:r w:rsidR="00BE7BD0" w:rsidRPr="00A73789">
        <w:t>is utili</w:t>
      </w:r>
      <w:r w:rsidR="00E05D68" w:rsidRPr="00A73789">
        <w:t>s</w:t>
      </w:r>
      <w:r w:rsidR="00BE7BD0" w:rsidRPr="00A73789">
        <w:t xml:space="preserve">ed to </w:t>
      </w:r>
      <w:r w:rsidR="006667B8" w:rsidRPr="00A73789">
        <w:t>detect fluorescence at several wavelengths to allow for multi-target detection</w:t>
      </w:r>
      <w:r w:rsidR="00BE7BD0" w:rsidRPr="00A73789">
        <w:t xml:space="preserve">s.  </w:t>
      </w:r>
    </w:p>
    <w:p w14:paraId="1C51F6AA" w14:textId="77777777" w:rsidR="00E3548B" w:rsidRPr="00A73789" w:rsidRDefault="00E3548B" w:rsidP="00E3548B">
      <w:r w:rsidRPr="00A73789">
        <w:t xml:space="preserve">Detection of </w:t>
      </w:r>
      <w:r w:rsidR="007B21DC" w:rsidRPr="00A73789">
        <w:t>STEC</w:t>
      </w:r>
      <w:r w:rsidR="007B21DC" w:rsidRPr="00A73789">
        <w:rPr>
          <w:i/>
        </w:rPr>
        <w:t xml:space="preserve"> </w:t>
      </w:r>
      <w:r w:rsidR="007B21DC" w:rsidRPr="00A73789">
        <w:t>involves</w:t>
      </w:r>
      <w:r w:rsidRPr="00A73789">
        <w:t xml:space="preserve"> the follow steps:</w:t>
      </w:r>
    </w:p>
    <w:p w14:paraId="0F70AA68" w14:textId="77777777" w:rsidR="00E3548B" w:rsidRPr="00A73789" w:rsidRDefault="00E3548B" w:rsidP="00E3548B">
      <w:pPr>
        <w:pStyle w:val="Heading3"/>
      </w:pPr>
      <w:r w:rsidRPr="00A73789">
        <w:t>Enrichment</w:t>
      </w:r>
    </w:p>
    <w:p w14:paraId="704618AB" w14:textId="77777777" w:rsidR="00E3548B" w:rsidRPr="00A73789" w:rsidRDefault="00437BAC" w:rsidP="003E3EF2">
      <w:pPr>
        <w:pStyle w:val="Normal-para"/>
      </w:pPr>
      <w:r w:rsidRPr="00A73789">
        <w:t>Sample</w:t>
      </w:r>
      <w:r w:rsidR="00A805BD" w:rsidRPr="00A73789">
        <w:t xml:space="preserve"> (</w:t>
      </w:r>
      <w:r w:rsidR="00F47359" w:rsidRPr="00A73789">
        <w:t>375</w:t>
      </w:r>
      <w:r w:rsidR="00E96B68">
        <w:t xml:space="preserve"> ±37.5</w:t>
      </w:r>
      <w:r w:rsidR="0046433C" w:rsidRPr="00A73789">
        <w:t xml:space="preserve"> g</w:t>
      </w:r>
      <w:r w:rsidR="00A805BD" w:rsidRPr="00A73789">
        <w:t>)</w:t>
      </w:r>
      <w:r w:rsidRPr="00A73789">
        <w:t xml:space="preserve"> </w:t>
      </w:r>
      <w:r w:rsidR="00E3548B" w:rsidRPr="00A73789">
        <w:t>is enri</w:t>
      </w:r>
      <w:r w:rsidR="00660383" w:rsidRPr="00A73789">
        <w:t xml:space="preserve">ched in </w:t>
      </w:r>
      <w:r w:rsidR="0022157B" w:rsidRPr="00A73789">
        <w:t>1,</w:t>
      </w:r>
      <w:r w:rsidR="0046433C" w:rsidRPr="00A73789">
        <w:t>125</w:t>
      </w:r>
      <w:r w:rsidR="00F47359" w:rsidRPr="00A73789">
        <w:t xml:space="preserve"> </w:t>
      </w:r>
      <w:r w:rsidR="0022157B" w:rsidRPr="00A73789">
        <w:t>m</w:t>
      </w:r>
      <w:r w:rsidR="00F47359" w:rsidRPr="00A73789">
        <w:t>L</w:t>
      </w:r>
      <w:r w:rsidR="00A805BD" w:rsidRPr="00A73789">
        <w:t xml:space="preserve"> of</w:t>
      </w:r>
      <w:r w:rsidRPr="00A73789">
        <w:t xml:space="preserve"> pre-warmed</w:t>
      </w:r>
      <w:r w:rsidR="0046433C" w:rsidRPr="00A73789">
        <w:t xml:space="preserve"> (to </w:t>
      </w:r>
      <w:r w:rsidR="00F47359" w:rsidRPr="00A73789">
        <w:t>41.5±1°C)</w:t>
      </w:r>
      <w:r w:rsidR="0046433C" w:rsidRPr="00A73789">
        <w:t xml:space="preserve"> </w:t>
      </w:r>
      <w:r w:rsidR="0067127F" w:rsidRPr="00A73789">
        <w:t>buffered peptone water (BPW)</w:t>
      </w:r>
      <w:r w:rsidR="00F47359" w:rsidRPr="00A73789">
        <w:t>.</w:t>
      </w:r>
      <w:r w:rsidR="005B12D6" w:rsidRPr="00A73789">
        <w:t xml:space="preserve"> </w:t>
      </w:r>
      <w:r w:rsidR="0046433C" w:rsidRPr="00A73789">
        <w:t>Sample and enrichment media are place</w:t>
      </w:r>
      <w:r w:rsidR="006F7C89" w:rsidRPr="00A73789">
        <w:t>d</w:t>
      </w:r>
      <w:r w:rsidR="0046433C" w:rsidRPr="00A73789">
        <w:t xml:space="preserve"> in a stomacher bag and homogeni</w:t>
      </w:r>
      <w:r w:rsidR="00E05D68" w:rsidRPr="00A73789">
        <w:t>s</w:t>
      </w:r>
      <w:r w:rsidR="0046433C" w:rsidRPr="00A73789">
        <w:t>ed using a stomacher.</w:t>
      </w:r>
      <w:r w:rsidR="00E3548B" w:rsidRPr="00A73789">
        <w:t xml:space="preserve"> Incubation is carried out </w:t>
      </w:r>
      <w:r w:rsidRPr="00A73789">
        <w:t xml:space="preserve">at </w:t>
      </w:r>
      <w:r w:rsidR="00F47359" w:rsidRPr="00A73789">
        <w:t>41.5</w:t>
      </w:r>
      <w:r w:rsidRPr="00A73789">
        <w:t xml:space="preserve"> ± 1</w:t>
      </w:r>
      <w:r w:rsidR="00E3548B" w:rsidRPr="00A73789">
        <w:t>°C</w:t>
      </w:r>
      <w:r w:rsidR="00FC1F80" w:rsidRPr="00A73789">
        <w:t xml:space="preserve"> for 1</w:t>
      </w:r>
      <w:r w:rsidR="00F47359" w:rsidRPr="00A73789">
        <w:t>0</w:t>
      </w:r>
      <w:r w:rsidR="00FC1F80" w:rsidRPr="00A73789">
        <w:t xml:space="preserve"> - 24 h</w:t>
      </w:r>
      <w:r w:rsidR="00E3548B" w:rsidRPr="00A73789">
        <w:t xml:space="preserve">. </w:t>
      </w:r>
      <w:r w:rsidR="0022157B" w:rsidRPr="00A73789">
        <w:t xml:space="preserve">It is essential that the temperature of the broth and sample is at 41.5±1°C for a minimum of 10 h. </w:t>
      </w:r>
      <w:r w:rsidR="00E3548B" w:rsidRPr="00A73789">
        <w:t xml:space="preserve">A positive </w:t>
      </w:r>
      <w:r w:rsidR="0046433C" w:rsidRPr="00A73789">
        <w:t xml:space="preserve">and a negative </w:t>
      </w:r>
      <w:r w:rsidR="00E3548B" w:rsidRPr="00A73789">
        <w:t>control culture must be run through all procedures daily or w</w:t>
      </w:r>
      <w:r w:rsidR="003E3EF2" w:rsidRPr="00A73789">
        <w:t xml:space="preserve">hen testing is carried out. </w:t>
      </w:r>
    </w:p>
    <w:p w14:paraId="4C2D3D80" w14:textId="77777777" w:rsidR="0067127F" w:rsidRPr="00A73789" w:rsidRDefault="0067127F" w:rsidP="0067127F">
      <w:pPr>
        <w:pStyle w:val="Heading3"/>
      </w:pPr>
      <w:r w:rsidRPr="00A73789">
        <w:t>Immuno-concentration</w:t>
      </w:r>
      <w:r w:rsidR="00BC538A">
        <w:rPr>
          <w:rStyle w:val="FootnoteReference"/>
        </w:rPr>
        <w:footnoteReference w:id="1"/>
      </w:r>
    </w:p>
    <w:p w14:paraId="7E9D2832" w14:textId="77777777" w:rsidR="0067127F" w:rsidRPr="00A73789" w:rsidRDefault="00881A2C" w:rsidP="006F7C89">
      <w:pPr>
        <w:pStyle w:val="Normal-para"/>
      </w:pPr>
      <w:r w:rsidRPr="00A73789">
        <w:t>Immuno</w:t>
      </w:r>
      <w:r w:rsidR="00A73789">
        <w:t>-</w:t>
      </w:r>
      <w:r w:rsidRPr="00A73789">
        <w:t>c</w:t>
      </w:r>
      <w:r w:rsidR="00237AAA" w:rsidRPr="00A73789">
        <w:t xml:space="preserve">oncentration </w:t>
      </w:r>
      <w:r w:rsidR="0005795B" w:rsidRPr="00A73789">
        <w:t>is</w:t>
      </w:r>
      <w:r w:rsidRPr="00A73789">
        <w:t xml:space="preserve"> to be</w:t>
      </w:r>
      <w:r w:rsidR="0005795B" w:rsidRPr="00A73789">
        <w:t xml:space="preserve"> carried out using the</w:t>
      </w:r>
      <w:r w:rsidR="00F1231B" w:rsidRPr="00A73789">
        <w:t xml:space="preserve"> </w:t>
      </w:r>
      <w:r w:rsidR="00F971B3" w:rsidRPr="00A73789">
        <w:t>VIDAS</w:t>
      </w:r>
      <w:r w:rsidR="00F971B3" w:rsidRPr="00A73789">
        <w:rPr>
          <w:vertAlign w:val="superscript"/>
        </w:rPr>
        <w:t>®</w:t>
      </w:r>
      <w:r w:rsidR="0005795B" w:rsidRPr="00A73789">
        <w:t xml:space="preserve"> ESPT</w:t>
      </w:r>
      <w:r w:rsidR="008A39DC" w:rsidRPr="00A73789">
        <w:t xml:space="preserve"> or using the bead beating with </w:t>
      </w:r>
      <w:r w:rsidR="00A73789" w:rsidRPr="00A73789">
        <w:t>the GENE</w:t>
      </w:r>
      <w:r w:rsidR="00430295" w:rsidRPr="00A73789">
        <w:t>-UP</w:t>
      </w:r>
      <w:r w:rsidR="00430295" w:rsidRPr="00A73789">
        <w:rPr>
          <w:vertAlign w:val="superscript"/>
        </w:rPr>
        <w:t>®</w:t>
      </w:r>
      <w:r w:rsidR="00237AAA" w:rsidRPr="00A73789">
        <w:t xml:space="preserve"> Lysis Kit </w:t>
      </w:r>
      <w:r w:rsidR="000D5E39" w:rsidRPr="00A73789">
        <w:t>as per</w:t>
      </w:r>
      <w:r w:rsidR="0067127F" w:rsidRPr="00A73789">
        <w:t xml:space="preserve"> the manufacturer’s recommended protocol.</w:t>
      </w:r>
    </w:p>
    <w:p w14:paraId="6E1BF80D" w14:textId="77777777" w:rsidR="00E3548B" w:rsidRPr="00A73789" w:rsidRDefault="00E3548B" w:rsidP="00E3548B">
      <w:pPr>
        <w:pStyle w:val="Heading3"/>
      </w:pPr>
      <w:r w:rsidRPr="00A73789">
        <w:t>PCR Assay</w:t>
      </w:r>
      <w:r w:rsidR="00E710BB" w:rsidRPr="00A73789">
        <w:t>s</w:t>
      </w:r>
      <w:r w:rsidR="00E710BB" w:rsidRPr="00A73789">
        <w:rPr>
          <w:rStyle w:val="FootnoteReference"/>
        </w:rPr>
        <w:footnoteReference w:id="2"/>
      </w:r>
      <w:r w:rsidR="007B21DC" w:rsidRPr="00A73789">
        <w:t xml:space="preserve"> </w:t>
      </w:r>
    </w:p>
    <w:p w14:paraId="42080E86" w14:textId="77777777" w:rsidR="008C7F19" w:rsidRPr="00A73789" w:rsidRDefault="008C7F19" w:rsidP="003B384A">
      <w:pPr>
        <w:pStyle w:val="Normal-para"/>
      </w:pPr>
      <w:r w:rsidRPr="00A73789">
        <w:t>Sample preparation for bacterial DNA extraction and PCR assay</w:t>
      </w:r>
      <w:r w:rsidR="00BE1415" w:rsidRPr="00A73789">
        <w:t>s</w:t>
      </w:r>
      <w:r w:rsidRPr="00A73789">
        <w:t xml:space="preserve"> is carried out following the manufacturer’s recommended protocol. </w:t>
      </w:r>
      <w:r w:rsidR="007777CB" w:rsidRPr="00A73789">
        <w:t>PCRs are to be carried out separately: GENE-UP</w:t>
      </w:r>
      <w:r w:rsidR="00430295" w:rsidRPr="00A73789">
        <w:rPr>
          <w:vertAlign w:val="superscript"/>
        </w:rPr>
        <w:t>®</w:t>
      </w:r>
      <w:r w:rsidR="007777CB" w:rsidRPr="00A73789">
        <w:t xml:space="preserve"> STEC – </w:t>
      </w:r>
      <w:r w:rsidR="007777CB" w:rsidRPr="00A73789">
        <w:rPr>
          <w:i/>
          <w:iCs/>
        </w:rPr>
        <w:t>stx</w:t>
      </w:r>
      <w:r w:rsidR="007777CB" w:rsidRPr="00A73789">
        <w:t xml:space="preserve"> &amp; </w:t>
      </w:r>
      <w:r w:rsidR="007777CB" w:rsidRPr="00A73789">
        <w:rPr>
          <w:i/>
          <w:iCs/>
        </w:rPr>
        <w:t>eae</w:t>
      </w:r>
      <w:r w:rsidR="007777CB" w:rsidRPr="00A73789">
        <w:t xml:space="preserve"> (EH1</w:t>
      </w:r>
      <w:r w:rsidR="00636C62" w:rsidRPr="00A73789">
        <w:t xml:space="preserve"> 2</w:t>
      </w:r>
      <w:r w:rsidR="007777CB" w:rsidRPr="00A73789">
        <w:t xml:space="preserve">) for detection of </w:t>
      </w:r>
      <w:r w:rsidR="007777CB" w:rsidRPr="00A73789">
        <w:rPr>
          <w:i/>
          <w:iCs/>
        </w:rPr>
        <w:t>stx</w:t>
      </w:r>
      <w:r w:rsidR="007777CB" w:rsidRPr="00A73789">
        <w:t>/</w:t>
      </w:r>
      <w:r w:rsidR="007777CB" w:rsidRPr="00A73789">
        <w:rPr>
          <w:i/>
          <w:iCs/>
        </w:rPr>
        <w:t>eae</w:t>
      </w:r>
      <w:r w:rsidR="007777CB" w:rsidRPr="00A73789">
        <w:t xml:space="preserve"> genes; </w:t>
      </w:r>
      <w:r w:rsidR="007F5B9F" w:rsidRPr="00A73789">
        <w:t xml:space="preserve">if target genes are detected </w:t>
      </w:r>
      <w:r w:rsidR="00E86F5A" w:rsidRPr="00A73789">
        <w:t xml:space="preserve">then </w:t>
      </w:r>
      <w:r w:rsidR="00896C21" w:rsidRPr="00A73789">
        <w:t>GENE-UP</w:t>
      </w:r>
      <w:r w:rsidR="00430295" w:rsidRPr="00A73789">
        <w:rPr>
          <w:vertAlign w:val="superscript"/>
        </w:rPr>
        <w:t>®</w:t>
      </w:r>
      <w:r w:rsidR="00896C21" w:rsidRPr="00A73789">
        <w:t xml:space="preserve"> </w:t>
      </w:r>
      <w:r w:rsidR="00896C21" w:rsidRPr="00A73789">
        <w:rPr>
          <w:i/>
        </w:rPr>
        <w:t>E. coli</w:t>
      </w:r>
      <w:r w:rsidR="00896C21" w:rsidRPr="00A73789">
        <w:t xml:space="preserve"> O157:H7 </w:t>
      </w:r>
      <w:r w:rsidR="000E2462" w:rsidRPr="00A73789">
        <w:t xml:space="preserve">(ECO 2) </w:t>
      </w:r>
      <w:r w:rsidR="00896C21" w:rsidRPr="00A73789">
        <w:t>and GENE-UP</w:t>
      </w:r>
      <w:r w:rsidR="00430295" w:rsidRPr="00A73789">
        <w:rPr>
          <w:vertAlign w:val="superscript"/>
        </w:rPr>
        <w:t>®</w:t>
      </w:r>
      <w:r w:rsidR="00896C21" w:rsidRPr="00A73789">
        <w:t xml:space="preserve"> STEC Top 6 </w:t>
      </w:r>
      <w:r w:rsidR="000E2462" w:rsidRPr="00A73789">
        <w:t xml:space="preserve">(EH2) </w:t>
      </w:r>
      <w:r w:rsidR="007F5B9F" w:rsidRPr="00A73789">
        <w:t xml:space="preserve">are to be </w:t>
      </w:r>
      <w:r w:rsidR="00227960" w:rsidRPr="00A73789">
        <w:t>performed</w:t>
      </w:r>
      <w:r w:rsidR="007F5B9F" w:rsidRPr="00A73789">
        <w:t xml:space="preserve"> </w:t>
      </w:r>
      <w:r w:rsidR="00374DF6" w:rsidRPr="00A73789">
        <w:t xml:space="preserve">for </w:t>
      </w:r>
      <w:r w:rsidR="00BE1415" w:rsidRPr="00A73789">
        <w:t xml:space="preserve">the </w:t>
      </w:r>
      <w:r w:rsidR="00896C21" w:rsidRPr="00A73789">
        <w:t>detection of O157:H7 and top 6 non-O157</w:t>
      </w:r>
      <w:r w:rsidR="00073347" w:rsidRPr="00A73789">
        <w:t xml:space="preserve"> serogroups</w:t>
      </w:r>
      <w:r w:rsidR="00896C21" w:rsidRPr="00A73789">
        <w:t>, respectively.</w:t>
      </w:r>
      <w:r w:rsidR="007F5B9F" w:rsidRPr="00A73789">
        <w:t xml:space="preserve"> </w:t>
      </w:r>
      <w:r w:rsidR="003B384A" w:rsidRPr="00A73789">
        <w:t xml:space="preserve">Samples negative for these seven serogroups are considered negative for </w:t>
      </w:r>
      <w:r w:rsidR="003B384A" w:rsidRPr="00A73789">
        <w:rPr>
          <w:i/>
          <w:iCs/>
        </w:rPr>
        <w:t>E. coli</w:t>
      </w:r>
      <w:r w:rsidR="003B384A" w:rsidRPr="00A73789">
        <w:t xml:space="preserve"> O157:H7 and non-O157 STEC.</w:t>
      </w:r>
    </w:p>
    <w:p w14:paraId="4A21F1A3" w14:textId="77777777" w:rsidR="00E3548B" w:rsidRPr="00A73789" w:rsidRDefault="003B384A" w:rsidP="00E3548B">
      <w:pPr>
        <w:pStyle w:val="Normal-para"/>
      </w:pPr>
      <w:r w:rsidRPr="00A73789">
        <w:t>Samples</w:t>
      </w:r>
      <w:r w:rsidR="005C77C1" w:rsidRPr="00A73789">
        <w:t xml:space="preserve"> with</w:t>
      </w:r>
      <w:r w:rsidRPr="00A73789">
        <w:t xml:space="preserve"> </w:t>
      </w:r>
      <w:r w:rsidR="00E05D68" w:rsidRPr="00A73789">
        <w:t xml:space="preserve">a </w:t>
      </w:r>
      <w:r w:rsidRPr="00A73789">
        <w:t xml:space="preserve">positive </w:t>
      </w:r>
      <w:r w:rsidR="005C77C1" w:rsidRPr="00A73789">
        <w:t>result</w:t>
      </w:r>
      <w:r w:rsidRPr="00A73789">
        <w:t xml:space="preserve"> are </w:t>
      </w:r>
      <w:r w:rsidR="005C77C1" w:rsidRPr="00A73789">
        <w:t xml:space="preserve">regarded as </w:t>
      </w:r>
      <w:r w:rsidRPr="00A73789">
        <w:t xml:space="preserve">potential positives and must be confirmed. </w:t>
      </w:r>
      <w:r w:rsidR="00FD1961" w:rsidRPr="00A73789">
        <w:t>Inh</w:t>
      </w:r>
      <w:r w:rsidR="00E05D68" w:rsidRPr="00A73789">
        <w:t>i</w:t>
      </w:r>
      <w:r w:rsidR="00FD1961" w:rsidRPr="00A73789">
        <w:t xml:space="preserve">bited samples must be retested as per </w:t>
      </w:r>
      <w:r w:rsidR="00E05D68" w:rsidRPr="00A73789">
        <w:t xml:space="preserve">the </w:t>
      </w:r>
      <w:r w:rsidR="00FD1961" w:rsidRPr="00A73789">
        <w:t xml:space="preserve">standard method. </w:t>
      </w:r>
      <w:r w:rsidR="00E05D68" w:rsidRPr="00A73789">
        <w:t>In the case of an inhibited result</w:t>
      </w:r>
      <w:r w:rsidR="00FD1961" w:rsidRPr="00A73789">
        <w:t>,</w:t>
      </w:r>
      <w:r w:rsidR="008875AD" w:rsidRPr="00A73789">
        <w:t xml:space="preserve"> </w:t>
      </w:r>
      <w:r w:rsidR="00E3548B" w:rsidRPr="00A73789">
        <w:t xml:space="preserve">the test must be repeated using the same enrichment cultures. If the </w:t>
      </w:r>
      <w:r w:rsidR="00B12024" w:rsidRPr="00A73789">
        <w:t>re</w:t>
      </w:r>
      <w:r w:rsidR="003F291F" w:rsidRPr="00A73789">
        <w:t>-</w:t>
      </w:r>
      <w:r w:rsidR="00B12024" w:rsidRPr="00A73789">
        <w:t xml:space="preserve">test sample </w:t>
      </w:r>
      <w:r w:rsidR="00E05D68" w:rsidRPr="00A73789">
        <w:t>returns a further inhibited result</w:t>
      </w:r>
      <w:r w:rsidR="008875AD" w:rsidRPr="00A73789">
        <w:t>,</w:t>
      </w:r>
      <w:r w:rsidR="00E3548B" w:rsidRPr="00A73789">
        <w:t xml:space="preserve"> the equipment supplier must be contacted for </w:t>
      </w:r>
      <w:r w:rsidR="003F291F" w:rsidRPr="00A73789">
        <w:t xml:space="preserve">advice, </w:t>
      </w:r>
      <w:r w:rsidR="00D279A1" w:rsidRPr="00A73789">
        <w:t>and the</w:t>
      </w:r>
      <w:r w:rsidR="00E3548B" w:rsidRPr="00A73789">
        <w:t xml:space="preserve"> enrichment broth must be analysed using an alternate method o</w:t>
      </w:r>
      <w:r w:rsidR="00BE1415" w:rsidRPr="00A73789">
        <w:t>r the sample deemed positive</w:t>
      </w:r>
      <w:r w:rsidR="00E3548B" w:rsidRPr="00A73789">
        <w:t>.</w:t>
      </w:r>
    </w:p>
    <w:p w14:paraId="133FD495" w14:textId="77777777" w:rsidR="001E48B7" w:rsidRPr="00A73789" w:rsidRDefault="001E48B7" w:rsidP="00E3548B">
      <w:pPr>
        <w:pStyle w:val="Normal-para"/>
        <w:sectPr w:rsidR="001E48B7" w:rsidRPr="00A73789" w:rsidSect="00657E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418" w:bottom="737" w:left="1701" w:header="567" w:footer="567" w:gutter="0"/>
          <w:cols w:space="708"/>
          <w:docGrid w:linePitch="360"/>
        </w:sectPr>
      </w:pPr>
    </w:p>
    <w:p w14:paraId="12CB0DDB" w14:textId="77777777" w:rsidR="00B4594F" w:rsidRPr="00A73789" w:rsidRDefault="00B4594F" w:rsidP="00B4594F">
      <w:pPr>
        <w:pStyle w:val="Heading3"/>
      </w:pPr>
      <w:r w:rsidRPr="00A73789">
        <w:lastRenderedPageBreak/>
        <w:t>Confirmation</w:t>
      </w:r>
      <w:r w:rsidR="004970BF" w:rsidRPr="00A73789">
        <w:t xml:space="preserve"> with VIDAS ESPT Kit</w:t>
      </w:r>
    </w:p>
    <w:p w14:paraId="12DF471B" w14:textId="77777777" w:rsidR="00B4594F" w:rsidRPr="00A73789" w:rsidRDefault="00BB4293" w:rsidP="00BB4293">
      <w:pPr>
        <w:pStyle w:val="Normal-para"/>
        <w:numPr>
          <w:ilvl w:val="0"/>
          <w:numId w:val="6"/>
        </w:numPr>
      </w:pPr>
      <w:r w:rsidRPr="00A73789">
        <w:t xml:space="preserve">Concentration </w:t>
      </w:r>
      <w:r w:rsidR="005C77C1" w:rsidRPr="00A73789">
        <w:t xml:space="preserve">is </w:t>
      </w:r>
      <w:r w:rsidRPr="00A73789">
        <w:t xml:space="preserve">carried out by </w:t>
      </w:r>
      <w:r w:rsidR="00B4594F" w:rsidRPr="00A73789">
        <w:t>VIDAS</w:t>
      </w:r>
      <w:r w:rsidR="00430295" w:rsidRPr="00A73789">
        <w:rPr>
          <w:vertAlign w:val="superscript"/>
        </w:rPr>
        <w:t>®</w:t>
      </w:r>
      <w:r w:rsidR="00B4594F" w:rsidRPr="00A73789">
        <w:t xml:space="preserve"> ESP</w:t>
      </w:r>
      <w:r w:rsidR="000945C2" w:rsidRPr="00A73789">
        <w:t>T</w:t>
      </w:r>
      <w:r w:rsidR="00B4594F" w:rsidRPr="00A73789">
        <w:t>2 test</w:t>
      </w:r>
      <w:r w:rsidRPr="00A73789">
        <w:t xml:space="preserve"> and </w:t>
      </w:r>
      <w:r w:rsidR="00E05D68" w:rsidRPr="00A73789">
        <w:t xml:space="preserve">a </w:t>
      </w:r>
      <w:r w:rsidR="00B4594F" w:rsidRPr="00A73789">
        <w:t xml:space="preserve">concentrated sample (30 µL) is to be transferred on to: </w:t>
      </w:r>
    </w:p>
    <w:p w14:paraId="1AB7814C" w14:textId="77777777" w:rsidR="00B4594F" w:rsidRPr="00A73789" w:rsidRDefault="00B4594F" w:rsidP="00B4594F">
      <w:pPr>
        <w:pStyle w:val="Normal-para"/>
        <w:numPr>
          <w:ilvl w:val="0"/>
          <w:numId w:val="5"/>
        </w:numPr>
      </w:pPr>
      <w:r w:rsidRPr="00A73789">
        <w:t>CHROMID</w:t>
      </w:r>
      <w:r w:rsidR="00430295" w:rsidRPr="00A73789">
        <w:rPr>
          <w:vertAlign w:val="superscript"/>
        </w:rPr>
        <w:t>®</w:t>
      </w:r>
      <w:r w:rsidRPr="00A73789">
        <w:t xml:space="preserve"> EHEC agar - streak and incubate for 20-24 h at 37 ±1°C. </w:t>
      </w:r>
    </w:p>
    <w:p w14:paraId="0CE7F3B7" w14:textId="77777777" w:rsidR="00B4594F" w:rsidRPr="00A73789" w:rsidRDefault="00B4594F" w:rsidP="00B4594F">
      <w:pPr>
        <w:pStyle w:val="Normal-para"/>
        <w:numPr>
          <w:ilvl w:val="0"/>
          <w:numId w:val="5"/>
        </w:numPr>
      </w:pPr>
      <w:r w:rsidRPr="00A73789">
        <w:t xml:space="preserve">SMAC CT agar if </w:t>
      </w:r>
      <w:r w:rsidRPr="00A73789">
        <w:rPr>
          <w:i/>
          <w:iCs/>
        </w:rPr>
        <w:t>E. coli</w:t>
      </w:r>
      <w:r w:rsidRPr="00A73789">
        <w:t xml:space="preserve"> O157:H7 is suspected - streak and incubate for 18-24 h at 37 ±1°C</w:t>
      </w:r>
      <w:r w:rsidR="00C06706" w:rsidRPr="00A73789">
        <w:t xml:space="preserve"> </w:t>
      </w:r>
    </w:p>
    <w:p w14:paraId="397D6250" w14:textId="77777777" w:rsidR="00B4594F" w:rsidRPr="00A73789" w:rsidRDefault="00B4594F" w:rsidP="00B4594F">
      <w:pPr>
        <w:pStyle w:val="Normal-para"/>
        <w:numPr>
          <w:ilvl w:val="0"/>
          <w:numId w:val="5"/>
        </w:numPr>
      </w:pPr>
      <w:r w:rsidRPr="00A73789">
        <w:t>CHROMID</w:t>
      </w:r>
      <w:r w:rsidR="00430295" w:rsidRPr="00A73789">
        <w:rPr>
          <w:vertAlign w:val="superscript"/>
        </w:rPr>
        <w:t>®</w:t>
      </w:r>
      <w:r w:rsidRPr="00A73789">
        <w:t xml:space="preserve"> Coli agar if non-O157 is suspected - streak and incubate 22-26 h at 37 ±1°C</w:t>
      </w:r>
      <w:r w:rsidR="00C06706" w:rsidRPr="00A73789">
        <w:t xml:space="preserve"> </w:t>
      </w:r>
    </w:p>
    <w:p w14:paraId="1A315EB2" w14:textId="77777777" w:rsidR="004970BF" w:rsidRPr="00A73789" w:rsidRDefault="004970BF" w:rsidP="00A73789">
      <w:pPr>
        <w:pStyle w:val="Heading3"/>
      </w:pPr>
      <w:r w:rsidRPr="00A73789">
        <w:t>Confirmation by Direct St</w:t>
      </w:r>
      <w:r w:rsidR="00A76035">
        <w:t>r</w:t>
      </w:r>
      <w:r w:rsidRPr="00A73789">
        <w:t>eaking</w:t>
      </w:r>
    </w:p>
    <w:p w14:paraId="730A9F03" w14:textId="77777777" w:rsidR="00F70ABC" w:rsidRPr="00A73789" w:rsidRDefault="0066230B" w:rsidP="00BB4293">
      <w:pPr>
        <w:pStyle w:val="Normal-para"/>
        <w:numPr>
          <w:ilvl w:val="0"/>
          <w:numId w:val="6"/>
        </w:numPr>
      </w:pPr>
      <w:r w:rsidRPr="00A73789">
        <w:t>E</w:t>
      </w:r>
      <w:r w:rsidR="00B4594F" w:rsidRPr="00A73789">
        <w:t xml:space="preserve">nrichment broth </w:t>
      </w:r>
      <w:r w:rsidR="00F70ABC" w:rsidRPr="00A73789">
        <w:t>is to</w:t>
      </w:r>
      <w:r w:rsidR="00B4594F" w:rsidRPr="00A73789">
        <w:t xml:space="preserve"> be directly plated (10µL) on to</w:t>
      </w:r>
      <w:r w:rsidR="00F70ABC" w:rsidRPr="00A73789">
        <w:t>:</w:t>
      </w:r>
    </w:p>
    <w:p w14:paraId="798339D0" w14:textId="77777777" w:rsidR="00F70ABC" w:rsidRPr="00A73789" w:rsidRDefault="00F70ABC" w:rsidP="00F70ABC">
      <w:pPr>
        <w:pStyle w:val="Normal-para"/>
        <w:numPr>
          <w:ilvl w:val="0"/>
          <w:numId w:val="5"/>
        </w:numPr>
      </w:pPr>
      <w:r w:rsidRPr="00A73789">
        <w:t>Supplemented CHROMID</w:t>
      </w:r>
      <w:r w:rsidR="00430295" w:rsidRPr="00A73789">
        <w:rPr>
          <w:vertAlign w:val="superscript"/>
        </w:rPr>
        <w:t>®</w:t>
      </w:r>
      <w:r w:rsidRPr="00A73789">
        <w:t xml:space="preserve"> EHEC agar (supplemented with cefixime-tellurite</w:t>
      </w:r>
      <w:r w:rsidR="00BB4293" w:rsidRPr="00A73789">
        <w:rPr>
          <w:rStyle w:val="FootnoteReference"/>
        </w:rPr>
        <w:footnoteReference w:id="3"/>
      </w:r>
      <w:r w:rsidRPr="00A73789">
        <w:t xml:space="preserve">) - streak and incubate for 20-24 h at 37 ±1°C. </w:t>
      </w:r>
    </w:p>
    <w:p w14:paraId="3A4DC6FD" w14:textId="77777777" w:rsidR="00F70ABC" w:rsidRPr="00A73789" w:rsidRDefault="00F70ABC" w:rsidP="00F70ABC">
      <w:pPr>
        <w:pStyle w:val="Normal-para"/>
        <w:numPr>
          <w:ilvl w:val="0"/>
          <w:numId w:val="5"/>
        </w:numPr>
      </w:pPr>
      <w:r w:rsidRPr="00A73789">
        <w:t xml:space="preserve">SMAC CT agar (if </w:t>
      </w:r>
      <w:r w:rsidRPr="00A73789">
        <w:rPr>
          <w:i/>
          <w:iCs/>
        </w:rPr>
        <w:t>E. coli</w:t>
      </w:r>
      <w:r w:rsidRPr="00A73789">
        <w:t xml:space="preserve"> O157:H7 is suspected) - streak and incubate for 18-24 h at 37 ±1°C</w:t>
      </w:r>
    </w:p>
    <w:p w14:paraId="54D7BD70" w14:textId="77777777" w:rsidR="00F70ABC" w:rsidRPr="00A73789" w:rsidRDefault="00F70ABC" w:rsidP="00F70ABC">
      <w:pPr>
        <w:pStyle w:val="Normal-para"/>
        <w:numPr>
          <w:ilvl w:val="0"/>
          <w:numId w:val="5"/>
        </w:numPr>
      </w:pPr>
      <w:r w:rsidRPr="00A73789">
        <w:t>CHROMID</w:t>
      </w:r>
      <w:r w:rsidR="00430295" w:rsidRPr="00A73789">
        <w:rPr>
          <w:vertAlign w:val="superscript"/>
        </w:rPr>
        <w:t>®</w:t>
      </w:r>
      <w:r w:rsidRPr="00A73789">
        <w:t xml:space="preserve"> Coli agar (if non-O157 is suspected) - streak and incubate 22-26 h at 37 ±1°C</w:t>
      </w:r>
    </w:p>
    <w:p w14:paraId="738B503F" w14:textId="77777777" w:rsidR="00B4594F" w:rsidRPr="00A73789" w:rsidRDefault="00B4594F" w:rsidP="00B4594F">
      <w:pPr>
        <w:pStyle w:val="Heading3"/>
      </w:pPr>
      <w:r w:rsidRPr="00A73789">
        <w:t>Confirmation of isolated colonies</w:t>
      </w:r>
    </w:p>
    <w:p w14:paraId="42926391" w14:textId="77777777" w:rsidR="00B4594F" w:rsidRPr="00A73789" w:rsidRDefault="00BB4293" w:rsidP="00B4594F">
      <w:pPr>
        <w:pStyle w:val="Normal-para"/>
      </w:pPr>
      <w:r w:rsidRPr="00A73789">
        <w:t>Between one</w:t>
      </w:r>
      <w:r w:rsidR="00B4594F" w:rsidRPr="00A73789">
        <w:t xml:space="preserve"> </w:t>
      </w:r>
      <w:r w:rsidR="004970BF" w:rsidRPr="00A73789">
        <w:t xml:space="preserve">and </w:t>
      </w:r>
      <w:r w:rsidR="00B4594F" w:rsidRPr="00A73789">
        <w:t xml:space="preserve">five typical colonies </w:t>
      </w:r>
      <w:r w:rsidRPr="00A73789">
        <w:t xml:space="preserve">are to be selected </w:t>
      </w:r>
      <w:r w:rsidR="00B4594F" w:rsidRPr="00A73789">
        <w:t xml:space="preserve">from each plate </w:t>
      </w:r>
      <w:r w:rsidRPr="00A73789">
        <w:t>and</w:t>
      </w:r>
      <w:r w:rsidR="00B4594F" w:rsidRPr="00A73789">
        <w:t xml:space="preserve"> tested for target serogroups either by latex </w:t>
      </w:r>
      <w:r w:rsidR="006601AF" w:rsidRPr="00A73789">
        <w:t xml:space="preserve">test </w:t>
      </w:r>
      <w:r w:rsidR="00651248" w:rsidRPr="00A73789">
        <w:t xml:space="preserve">(SLIDEX </w:t>
      </w:r>
      <w:r w:rsidR="00651248" w:rsidRPr="00A73789">
        <w:rPr>
          <w:i/>
          <w:iCs/>
        </w:rPr>
        <w:t xml:space="preserve">E. coli, </w:t>
      </w:r>
      <w:r w:rsidR="00651248" w:rsidRPr="00A73789">
        <w:t>targeted serogroups)</w:t>
      </w:r>
      <w:r w:rsidR="00B4594F" w:rsidRPr="00A73789">
        <w:t xml:space="preserve"> or by serogroup specific PCR (GENE-UP</w:t>
      </w:r>
      <w:r w:rsidR="00430295" w:rsidRPr="00A73789">
        <w:rPr>
          <w:vertAlign w:val="superscript"/>
        </w:rPr>
        <w:t>®</w:t>
      </w:r>
      <w:r w:rsidR="00B4594F" w:rsidRPr="00A73789">
        <w:t xml:space="preserve"> STEC Top 6 and/or GENE-UP</w:t>
      </w:r>
      <w:r w:rsidR="00430295" w:rsidRPr="00A73789">
        <w:rPr>
          <w:vertAlign w:val="superscript"/>
        </w:rPr>
        <w:t>®</w:t>
      </w:r>
      <w:r w:rsidR="00B4594F" w:rsidRPr="00A73789">
        <w:t xml:space="preserve"> E. coli O157:H7 2), followed by performing EHEC gene specific PCR (GENE-UP</w:t>
      </w:r>
      <w:r w:rsidR="00430295" w:rsidRPr="00A73789">
        <w:rPr>
          <w:vertAlign w:val="superscript"/>
        </w:rPr>
        <w:t>®</w:t>
      </w:r>
      <w:r w:rsidR="00B4594F" w:rsidRPr="00A73789">
        <w:t xml:space="preserve"> STEC-</w:t>
      </w:r>
      <w:r w:rsidR="00B4594F" w:rsidRPr="00A73789">
        <w:rPr>
          <w:i/>
          <w:iCs/>
        </w:rPr>
        <w:t>stx</w:t>
      </w:r>
      <w:r w:rsidR="00B4594F" w:rsidRPr="00A73789">
        <w:t xml:space="preserve"> &amp; </w:t>
      </w:r>
      <w:r w:rsidR="00B4594F" w:rsidRPr="00A73789">
        <w:rPr>
          <w:i/>
          <w:iCs/>
        </w:rPr>
        <w:t>eae</w:t>
      </w:r>
      <w:r w:rsidR="00B4594F" w:rsidRPr="00A73789">
        <w:t xml:space="preserve"> 2). </w:t>
      </w:r>
    </w:p>
    <w:p w14:paraId="05029410" w14:textId="77777777" w:rsidR="00BB4293" w:rsidRDefault="00E05D68" w:rsidP="00B4594F">
      <w:pPr>
        <w:pStyle w:val="Normal-para"/>
      </w:pPr>
      <w:r w:rsidRPr="00A73789">
        <w:t>A p</w:t>
      </w:r>
      <w:r w:rsidR="00B4594F" w:rsidRPr="00A73789">
        <w:t>ositive result is to be reported as confirmed positive.</w:t>
      </w:r>
      <w:r w:rsidR="00B4594F">
        <w:t xml:space="preserve"> </w:t>
      </w:r>
    </w:p>
    <w:p w14:paraId="4EF6C9E2" w14:textId="77777777" w:rsidR="00B4594F" w:rsidRDefault="00B4594F" w:rsidP="00B4594F">
      <w:pPr>
        <w:pStyle w:val="Normal-para"/>
      </w:pPr>
      <w:r w:rsidRPr="00645C2B">
        <w:t>Discordant results must be tested by diluting 0.1 mL enrichment broth into 9 mL BPW, incubated at 37 ±1°C for 4 – 24 h, followed by repeating the confirmation procedure from the beginning.</w:t>
      </w:r>
    </w:p>
    <w:p w14:paraId="1200CC4C" w14:textId="43BE227B" w:rsidR="00E3548B" w:rsidRDefault="0066308D" w:rsidP="0077262A">
      <w:pPr>
        <w:pStyle w:val="Normal-para"/>
      </w:pPr>
      <w:r w:rsidRPr="0077262A">
        <w:rPr>
          <w:b/>
          <w:bCs/>
        </w:rPr>
        <w:t>Note:</w:t>
      </w:r>
      <w:r>
        <w:t xml:space="preserve"> Where </w:t>
      </w:r>
      <w:r w:rsidR="009317B0">
        <w:t>the GENE-UP</w:t>
      </w:r>
      <w:r>
        <w:t xml:space="preserve"> method is used for screening only</w:t>
      </w:r>
      <w:r w:rsidR="009317B0">
        <w:t xml:space="preserve">, confirmation testing must occur at a </w:t>
      </w:r>
      <w:r w:rsidR="009317B0" w:rsidRPr="009317B0">
        <w:t>DAFF approved confirmatory laboratory using a DAFF approved confirmatory method.</w:t>
      </w:r>
      <w:r w:rsidR="00B4594F">
        <w:br w:type="page"/>
      </w:r>
      <w:r w:rsidR="00E3548B">
        <w:lastRenderedPageBreak/>
        <w:t>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E3548B" w14:paraId="65C6FCF2" w14:textId="77777777" w:rsidTr="00B76BCF">
        <w:tc>
          <w:tcPr>
            <w:tcW w:w="1800" w:type="dxa"/>
            <w:tcBorders>
              <w:top w:val="single" w:sz="4" w:space="0" w:color="auto"/>
            </w:tcBorders>
          </w:tcPr>
          <w:p w14:paraId="43AA39AE" w14:textId="77777777" w:rsidR="00E3548B" w:rsidRDefault="00FB4446" w:rsidP="00E3548B">
            <w:pPr>
              <w:pStyle w:val="TableHeading"/>
            </w:pPr>
            <w:r>
              <w:t>Enrichment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74739948" w14:textId="77777777" w:rsidR="00E3548B" w:rsidRDefault="0022157B" w:rsidP="0022157B">
            <w:pPr>
              <w:pStyle w:val="TableBody"/>
            </w:pPr>
            <w:r>
              <w:t xml:space="preserve">Is the </w:t>
            </w:r>
            <w:r w:rsidR="00541B3C">
              <w:t>enrichment media</w:t>
            </w:r>
            <w:r>
              <w:t xml:space="preserve"> pre-warmed to 41.5 ± 1°C before use?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1CC4D87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22157B" w14:paraId="51AE70D0" w14:textId="77777777" w:rsidTr="0022157B">
        <w:tc>
          <w:tcPr>
            <w:tcW w:w="1800" w:type="dxa"/>
          </w:tcPr>
          <w:p w14:paraId="1DE2C601" w14:textId="77777777" w:rsidR="0022157B" w:rsidRDefault="0022157B" w:rsidP="00E3548B">
            <w:pPr>
              <w:pStyle w:val="TableHeading"/>
            </w:pPr>
          </w:p>
        </w:tc>
        <w:tc>
          <w:tcPr>
            <w:tcW w:w="5040" w:type="dxa"/>
          </w:tcPr>
          <w:p w14:paraId="1FD2D208" w14:textId="77777777" w:rsidR="0022157B" w:rsidRDefault="0022157B" w:rsidP="0022157B">
            <w:pPr>
              <w:pStyle w:val="TableBody"/>
            </w:pPr>
            <w:r>
              <w:t>Is enrichment carried out at 41.5 ± 1°C an</w:t>
            </w:r>
            <w:r w:rsidR="00541B3C">
              <w:t>d is the enrichment broth and sample at 41.5 ± 1°C</w:t>
            </w:r>
            <w:r>
              <w:t xml:space="preserve"> </w:t>
            </w:r>
            <w:r w:rsidR="00541B3C">
              <w:t xml:space="preserve">for a minimum of </w:t>
            </w:r>
            <w:r>
              <w:t>10</w:t>
            </w:r>
            <w:r w:rsidR="00541B3C">
              <w:t xml:space="preserve"> h</w:t>
            </w:r>
            <w:r>
              <w:t>?</w:t>
            </w:r>
          </w:p>
        </w:tc>
        <w:tc>
          <w:tcPr>
            <w:tcW w:w="2340" w:type="dxa"/>
            <w:vAlign w:val="center"/>
          </w:tcPr>
          <w:p w14:paraId="75D04330" w14:textId="77777777" w:rsidR="0022157B" w:rsidRDefault="0022157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16CCA187" w14:textId="77777777" w:rsidTr="00B76BCF">
        <w:tc>
          <w:tcPr>
            <w:tcW w:w="1800" w:type="dxa"/>
          </w:tcPr>
          <w:p w14:paraId="2C2AB674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</w:tcPr>
          <w:p w14:paraId="7DA64047" w14:textId="77777777" w:rsidR="00E3548B" w:rsidRDefault="00E3548B" w:rsidP="00F36DA2">
            <w:pPr>
              <w:pStyle w:val="TableBody"/>
            </w:pPr>
            <w:r>
              <w:t>Is the correct amount of</w:t>
            </w:r>
            <w:r w:rsidR="009B1C4B">
              <w:t xml:space="preserve"> enrichme</w:t>
            </w:r>
            <w:r w:rsidR="00F36DA2">
              <w:t>nt broth used?</w:t>
            </w:r>
          </w:p>
        </w:tc>
        <w:tc>
          <w:tcPr>
            <w:tcW w:w="2340" w:type="dxa"/>
            <w:vAlign w:val="center"/>
          </w:tcPr>
          <w:p w14:paraId="6DFCD036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7EB4746C" w14:textId="77777777" w:rsidTr="00B76BCF">
        <w:tc>
          <w:tcPr>
            <w:tcW w:w="1800" w:type="dxa"/>
          </w:tcPr>
          <w:p w14:paraId="435D7FE6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</w:tcPr>
          <w:p w14:paraId="75007BCF" w14:textId="77777777" w:rsidR="00E3548B" w:rsidRDefault="00E3548B" w:rsidP="005B12D6">
            <w:pPr>
              <w:pStyle w:val="TableBody"/>
            </w:pPr>
            <w:r>
              <w:t>Is a positive</w:t>
            </w:r>
            <w:r w:rsidR="005B12D6">
              <w:t xml:space="preserve"> and a negative </w:t>
            </w:r>
            <w:r>
              <w:t>control run with each batch of samples/daily?</w:t>
            </w:r>
          </w:p>
        </w:tc>
        <w:tc>
          <w:tcPr>
            <w:tcW w:w="2340" w:type="dxa"/>
            <w:vAlign w:val="center"/>
          </w:tcPr>
          <w:p w14:paraId="2E9AAB90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0B937CA5" w14:textId="77777777" w:rsidTr="00B76BCF">
        <w:tc>
          <w:tcPr>
            <w:tcW w:w="1800" w:type="dxa"/>
          </w:tcPr>
          <w:p w14:paraId="6BE34D84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</w:tcPr>
          <w:p w14:paraId="0A21AB94" w14:textId="77777777" w:rsidR="00E3548B" w:rsidRDefault="00E3548B" w:rsidP="00E3548B">
            <w:pPr>
              <w:pStyle w:val="TableBody"/>
            </w:pPr>
            <w:r>
              <w:t>Are reference cultures inoculated into enrichment media at a level of 10-100 cells per sample?</w:t>
            </w:r>
          </w:p>
        </w:tc>
        <w:tc>
          <w:tcPr>
            <w:tcW w:w="2340" w:type="dxa"/>
            <w:vAlign w:val="center"/>
          </w:tcPr>
          <w:p w14:paraId="48C01286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7476F8" w14:paraId="20E57B94" w14:textId="77777777" w:rsidTr="00B76BCF">
        <w:tc>
          <w:tcPr>
            <w:tcW w:w="1800" w:type="dxa"/>
          </w:tcPr>
          <w:p w14:paraId="342170E0" w14:textId="77777777" w:rsidR="007476F8" w:rsidRDefault="007476F8" w:rsidP="00503E3B">
            <w:pPr>
              <w:pStyle w:val="TableHeading"/>
              <w:ind w:left="0"/>
            </w:pPr>
            <w:r>
              <w:t>Immuno-concentration</w:t>
            </w:r>
          </w:p>
        </w:tc>
        <w:tc>
          <w:tcPr>
            <w:tcW w:w="5040" w:type="dxa"/>
          </w:tcPr>
          <w:p w14:paraId="01F41E4A" w14:textId="77777777" w:rsidR="007476F8" w:rsidRPr="00A616CF" w:rsidRDefault="00161E08" w:rsidP="00E3548B">
            <w:pPr>
              <w:pStyle w:val="TableBody"/>
            </w:pPr>
            <w:r w:rsidRPr="00A616CF">
              <w:t xml:space="preserve">Which method is utilized for concentration/DNA extraction? </w:t>
            </w:r>
            <w:r w:rsidR="00C86066" w:rsidRPr="00A616CF">
              <w:t>VIDAS</w:t>
            </w:r>
            <w:r w:rsidR="00430295" w:rsidRPr="00A616CF">
              <w:rPr>
                <w:vertAlign w:val="superscript"/>
              </w:rPr>
              <w:t>®</w:t>
            </w:r>
            <w:r w:rsidR="00C86066" w:rsidRPr="00A616CF">
              <w:t xml:space="preserve"> ESPT or GENE-Up Lysis Kit</w:t>
            </w:r>
            <w:r w:rsidR="007476F8" w:rsidRPr="00A616CF">
              <w:t>?</w:t>
            </w:r>
          </w:p>
        </w:tc>
        <w:tc>
          <w:tcPr>
            <w:tcW w:w="2340" w:type="dxa"/>
            <w:vAlign w:val="center"/>
          </w:tcPr>
          <w:p w14:paraId="0D3AB95A" w14:textId="77777777" w:rsidR="007476F8" w:rsidRDefault="003B384A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7476F8" w14:paraId="128F986A" w14:textId="77777777" w:rsidTr="00B76BCF">
        <w:tc>
          <w:tcPr>
            <w:tcW w:w="1800" w:type="dxa"/>
          </w:tcPr>
          <w:p w14:paraId="1EC2AAFC" w14:textId="77777777" w:rsidR="007476F8" w:rsidRDefault="007476F8" w:rsidP="007476F8">
            <w:pPr>
              <w:pStyle w:val="TableHeading"/>
              <w:ind w:left="0"/>
            </w:pPr>
          </w:p>
        </w:tc>
        <w:tc>
          <w:tcPr>
            <w:tcW w:w="5040" w:type="dxa"/>
          </w:tcPr>
          <w:p w14:paraId="2D26420E" w14:textId="77777777" w:rsidR="007476F8" w:rsidRPr="00A616CF" w:rsidRDefault="00237AAA" w:rsidP="00E3548B">
            <w:pPr>
              <w:pStyle w:val="TableBody"/>
            </w:pPr>
            <w:r w:rsidRPr="00A616CF">
              <w:t>Are manufacturers’ instruction</w:t>
            </w:r>
            <w:r w:rsidR="00C86066" w:rsidRPr="00A616CF">
              <w:t>s</w:t>
            </w:r>
            <w:r w:rsidRPr="00A616CF">
              <w:t xml:space="preserve"> followed?</w:t>
            </w:r>
          </w:p>
        </w:tc>
        <w:tc>
          <w:tcPr>
            <w:tcW w:w="2340" w:type="dxa"/>
            <w:vAlign w:val="center"/>
          </w:tcPr>
          <w:p w14:paraId="2FC0CD45" w14:textId="77777777" w:rsidR="007476F8" w:rsidRDefault="003B384A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7A45EC71" w14:textId="77777777" w:rsidTr="00B76BCF">
        <w:tc>
          <w:tcPr>
            <w:tcW w:w="1800" w:type="dxa"/>
            <w:vMerge w:val="restart"/>
          </w:tcPr>
          <w:p w14:paraId="29D6C927" w14:textId="77777777" w:rsidR="00E3548B" w:rsidRDefault="00E3548B" w:rsidP="00E3548B">
            <w:pPr>
              <w:pStyle w:val="TableHeading"/>
            </w:pPr>
            <w:r>
              <w:t>PCR Assay</w:t>
            </w:r>
          </w:p>
        </w:tc>
        <w:tc>
          <w:tcPr>
            <w:tcW w:w="5040" w:type="dxa"/>
          </w:tcPr>
          <w:p w14:paraId="2FEFA690" w14:textId="77777777" w:rsidR="00E3548B" w:rsidRPr="00A616CF" w:rsidRDefault="00161E08" w:rsidP="00E3548B">
            <w:pPr>
              <w:pStyle w:val="TableBody"/>
            </w:pPr>
            <w:r w:rsidRPr="00A616CF">
              <w:t>Are correct kits used for different STEC serogroups?</w:t>
            </w:r>
          </w:p>
        </w:tc>
        <w:tc>
          <w:tcPr>
            <w:tcW w:w="2340" w:type="dxa"/>
            <w:vAlign w:val="center"/>
          </w:tcPr>
          <w:p w14:paraId="17D5A5CA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161E08" w14:paraId="6816645F" w14:textId="77777777" w:rsidTr="00B76BCF">
        <w:tc>
          <w:tcPr>
            <w:tcW w:w="1800" w:type="dxa"/>
            <w:vMerge/>
          </w:tcPr>
          <w:p w14:paraId="678C9A21" w14:textId="77777777" w:rsidR="00161E08" w:rsidRDefault="00161E08" w:rsidP="00161E08">
            <w:pPr>
              <w:pStyle w:val="TableHeading"/>
            </w:pPr>
          </w:p>
        </w:tc>
        <w:tc>
          <w:tcPr>
            <w:tcW w:w="5040" w:type="dxa"/>
          </w:tcPr>
          <w:p w14:paraId="1801DBF4" w14:textId="77777777" w:rsidR="00161E08" w:rsidRPr="00A616CF" w:rsidRDefault="00161E08" w:rsidP="00161E08">
            <w:pPr>
              <w:pStyle w:val="TableBody"/>
            </w:pPr>
            <w:r w:rsidRPr="00A616CF">
              <w:t>Are manufacturer’s instructions available for reference?</w:t>
            </w:r>
          </w:p>
        </w:tc>
        <w:tc>
          <w:tcPr>
            <w:tcW w:w="2340" w:type="dxa"/>
            <w:vAlign w:val="center"/>
          </w:tcPr>
          <w:p w14:paraId="1A5FCBB3" w14:textId="77777777" w:rsidR="00161E08" w:rsidRDefault="00161E08" w:rsidP="00161E0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161E08" w14:paraId="43F4900A" w14:textId="77777777" w:rsidTr="00B76BCF">
        <w:tc>
          <w:tcPr>
            <w:tcW w:w="1800" w:type="dxa"/>
          </w:tcPr>
          <w:p w14:paraId="3E158241" w14:textId="77777777" w:rsidR="00161E08" w:rsidRDefault="00161E08" w:rsidP="00161E08">
            <w:pPr>
              <w:pStyle w:val="TableHeading"/>
            </w:pPr>
          </w:p>
        </w:tc>
        <w:tc>
          <w:tcPr>
            <w:tcW w:w="5040" w:type="dxa"/>
          </w:tcPr>
          <w:p w14:paraId="5A32C71C" w14:textId="77777777" w:rsidR="00161E08" w:rsidRPr="00A616CF" w:rsidRDefault="00161E08" w:rsidP="00161E08">
            <w:pPr>
              <w:pStyle w:val="TableBody"/>
            </w:pPr>
            <w:r w:rsidRPr="00A616CF">
              <w:t>Are internal controls run with each batch of samples?</w:t>
            </w:r>
          </w:p>
        </w:tc>
        <w:tc>
          <w:tcPr>
            <w:tcW w:w="2340" w:type="dxa"/>
            <w:vAlign w:val="center"/>
          </w:tcPr>
          <w:p w14:paraId="690D72A8" w14:textId="77777777" w:rsidR="00161E08" w:rsidRDefault="00161E08" w:rsidP="00161E0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161E08" w14:paraId="2D0C2743" w14:textId="77777777" w:rsidTr="00B76BCF">
        <w:tc>
          <w:tcPr>
            <w:tcW w:w="1800" w:type="dxa"/>
          </w:tcPr>
          <w:p w14:paraId="1846B6E3" w14:textId="77777777" w:rsidR="00161E08" w:rsidRDefault="00161E08" w:rsidP="00161E08">
            <w:pPr>
              <w:pStyle w:val="TableHeading"/>
            </w:pPr>
          </w:p>
        </w:tc>
        <w:tc>
          <w:tcPr>
            <w:tcW w:w="5040" w:type="dxa"/>
          </w:tcPr>
          <w:p w14:paraId="6BE2E17A" w14:textId="77777777" w:rsidR="00161E08" w:rsidRPr="00A616CF" w:rsidRDefault="00161E08" w:rsidP="00161E08">
            <w:pPr>
              <w:pStyle w:val="TableBody"/>
            </w:pPr>
            <w:r w:rsidRPr="00A616CF">
              <w:t>Are technicians familiar with and trained in the operation of PCR automated instruments and the associated software?</w:t>
            </w:r>
          </w:p>
        </w:tc>
        <w:tc>
          <w:tcPr>
            <w:tcW w:w="2340" w:type="dxa"/>
          </w:tcPr>
          <w:p w14:paraId="79F0FC4E" w14:textId="77777777" w:rsidR="00161E08" w:rsidRDefault="00161E08" w:rsidP="00161E0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161E08" w14:paraId="42CAA4C5" w14:textId="77777777" w:rsidTr="00B76BCF">
        <w:tc>
          <w:tcPr>
            <w:tcW w:w="1800" w:type="dxa"/>
            <w:vAlign w:val="center"/>
          </w:tcPr>
          <w:p w14:paraId="464AF09C" w14:textId="77777777" w:rsidR="00161E08" w:rsidRDefault="00161E08" w:rsidP="00161E08">
            <w:pPr>
              <w:pStyle w:val="TableHeading"/>
            </w:pPr>
          </w:p>
        </w:tc>
        <w:tc>
          <w:tcPr>
            <w:tcW w:w="5040" w:type="dxa"/>
          </w:tcPr>
          <w:p w14:paraId="43FD5E26" w14:textId="77777777" w:rsidR="00161E08" w:rsidRPr="00A616CF" w:rsidRDefault="00161E08" w:rsidP="00161E08">
            <w:pPr>
              <w:pStyle w:val="TableBody"/>
            </w:pPr>
            <w:r w:rsidRPr="00A616CF">
              <w:t>Is the shelf-life of media and kits controlled?</w:t>
            </w:r>
          </w:p>
        </w:tc>
        <w:tc>
          <w:tcPr>
            <w:tcW w:w="2340" w:type="dxa"/>
          </w:tcPr>
          <w:p w14:paraId="6A11AA99" w14:textId="77777777" w:rsidR="00161E08" w:rsidRDefault="00161E08" w:rsidP="00161E0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161E08" w14:paraId="1BD1C54C" w14:textId="77777777" w:rsidTr="00B76BCF">
        <w:tc>
          <w:tcPr>
            <w:tcW w:w="1800" w:type="dxa"/>
            <w:vAlign w:val="center"/>
          </w:tcPr>
          <w:p w14:paraId="731FF6B3" w14:textId="77777777" w:rsidR="00161E08" w:rsidRDefault="00161E08" w:rsidP="00161E08">
            <w:pPr>
              <w:pStyle w:val="TableHeading"/>
            </w:pPr>
            <w:r>
              <w:t>Confirmation</w:t>
            </w:r>
          </w:p>
        </w:tc>
        <w:tc>
          <w:tcPr>
            <w:tcW w:w="5040" w:type="dxa"/>
          </w:tcPr>
          <w:p w14:paraId="2C4828C4" w14:textId="77777777" w:rsidR="00161E08" w:rsidRPr="00A616CF" w:rsidRDefault="00161E08" w:rsidP="00161E08">
            <w:pPr>
              <w:pStyle w:val="TableBody"/>
            </w:pPr>
            <w:r w:rsidRPr="00A616CF">
              <w:t xml:space="preserve">Is confirmation carried out from the enrichment culture (BPW)? </w:t>
            </w:r>
          </w:p>
        </w:tc>
        <w:tc>
          <w:tcPr>
            <w:tcW w:w="2340" w:type="dxa"/>
          </w:tcPr>
          <w:p w14:paraId="6750A4DE" w14:textId="77777777" w:rsidR="00161E08" w:rsidRDefault="00161E08" w:rsidP="00161E0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161E08" w14:paraId="7B2A7B5D" w14:textId="77777777" w:rsidTr="00B76BCF">
        <w:tc>
          <w:tcPr>
            <w:tcW w:w="1800" w:type="dxa"/>
            <w:vAlign w:val="center"/>
          </w:tcPr>
          <w:p w14:paraId="598AB69F" w14:textId="77777777" w:rsidR="00161E08" w:rsidRDefault="00161E08" w:rsidP="00161E08">
            <w:pPr>
              <w:pStyle w:val="TableHeading"/>
            </w:pPr>
          </w:p>
        </w:tc>
        <w:tc>
          <w:tcPr>
            <w:tcW w:w="5040" w:type="dxa"/>
          </w:tcPr>
          <w:p w14:paraId="398CCC93" w14:textId="77777777" w:rsidR="00161E08" w:rsidRPr="00A616CF" w:rsidRDefault="00152769" w:rsidP="00161E08">
            <w:pPr>
              <w:pStyle w:val="TableBody"/>
            </w:pPr>
            <w:r w:rsidRPr="00A616CF">
              <w:t xml:space="preserve">Is </w:t>
            </w:r>
            <w:r w:rsidR="00161E08" w:rsidRPr="00A616CF">
              <w:t>VIDAS</w:t>
            </w:r>
            <w:r w:rsidR="00430295" w:rsidRPr="00A616CF">
              <w:rPr>
                <w:vertAlign w:val="superscript"/>
              </w:rPr>
              <w:t>®</w:t>
            </w:r>
            <w:r w:rsidR="00161E08" w:rsidRPr="00A616CF">
              <w:t xml:space="preserve"> ESPT</w:t>
            </w:r>
            <w:r w:rsidRPr="00A616CF">
              <w:t>2</w:t>
            </w:r>
            <w:r w:rsidR="00161E08" w:rsidRPr="00A616CF">
              <w:t xml:space="preserve"> Kit </w:t>
            </w:r>
            <w:r w:rsidRPr="00A616CF">
              <w:t xml:space="preserve">or </w:t>
            </w:r>
            <w:r w:rsidR="00161E08" w:rsidRPr="00A616CF">
              <w:t>direct plating methods carried out in the confirmation step?</w:t>
            </w:r>
          </w:p>
        </w:tc>
        <w:tc>
          <w:tcPr>
            <w:tcW w:w="2340" w:type="dxa"/>
            <w:vAlign w:val="center"/>
          </w:tcPr>
          <w:p w14:paraId="699102EF" w14:textId="77777777" w:rsidR="00161E08" w:rsidRDefault="00161E08" w:rsidP="00161E0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161E08" w14:paraId="5D56362F" w14:textId="77777777" w:rsidTr="00B76BCF">
        <w:tc>
          <w:tcPr>
            <w:tcW w:w="1800" w:type="dxa"/>
            <w:vAlign w:val="center"/>
          </w:tcPr>
          <w:p w14:paraId="27CB983F" w14:textId="77777777" w:rsidR="00161E08" w:rsidRDefault="00161E08" w:rsidP="00161E08">
            <w:pPr>
              <w:pStyle w:val="TableHeading"/>
            </w:pPr>
          </w:p>
        </w:tc>
        <w:tc>
          <w:tcPr>
            <w:tcW w:w="5040" w:type="dxa"/>
          </w:tcPr>
          <w:p w14:paraId="489C6D4C" w14:textId="77777777" w:rsidR="00161E08" w:rsidRPr="00A616CF" w:rsidRDefault="00483F6A" w:rsidP="00161E08">
            <w:pPr>
              <w:pStyle w:val="TableBody"/>
            </w:pPr>
            <w:r w:rsidRPr="00A616CF">
              <w:t>Are 1-5 typical colonies run through GENE UP</w:t>
            </w:r>
            <w:r w:rsidRPr="00A616CF">
              <w:rPr>
                <w:vertAlign w:val="superscript"/>
              </w:rPr>
              <w:t xml:space="preserve">® </w:t>
            </w:r>
            <w:r w:rsidRPr="00A616CF">
              <w:t>STEC top 6 and GENE-UP</w:t>
            </w:r>
            <w:r w:rsidRPr="00A616CF">
              <w:rPr>
                <w:vertAlign w:val="superscript"/>
              </w:rPr>
              <w:t>®</w:t>
            </w:r>
            <w:r w:rsidRPr="00A616CF">
              <w:t xml:space="preserve"> E. coli O157:H7 2 assay</w:t>
            </w:r>
            <w:r w:rsidR="00A616CF" w:rsidRPr="00A616CF">
              <w:t xml:space="preserve"> or latex agglutination</w:t>
            </w:r>
            <w:r w:rsidR="00A616CF">
              <w:t xml:space="preserve"> test</w:t>
            </w:r>
            <w:r w:rsidRPr="00A616CF">
              <w:t>?</w:t>
            </w:r>
          </w:p>
        </w:tc>
        <w:tc>
          <w:tcPr>
            <w:tcW w:w="2340" w:type="dxa"/>
            <w:vAlign w:val="center"/>
          </w:tcPr>
          <w:p w14:paraId="3419D03B" w14:textId="77777777" w:rsidR="00161E08" w:rsidRDefault="00161E08" w:rsidP="00161E0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161E08" w14:paraId="0EC6403D" w14:textId="77777777" w:rsidTr="00B76BCF">
        <w:tc>
          <w:tcPr>
            <w:tcW w:w="1800" w:type="dxa"/>
            <w:vAlign w:val="center"/>
          </w:tcPr>
          <w:p w14:paraId="4F697F3E" w14:textId="77777777" w:rsidR="00161E08" w:rsidRDefault="00161E08" w:rsidP="00161E08">
            <w:pPr>
              <w:pStyle w:val="TableHeading"/>
            </w:pPr>
          </w:p>
        </w:tc>
        <w:tc>
          <w:tcPr>
            <w:tcW w:w="5040" w:type="dxa"/>
          </w:tcPr>
          <w:p w14:paraId="1D434305" w14:textId="77777777" w:rsidR="00161E08" w:rsidRPr="00A616CF" w:rsidRDefault="004C3976" w:rsidP="00161E08">
            <w:pPr>
              <w:pStyle w:val="TableBody"/>
            </w:pPr>
            <w:r>
              <w:t>If positive, a</w:t>
            </w:r>
            <w:r w:rsidR="00161E08" w:rsidRPr="00A616CF">
              <w:t>re STEC genes verified by GENE-UP</w:t>
            </w:r>
            <w:r w:rsidR="00430295" w:rsidRPr="00A616CF">
              <w:rPr>
                <w:vertAlign w:val="superscript"/>
              </w:rPr>
              <w:t>®</w:t>
            </w:r>
            <w:r w:rsidR="00161E08" w:rsidRPr="00A616CF">
              <w:t xml:space="preserve"> STEC-</w:t>
            </w:r>
            <w:r w:rsidR="00161E08" w:rsidRPr="00A616CF">
              <w:rPr>
                <w:i/>
                <w:iCs/>
              </w:rPr>
              <w:t>stx</w:t>
            </w:r>
            <w:r w:rsidR="00161E08" w:rsidRPr="00A616CF">
              <w:t xml:space="preserve"> &amp; </w:t>
            </w:r>
            <w:r w:rsidR="00161E08" w:rsidRPr="00A616CF">
              <w:rPr>
                <w:i/>
                <w:iCs/>
              </w:rPr>
              <w:t>eae</w:t>
            </w:r>
            <w:r w:rsidR="00161E08" w:rsidRPr="00A616CF">
              <w:t xml:space="preserve"> PCR assay?</w:t>
            </w:r>
          </w:p>
        </w:tc>
        <w:tc>
          <w:tcPr>
            <w:tcW w:w="2340" w:type="dxa"/>
            <w:vAlign w:val="center"/>
          </w:tcPr>
          <w:p w14:paraId="386ED3F5" w14:textId="77777777" w:rsidR="00161E08" w:rsidRDefault="00161E08" w:rsidP="00161E0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161E08" w14:paraId="7DFE075E" w14:textId="77777777" w:rsidTr="00B76BCF">
        <w:tc>
          <w:tcPr>
            <w:tcW w:w="1800" w:type="dxa"/>
            <w:vAlign w:val="center"/>
          </w:tcPr>
          <w:p w14:paraId="669B1CA7" w14:textId="77777777" w:rsidR="00161E08" w:rsidRDefault="00161E08" w:rsidP="00161E08">
            <w:pPr>
              <w:pStyle w:val="TableHeading"/>
            </w:pPr>
          </w:p>
        </w:tc>
        <w:tc>
          <w:tcPr>
            <w:tcW w:w="5040" w:type="dxa"/>
          </w:tcPr>
          <w:p w14:paraId="67A73138" w14:textId="77777777" w:rsidR="00161E08" w:rsidRPr="00A616CF" w:rsidRDefault="00161E08" w:rsidP="00161E08">
            <w:pPr>
              <w:pStyle w:val="TableBody"/>
            </w:pPr>
            <w:r w:rsidRPr="00A616CF">
              <w:t>Is a discordant result (if any) retested and reconfirmed?</w:t>
            </w:r>
          </w:p>
        </w:tc>
        <w:tc>
          <w:tcPr>
            <w:tcW w:w="2340" w:type="dxa"/>
            <w:vAlign w:val="center"/>
          </w:tcPr>
          <w:p w14:paraId="14182988" w14:textId="77777777" w:rsidR="00161E08" w:rsidRDefault="00161E08" w:rsidP="00161E0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161E08" w14:paraId="0F1B8069" w14:textId="77777777" w:rsidTr="00B76BCF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56D8D7F" w14:textId="77777777" w:rsidR="00161E08" w:rsidRDefault="00161E08" w:rsidP="00161E08">
            <w:pPr>
              <w:pStyle w:val="TableHeading"/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26DA0DCA" w14:textId="34D678CE" w:rsidR="00161E08" w:rsidRDefault="00980040" w:rsidP="00161E08">
            <w:pPr>
              <w:pStyle w:val="TableBody"/>
            </w:pPr>
            <w:r w:rsidRPr="00980040">
              <w:t xml:space="preserve">If </w:t>
            </w:r>
            <w:r w:rsidR="002B7A0E">
              <w:t xml:space="preserve">confirmation testing is not conducted using GENE-UP methodology, is confirmation conducted </w:t>
            </w:r>
            <w:r w:rsidR="009317B0">
              <w:t xml:space="preserve">at a </w:t>
            </w:r>
            <w:r w:rsidR="009317B0" w:rsidRPr="009317B0">
              <w:t>DAFF approved confirmatory laboratory using a DAFF approved confirmatory method</w:t>
            </w:r>
            <w:r w:rsidR="009317B0">
              <w:t>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64FD142" w14:textId="77777777" w:rsidR="00161E08" w:rsidRDefault="00161E08" w:rsidP="00161E0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</w:tbl>
    <w:p w14:paraId="2D19EECC" w14:textId="77777777" w:rsidR="00ED64A6" w:rsidRPr="00606974" w:rsidRDefault="00ED64A6" w:rsidP="000222C8">
      <w:pPr>
        <w:pStyle w:val="Heading2"/>
        <w:rPr>
          <w:b w:val="0"/>
        </w:rPr>
      </w:pPr>
    </w:p>
    <w:sectPr w:rsidR="00ED64A6" w:rsidRPr="0060697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94B07" w14:textId="77777777" w:rsidR="00980CAB" w:rsidRDefault="00980CAB" w:rsidP="00E0322F">
      <w:pPr>
        <w:spacing w:before="0" w:after="0"/>
      </w:pPr>
      <w:r>
        <w:separator/>
      </w:r>
    </w:p>
  </w:endnote>
  <w:endnote w:type="continuationSeparator" w:id="0">
    <w:p w14:paraId="6186A5A7" w14:textId="77777777" w:rsidR="00980CAB" w:rsidRDefault="00980CAB" w:rsidP="00E032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93F83" w14:textId="46549DD6" w:rsidR="001D6088" w:rsidRDefault="001D60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737F9C1" wp14:editId="022E62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1894769722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A08A7" w14:textId="56EABB8B" w:rsidR="001D6088" w:rsidRPr="001D6088" w:rsidRDefault="001D6088" w:rsidP="001D60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60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7F9C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left:0;text-align:left;margin-left:0;margin-top:0;width:49.15pt;height:35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7BA08A7" w14:textId="56EABB8B" w:rsidR="001D6088" w:rsidRPr="001D6088" w:rsidRDefault="001D6088" w:rsidP="001D60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608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EB375" w14:textId="1BDFE6D0" w:rsidR="001E48B7" w:rsidRPr="00C0679C" w:rsidRDefault="00C56A77" w:rsidP="00767922">
    <w:pPr>
      <w:pStyle w:val="Footer"/>
      <w:tabs>
        <w:tab w:val="clear" w:pos="4513"/>
        <w:tab w:val="center" w:pos="8647"/>
      </w:tabs>
      <w:rPr>
        <w:color w:val="505050"/>
      </w:rPr>
    </w:pPr>
    <w:r w:rsidRPr="00C0679C">
      <w:rPr>
        <w:color w:val="505050"/>
      </w:rPr>
      <w:t>I</w:t>
    </w:r>
    <w:r w:rsidR="00476D87" w:rsidRPr="00C0679C">
      <w:rPr>
        <w:color w:val="505050"/>
      </w:rPr>
      <w:t>ssue 202</w:t>
    </w:r>
    <w:r w:rsidR="00BD3143" w:rsidRPr="00C0679C">
      <w:rPr>
        <w:color w:val="505050"/>
      </w:rPr>
      <w:t>5</w:t>
    </w:r>
    <w:r w:rsidR="00E167B7" w:rsidRPr="00C0679C">
      <w:rPr>
        <w:color w:val="505050"/>
      </w:rPr>
      <w:t xml:space="preserve"> </w:t>
    </w:r>
    <w:r w:rsidR="00BD3143" w:rsidRPr="00C0679C">
      <w:rPr>
        <w:color w:val="505050"/>
      </w:rPr>
      <w:t>05</w:t>
    </w:r>
    <w:r w:rsidR="001E6F6D" w:rsidRPr="00C0679C">
      <w:rPr>
        <w:color w:val="505050"/>
      </w:rPr>
      <w:t>0</w:t>
    </w:r>
    <w:r w:rsidR="00476D87" w:rsidRPr="00C0679C">
      <w:rPr>
        <w:color w:val="505050"/>
      </w:rPr>
      <w:t xml:space="preserve"> </w:t>
    </w:r>
    <w:r w:rsidR="00BD3143" w:rsidRPr="00C0679C">
      <w:rPr>
        <w:color w:val="505050"/>
      </w:rPr>
      <w:t>01</w:t>
    </w:r>
    <w:r w:rsidR="00C117CA" w:rsidRPr="00C0679C">
      <w:rPr>
        <w:color w:val="505050"/>
      </w:rPr>
      <w:t xml:space="preserve"> | </w:t>
    </w:r>
    <w:r w:rsidR="001E48B7" w:rsidRPr="00C0679C">
      <w:rPr>
        <w:color w:val="505050"/>
      </w:rPr>
      <w:t>Approve</w:t>
    </w:r>
    <w:r w:rsidR="00C117CA" w:rsidRPr="00C0679C">
      <w:rPr>
        <w:color w:val="505050"/>
      </w:rPr>
      <w:t>d Methods Manual</w:t>
    </w:r>
  </w:p>
  <w:p w14:paraId="2617441B" w14:textId="77777777" w:rsidR="001E48B7" w:rsidRDefault="001E48B7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Export Stan</w:t>
    </w:r>
    <w:r w:rsidR="00670835">
      <w:t xml:space="preserve">dards Branch | Exports </w:t>
    </w:r>
    <w:r w:rsidR="00237AAA">
      <w:t xml:space="preserve">and Veterinary Services </w:t>
    </w:r>
    <w:r w:rsidR="00670835">
      <w:t>Division</w:t>
    </w:r>
    <w:r w:rsidR="00670835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E5B9D">
      <w:rPr>
        <w:noProof/>
      </w:rPr>
      <w:t>1</w:t>
    </w:r>
    <w:r>
      <w:fldChar w:fldCharType="end"/>
    </w:r>
    <w:r>
      <w:t xml:space="preserve"> of </w:t>
    </w:r>
    <w:r w:rsidR="007E5B9D">
      <w:fldChar w:fldCharType="begin"/>
    </w:r>
    <w:r w:rsidR="007E5B9D">
      <w:instrText xml:space="preserve"> NUMPAGES  </w:instrText>
    </w:r>
    <w:r w:rsidR="007E5B9D">
      <w:fldChar w:fldCharType="separate"/>
    </w:r>
    <w:r w:rsidR="007E5B9D">
      <w:rPr>
        <w:noProof/>
      </w:rPr>
      <w:t>3</w:t>
    </w:r>
    <w:r w:rsidR="007E5B9D">
      <w:rPr>
        <w:noProof/>
      </w:rPr>
      <w:fldChar w:fldCharType="end"/>
    </w:r>
  </w:p>
  <w:p w14:paraId="659C86EA" w14:textId="3EB85545" w:rsidR="00C117CA" w:rsidRPr="001E48B7" w:rsidRDefault="00C117CA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</w:t>
    </w:r>
    <w:r w:rsidR="00476D87">
      <w:t xml:space="preserve">, </w:t>
    </w:r>
    <w:r w:rsidR="00BD3143">
      <w:t>Fisheries and Forestry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37F7" w14:textId="7CB22A3F" w:rsidR="001D6088" w:rsidRDefault="001D60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A0BB902" wp14:editId="064293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876650015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046D9" w14:textId="018ADC09" w:rsidR="001D6088" w:rsidRPr="001D6088" w:rsidRDefault="001D6088" w:rsidP="001D60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60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BB9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0;width:49.15pt;height:35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D6046D9" w14:textId="018ADC09" w:rsidR="001D6088" w:rsidRPr="001D6088" w:rsidRDefault="001D6088" w:rsidP="001D60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608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51055" w14:textId="0AA73869" w:rsidR="001D6088" w:rsidRDefault="001D60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C2BD961" wp14:editId="23057E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121987707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F99C4" w14:textId="3BAAA2F5" w:rsidR="001D6088" w:rsidRPr="001D6088" w:rsidRDefault="001D6088" w:rsidP="001D60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60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BD96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left:0;text-align:left;margin-left:0;margin-top:0;width:49.15pt;height:35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0AF99C4" w14:textId="3BAAA2F5" w:rsidR="001D6088" w:rsidRPr="001D6088" w:rsidRDefault="001D6088" w:rsidP="001D60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608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D3720" w14:textId="77A682C4" w:rsidR="00670835" w:rsidRPr="00C0679C" w:rsidRDefault="00C56A77" w:rsidP="00767922">
    <w:pPr>
      <w:pStyle w:val="Footer"/>
      <w:tabs>
        <w:tab w:val="clear" w:pos="4513"/>
        <w:tab w:val="center" w:pos="8505"/>
      </w:tabs>
      <w:rPr>
        <w:color w:val="505050"/>
      </w:rPr>
    </w:pPr>
    <w:r w:rsidRPr="00C0679C">
      <w:rPr>
        <w:color w:val="505050"/>
      </w:rPr>
      <w:t>I</w:t>
    </w:r>
    <w:r w:rsidR="00EA1DC1" w:rsidRPr="00C0679C">
      <w:rPr>
        <w:color w:val="505050"/>
      </w:rPr>
      <w:t>ssue 202</w:t>
    </w:r>
    <w:r w:rsidR="00BD3143" w:rsidRPr="00C0679C">
      <w:rPr>
        <w:color w:val="505050"/>
      </w:rPr>
      <w:t>5</w:t>
    </w:r>
    <w:r w:rsidR="00EA1DC1" w:rsidRPr="00C0679C">
      <w:rPr>
        <w:color w:val="505050"/>
      </w:rPr>
      <w:t xml:space="preserve"> </w:t>
    </w:r>
    <w:r w:rsidR="00BD3143" w:rsidRPr="00C0679C">
      <w:rPr>
        <w:color w:val="505050"/>
      </w:rPr>
      <w:t>05</w:t>
    </w:r>
    <w:r w:rsidR="00EA1DC1" w:rsidRPr="00C0679C">
      <w:rPr>
        <w:color w:val="505050"/>
      </w:rPr>
      <w:t xml:space="preserve"> </w:t>
    </w:r>
    <w:r w:rsidR="00BD3143" w:rsidRPr="00C0679C">
      <w:rPr>
        <w:color w:val="505050"/>
      </w:rPr>
      <w:t>01</w:t>
    </w:r>
    <w:r w:rsidRPr="00C0679C">
      <w:rPr>
        <w:color w:val="505050"/>
      </w:rPr>
      <w:t xml:space="preserve"> | </w:t>
    </w:r>
    <w:r w:rsidR="00670835" w:rsidRPr="00C0679C">
      <w:rPr>
        <w:color w:val="505050"/>
      </w:rPr>
      <w:t>Approve</w:t>
    </w:r>
    <w:r w:rsidRPr="00C0679C">
      <w:rPr>
        <w:color w:val="505050"/>
      </w:rPr>
      <w:t>d Methods Manual</w:t>
    </w:r>
  </w:p>
  <w:p w14:paraId="512884D1" w14:textId="77777777" w:rsidR="00670835" w:rsidRDefault="00670835" w:rsidP="00670835">
    <w:pPr>
      <w:pStyle w:val="Footer"/>
      <w:tabs>
        <w:tab w:val="clear" w:pos="4513"/>
        <w:tab w:val="center" w:pos="8789"/>
      </w:tabs>
    </w:pPr>
    <w:r>
      <w:t xml:space="preserve">Export Standards Branch | Exports </w:t>
    </w:r>
    <w:r w:rsidR="001E6F6D">
      <w:t xml:space="preserve">and Veterinary Services </w:t>
    </w:r>
    <w:r>
      <w:t>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E5B9D">
      <w:rPr>
        <w:noProof/>
      </w:rPr>
      <w:t>2</w:t>
    </w:r>
    <w:r>
      <w:fldChar w:fldCharType="end"/>
    </w:r>
    <w:r>
      <w:t xml:space="preserve"> of </w:t>
    </w:r>
    <w:r w:rsidR="007E5B9D">
      <w:fldChar w:fldCharType="begin"/>
    </w:r>
    <w:r w:rsidR="007E5B9D">
      <w:instrText xml:space="preserve"> NUMPAGES  </w:instrText>
    </w:r>
    <w:r w:rsidR="007E5B9D">
      <w:fldChar w:fldCharType="separate"/>
    </w:r>
    <w:r w:rsidR="007E5B9D">
      <w:rPr>
        <w:noProof/>
      </w:rPr>
      <w:t>3</w:t>
    </w:r>
    <w:r w:rsidR="007E5B9D">
      <w:rPr>
        <w:noProof/>
      </w:rPr>
      <w:fldChar w:fldCharType="end"/>
    </w:r>
  </w:p>
  <w:p w14:paraId="1A7C16A0" w14:textId="05A29B91" w:rsidR="00670835" w:rsidRPr="001E48B7" w:rsidRDefault="00670835" w:rsidP="001E48B7">
    <w:pPr>
      <w:pStyle w:val="Footer"/>
    </w:pPr>
    <w:r>
      <w:t>Department of Agriculture</w:t>
    </w:r>
    <w:r w:rsidR="00476D87">
      <w:t xml:space="preserve">, </w:t>
    </w:r>
    <w:r w:rsidR="00BD3143">
      <w:t>Fisheries and Forestry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7F52" w14:textId="3633ABFD" w:rsidR="001D6088" w:rsidRDefault="001D60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759DA0E" wp14:editId="63C5BC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162636488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61192" w14:textId="4E9CEA6D" w:rsidR="001D6088" w:rsidRPr="001D6088" w:rsidRDefault="001D6088" w:rsidP="001D60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60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9DA0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left:0;text-align:left;margin-left:0;margin-top:0;width:49.15pt;height:35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9C61192" w14:textId="4E9CEA6D" w:rsidR="001D6088" w:rsidRPr="001D6088" w:rsidRDefault="001D6088" w:rsidP="001D60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608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52E3E" w14:textId="77777777" w:rsidR="00980CAB" w:rsidRDefault="00980CAB" w:rsidP="00E0322F">
      <w:pPr>
        <w:spacing w:before="0" w:after="0"/>
      </w:pPr>
      <w:r>
        <w:separator/>
      </w:r>
    </w:p>
  </w:footnote>
  <w:footnote w:type="continuationSeparator" w:id="0">
    <w:p w14:paraId="79262E6D" w14:textId="77777777" w:rsidR="00980CAB" w:rsidRDefault="00980CAB" w:rsidP="00E0322F">
      <w:pPr>
        <w:spacing w:before="0" w:after="0"/>
      </w:pPr>
      <w:r>
        <w:continuationSeparator/>
      </w:r>
    </w:p>
  </w:footnote>
  <w:footnote w:id="1">
    <w:p w14:paraId="424B76B2" w14:textId="77777777" w:rsidR="00BC538A" w:rsidRDefault="00BC538A">
      <w:pPr>
        <w:pStyle w:val="FootnoteText"/>
      </w:pPr>
      <w:r>
        <w:rPr>
          <w:rStyle w:val="FootnoteReference"/>
        </w:rPr>
        <w:footnoteRef/>
      </w:r>
      <w:r>
        <w:t xml:space="preserve"> Kit # 30229 for VIDAS</w:t>
      </w:r>
      <w:r w:rsidR="00A76035">
        <w:t xml:space="preserve"> UP</w:t>
      </w:r>
      <w:r>
        <w:t xml:space="preserve"> </w:t>
      </w:r>
      <w:r w:rsidRPr="00A76035">
        <w:rPr>
          <w:i/>
          <w:iCs/>
        </w:rPr>
        <w:t>E. coli</w:t>
      </w:r>
      <w:r>
        <w:t xml:space="preserve"> Serogroups (ESPT)</w:t>
      </w:r>
      <w:r w:rsidR="00A76035">
        <w:t xml:space="preserve"> or</w:t>
      </w:r>
      <w:r>
        <w:t xml:space="preserve"> Kit # 414057 for GENE-UP Lysis Kit</w:t>
      </w:r>
      <w:r w:rsidR="00A76035">
        <w:t xml:space="preserve"> must be used</w:t>
      </w:r>
    </w:p>
  </w:footnote>
  <w:footnote w:id="2">
    <w:p w14:paraId="64156ADF" w14:textId="77777777" w:rsidR="00E710BB" w:rsidRDefault="00E710BB">
      <w:pPr>
        <w:pStyle w:val="FootnoteText"/>
      </w:pPr>
      <w:r>
        <w:rPr>
          <w:rStyle w:val="FootnoteReference"/>
        </w:rPr>
        <w:footnoteRef/>
      </w:r>
      <w:r>
        <w:t xml:space="preserve"> Kit # </w:t>
      </w:r>
      <w:r w:rsidR="00636C62">
        <w:t>423109</w:t>
      </w:r>
      <w:r>
        <w:t xml:space="preserve"> for GENE-UP STEC – </w:t>
      </w:r>
      <w:r w:rsidRPr="002D2057">
        <w:rPr>
          <w:i/>
          <w:iCs/>
        </w:rPr>
        <w:t>stx</w:t>
      </w:r>
      <w:r>
        <w:t xml:space="preserve"> &amp; </w:t>
      </w:r>
      <w:r w:rsidRPr="002D2057">
        <w:rPr>
          <w:i/>
          <w:iCs/>
        </w:rPr>
        <w:t>eae</w:t>
      </w:r>
      <w:r>
        <w:t xml:space="preserve"> (EH1</w:t>
      </w:r>
      <w:r w:rsidR="000E2462">
        <w:t xml:space="preserve"> 2</w:t>
      </w:r>
      <w:r>
        <w:t>)</w:t>
      </w:r>
      <w:r w:rsidRPr="00E710BB">
        <w:t xml:space="preserve">; </w:t>
      </w:r>
      <w:r>
        <w:t xml:space="preserve">Kit # </w:t>
      </w:r>
      <w:r w:rsidR="00636C62">
        <w:t>423108</w:t>
      </w:r>
      <w:r>
        <w:t xml:space="preserve"> for </w:t>
      </w:r>
      <w:r w:rsidRPr="00E710BB">
        <w:t xml:space="preserve">GENE-UP </w:t>
      </w:r>
      <w:r w:rsidRPr="00636C62">
        <w:rPr>
          <w:i/>
        </w:rPr>
        <w:t xml:space="preserve">E. coli </w:t>
      </w:r>
      <w:r w:rsidRPr="00E710BB">
        <w:t xml:space="preserve">O157:H7 </w:t>
      </w:r>
      <w:r w:rsidR="000E2462">
        <w:t xml:space="preserve">(ECO 2) </w:t>
      </w:r>
      <w:r w:rsidRPr="00E710BB">
        <w:t xml:space="preserve">and </w:t>
      </w:r>
      <w:r>
        <w:t>Kit # 4</w:t>
      </w:r>
      <w:r w:rsidR="00351C86">
        <w:t xml:space="preserve">14154 </w:t>
      </w:r>
      <w:r>
        <w:t xml:space="preserve">for </w:t>
      </w:r>
      <w:r w:rsidRPr="00E710BB">
        <w:t>GENE-UP STEC Top 6</w:t>
      </w:r>
      <w:r w:rsidR="00636C62">
        <w:t xml:space="preserve"> (EH2)</w:t>
      </w:r>
      <w:r w:rsidRPr="00E710BB">
        <w:t xml:space="preserve"> </w:t>
      </w:r>
      <w:r>
        <w:t>must be used</w:t>
      </w:r>
      <w:r w:rsidRPr="00E710BB">
        <w:t>.</w:t>
      </w:r>
    </w:p>
  </w:footnote>
  <w:footnote w:id="3">
    <w:p w14:paraId="24B1CF8B" w14:textId="77777777" w:rsidR="00BB4293" w:rsidRDefault="00BB4293">
      <w:pPr>
        <w:pStyle w:val="FootnoteText"/>
      </w:pPr>
      <w:r>
        <w:rPr>
          <w:rStyle w:val="FootnoteReference"/>
        </w:rPr>
        <w:footnoteRef/>
      </w:r>
      <w:r>
        <w:t xml:space="preserve"> Cefixime-tellurite mixture - Ref. 42606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5BD54" w14:textId="66CC7792" w:rsidR="001D6088" w:rsidRDefault="001D60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14150C" wp14:editId="6CE1E0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7327864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E255A" w14:textId="1F8B8BE5" w:rsidR="001D6088" w:rsidRPr="001D6088" w:rsidRDefault="001D6088" w:rsidP="001D60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60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415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9.15pt;height:35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01E255A" w14:textId="1F8B8BE5" w:rsidR="001D6088" w:rsidRPr="001D6088" w:rsidRDefault="001D6088" w:rsidP="001D60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608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9C78" w14:textId="7C18E867" w:rsidR="00670835" w:rsidRDefault="001D6088" w:rsidP="00657E4A">
    <w:pPr>
      <w:pStyle w:val="Header"/>
      <w:spacing w:after="720"/>
      <w:jc w:val="left"/>
    </w:pPr>
    <w:r w:rsidRPr="00CF4CBF">
      <w:rPr>
        <w:noProof/>
      </w:rPr>
      <w:drawing>
        <wp:inline distT="0" distB="0" distL="0" distR="0" wp14:anchorId="1F98C1B1" wp14:editId="6298BC7D">
          <wp:extent cx="4049395" cy="558165"/>
          <wp:effectExtent l="0" t="0" r="0" b="0"/>
          <wp:docPr id="1" name="Picture 1" descr="Department of Agriculture, Fisheries and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, Fisheries and Forest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C7CB" w14:textId="1DF720D7" w:rsidR="001D6088" w:rsidRDefault="001D60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B39DB7" wp14:editId="2BAA8C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122823661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E2E96" w14:textId="553DE4A4" w:rsidR="001D6088" w:rsidRPr="001D6088" w:rsidRDefault="001D6088" w:rsidP="001D60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60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39D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49.15pt;height:35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20AE2E96" w14:textId="553DE4A4" w:rsidR="001D6088" w:rsidRPr="001D6088" w:rsidRDefault="001D6088" w:rsidP="001D60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608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B517" w14:textId="7CFE76AC" w:rsidR="001D6088" w:rsidRDefault="001D60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91B90D5" wp14:editId="625D5D5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204627971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EC116" w14:textId="07424203" w:rsidR="001D6088" w:rsidRPr="001D6088" w:rsidRDefault="001D6088" w:rsidP="001D60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60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B90D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left:0;text-align:left;margin-left:0;margin-top:0;width:49.15pt;height:35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BFEC116" w14:textId="07424203" w:rsidR="001D6088" w:rsidRPr="001D6088" w:rsidRDefault="001D6088" w:rsidP="001D60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608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558B" w14:textId="188405D1" w:rsidR="00272AAC" w:rsidRPr="00FB4446" w:rsidRDefault="009E36A2" w:rsidP="00FB4446">
    <w:pPr>
      <w:pStyle w:val="Header"/>
    </w:pPr>
    <w:r>
      <w:t xml:space="preserve">GENE-UP EHEC </w:t>
    </w:r>
    <w:r w:rsidR="003B384A">
      <w:t>Detection Method</w:t>
    </w:r>
    <w:r>
      <w:t xml:space="preserve"> -</w:t>
    </w:r>
    <w:r w:rsidR="00FB4446" w:rsidRPr="00FB4446">
      <w:t xml:space="preserve"> AOAC </w:t>
    </w:r>
    <w:r w:rsidR="003B384A">
      <w:t>2020.06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D21A9" w14:textId="37B2050E" w:rsidR="001D6088" w:rsidRDefault="001D60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378B7A3" wp14:editId="1CFD3C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10448413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DD5F9" w14:textId="39D6A5AC" w:rsidR="001D6088" w:rsidRPr="001D6088" w:rsidRDefault="001D6088" w:rsidP="001D60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60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8B7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49.15pt;height:35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C0DD5F9" w14:textId="39D6A5AC" w:rsidR="001D6088" w:rsidRPr="001D6088" w:rsidRDefault="001D6088" w:rsidP="001D60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608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F180A4B"/>
    <w:multiLevelType w:val="hybridMultilevel"/>
    <w:tmpl w:val="05CCA8A6"/>
    <w:lvl w:ilvl="0" w:tplc="153E553C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A2AFA"/>
    <w:multiLevelType w:val="hybridMultilevel"/>
    <w:tmpl w:val="13B2D372"/>
    <w:lvl w:ilvl="0" w:tplc="1D3E360A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C808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C2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D0BAE"/>
    <w:multiLevelType w:val="hybridMultilevel"/>
    <w:tmpl w:val="7AEC1964"/>
    <w:lvl w:ilvl="0" w:tplc="535434FE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58C305B9"/>
    <w:multiLevelType w:val="hybridMultilevel"/>
    <w:tmpl w:val="3978FDCA"/>
    <w:lvl w:ilvl="0" w:tplc="C408EA46">
      <w:numFmt w:val="bullet"/>
      <w:lvlText w:val="-"/>
      <w:lvlJc w:val="left"/>
      <w:pPr>
        <w:ind w:left="814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78192671"/>
    <w:multiLevelType w:val="hybridMultilevel"/>
    <w:tmpl w:val="D2A6DFC4"/>
    <w:lvl w:ilvl="0" w:tplc="4504396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464859663">
    <w:abstractNumId w:val="0"/>
  </w:num>
  <w:num w:numId="2" w16cid:durableId="902640228">
    <w:abstractNumId w:val="1"/>
  </w:num>
  <w:num w:numId="3" w16cid:durableId="1527794608">
    <w:abstractNumId w:val="5"/>
  </w:num>
  <w:num w:numId="4" w16cid:durableId="1859005941">
    <w:abstractNumId w:val="2"/>
  </w:num>
  <w:num w:numId="5" w16cid:durableId="1534804902">
    <w:abstractNumId w:val="4"/>
  </w:num>
  <w:num w:numId="6" w16cid:durableId="1875997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0a0944de-10f7-4399-b3ef-b40c1f457de6"/>
  </w:docVars>
  <w:rsids>
    <w:rsidRoot w:val="0023008E"/>
    <w:rsid w:val="00003780"/>
    <w:rsid w:val="000122A2"/>
    <w:rsid w:val="00013257"/>
    <w:rsid w:val="00020C4C"/>
    <w:rsid w:val="000222C8"/>
    <w:rsid w:val="000236E5"/>
    <w:rsid w:val="00032033"/>
    <w:rsid w:val="00037B44"/>
    <w:rsid w:val="000566F5"/>
    <w:rsid w:val="0005795B"/>
    <w:rsid w:val="00073347"/>
    <w:rsid w:val="000763DC"/>
    <w:rsid w:val="0008189A"/>
    <w:rsid w:val="000945C2"/>
    <w:rsid w:val="000A4CF7"/>
    <w:rsid w:val="000D0968"/>
    <w:rsid w:val="000D5E39"/>
    <w:rsid w:val="000E1166"/>
    <w:rsid w:val="000E2462"/>
    <w:rsid w:val="000F26D2"/>
    <w:rsid w:val="000F385C"/>
    <w:rsid w:val="00104392"/>
    <w:rsid w:val="001104EB"/>
    <w:rsid w:val="0011709D"/>
    <w:rsid w:val="00123703"/>
    <w:rsid w:val="00152769"/>
    <w:rsid w:val="00161E08"/>
    <w:rsid w:val="00170DD9"/>
    <w:rsid w:val="00173AE7"/>
    <w:rsid w:val="00187BE5"/>
    <w:rsid w:val="001A2176"/>
    <w:rsid w:val="001A25B8"/>
    <w:rsid w:val="001B09CB"/>
    <w:rsid w:val="001B1761"/>
    <w:rsid w:val="001D196F"/>
    <w:rsid w:val="001D6088"/>
    <w:rsid w:val="001D6A5B"/>
    <w:rsid w:val="001E48B7"/>
    <w:rsid w:val="001E6F6D"/>
    <w:rsid w:val="00202FC9"/>
    <w:rsid w:val="002079F4"/>
    <w:rsid w:val="00213832"/>
    <w:rsid w:val="00215C74"/>
    <w:rsid w:val="002176DC"/>
    <w:rsid w:val="00221386"/>
    <w:rsid w:val="0022157B"/>
    <w:rsid w:val="00227960"/>
    <w:rsid w:val="0023008E"/>
    <w:rsid w:val="00231477"/>
    <w:rsid w:val="002342EA"/>
    <w:rsid w:val="00234F1B"/>
    <w:rsid w:val="00237AAA"/>
    <w:rsid w:val="0024200C"/>
    <w:rsid w:val="0026209E"/>
    <w:rsid w:val="00272AAC"/>
    <w:rsid w:val="00275DB7"/>
    <w:rsid w:val="0028375D"/>
    <w:rsid w:val="002A6908"/>
    <w:rsid w:val="002B7A0E"/>
    <w:rsid w:val="002C7146"/>
    <w:rsid w:val="002D2057"/>
    <w:rsid w:val="002D24D9"/>
    <w:rsid w:val="002E1679"/>
    <w:rsid w:val="002E6220"/>
    <w:rsid w:val="0030245F"/>
    <w:rsid w:val="0030484A"/>
    <w:rsid w:val="00304FC9"/>
    <w:rsid w:val="00351C86"/>
    <w:rsid w:val="0035329E"/>
    <w:rsid w:val="00360055"/>
    <w:rsid w:val="0036515E"/>
    <w:rsid w:val="00367E78"/>
    <w:rsid w:val="00371076"/>
    <w:rsid w:val="00374DF6"/>
    <w:rsid w:val="003B384A"/>
    <w:rsid w:val="003E3EF2"/>
    <w:rsid w:val="003E49B8"/>
    <w:rsid w:val="003F291F"/>
    <w:rsid w:val="00403ED9"/>
    <w:rsid w:val="00415641"/>
    <w:rsid w:val="00417EA3"/>
    <w:rsid w:val="00421807"/>
    <w:rsid w:val="00422575"/>
    <w:rsid w:val="0042371A"/>
    <w:rsid w:val="00423964"/>
    <w:rsid w:val="00430295"/>
    <w:rsid w:val="00437BAC"/>
    <w:rsid w:val="00457B63"/>
    <w:rsid w:val="00457C0D"/>
    <w:rsid w:val="004602A9"/>
    <w:rsid w:val="0046433C"/>
    <w:rsid w:val="00476D87"/>
    <w:rsid w:val="004775F0"/>
    <w:rsid w:val="004808AD"/>
    <w:rsid w:val="00482BDE"/>
    <w:rsid w:val="00483F6A"/>
    <w:rsid w:val="0049340F"/>
    <w:rsid w:val="004970BF"/>
    <w:rsid w:val="004C3976"/>
    <w:rsid w:val="004C644E"/>
    <w:rsid w:val="004D596C"/>
    <w:rsid w:val="004F18A8"/>
    <w:rsid w:val="00503E3B"/>
    <w:rsid w:val="00517BA2"/>
    <w:rsid w:val="00520782"/>
    <w:rsid w:val="00526500"/>
    <w:rsid w:val="005276AA"/>
    <w:rsid w:val="00541B3C"/>
    <w:rsid w:val="0054695F"/>
    <w:rsid w:val="00552335"/>
    <w:rsid w:val="00587504"/>
    <w:rsid w:val="00595BF4"/>
    <w:rsid w:val="00597206"/>
    <w:rsid w:val="005A1BA4"/>
    <w:rsid w:val="005B12D6"/>
    <w:rsid w:val="005C5370"/>
    <w:rsid w:val="005C77C1"/>
    <w:rsid w:val="005F295F"/>
    <w:rsid w:val="00606974"/>
    <w:rsid w:val="00611EF8"/>
    <w:rsid w:val="00614646"/>
    <w:rsid w:val="0061556E"/>
    <w:rsid w:val="006155E0"/>
    <w:rsid w:val="006170C6"/>
    <w:rsid w:val="00621EC2"/>
    <w:rsid w:val="0063113D"/>
    <w:rsid w:val="00636C62"/>
    <w:rsid w:val="00645C2B"/>
    <w:rsid w:val="00647A25"/>
    <w:rsid w:val="00651248"/>
    <w:rsid w:val="00657E4A"/>
    <w:rsid w:val="006601AF"/>
    <w:rsid w:val="00660383"/>
    <w:rsid w:val="0066062D"/>
    <w:rsid w:val="0066230B"/>
    <w:rsid w:val="0066308D"/>
    <w:rsid w:val="00664AF3"/>
    <w:rsid w:val="006667B8"/>
    <w:rsid w:val="00667B90"/>
    <w:rsid w:val="00667F57"/>
    <w:rsid w:val="00670835"/>
    <w:rsid w:val="0067127F"/>
    <w:rsid w:val="00674FEC"/>
    <w:rsid w:val="006A0BC0"/>
    <w:rsid w:val="006A0E1A"/>
    <w:rsid w:val="006A4FAA"/>
    <w:rsid w:val="006C612C"/>
    <w:rsid w:val="006D5426"/>
    <w:rsid w:val="006D694E"/>
    <w:rsid w:val="006F7C89"/>
    <w:rsid w:val="00740CA0"/>
    <w:rsid w:val="007438EC"/>
    <w:rsid w:val="007476F8"/>
    <w:rsid w:val="00756B59"/>
    <w:rsid w:val="00767922"/>
    <w:rsid w:val="0077262A"/>
    <w:rsid w:val="00774EF5"/>
    <w:rsid w:val="007777CB"/>
    <w:rsid w:val="00782B79"/>
    <w:rsid w:val="007830A5"/>
    <w:rsid w:val="007832FD"/>
    <w:rsid w:val="00793118"/>
    <w:rsid w:val="00793DA8"/>
    <w:rsid w:val="00794971"/>
    <w:rsid w:val="007975DC"/>
    <w:rsid w:val="007B21DC"/>
    <w:rsid w:val="007B2C7D"/>
    <w:rsid w:val="007B625A"/>
    <w:rsid w:val="007B75C7"/>
    <w:rsid w:val="007D3AF3"/>
    <w:rsid w:val="007E2690"/>
    <w:rsid w:val="007E4068"/>
    <w:rsid w:val="007E5B9D"/>
    <w:rsid w:val="007E7C98"/>
    <w:rsid w:val="007F5B9F"/>
    <w:rsid w:val="007F69EF"/>
    <w:rsid w:val="00810C58"/>
    <w:rsid w:val="00831519"/>
    <w:rsid w:val="00837825"/>
    <w:rsid w:val="00843091"/>
    <w:rsid w:val="00852040"/>
    <w:rsid w:val="00873A95"/>
    <w:rsid w:val="00881A2C"/>
    <w:rsid w:val="008875AD"/>
    <w:rsid w:val="008930E7"/>
    <w:rsid w:val="00896C21"/>
    <w:rsid w:val="008A39DC"/>
    <w:rsid w:val="008C4E9E"/>
    <w:rsid w:val="008C7F19"/>
    <w:rsid w:val="008D2859"/>
    <w:rsid w:val="008D5E0F"/>
    <w:rsid w:val="00912288"/>
    <w:rsid w:val="0092268D"/>
    <w:rsid w:val="009264DB"/>
    <w:rsid w:val="009317B0"/>
    <w:rsid w:val="00932FD0"/>
    <w:rsid w:val="0094660E"/>
    <w:rsid w:val="009511DD"/>
    <w:rsid w:val="00952047"/>
    <w:rsid w:val="009674D6"/>
    <w:rsid w:val="00975EA7"/>
    <w:rsid w:val="00980040"/>
    <w:rsid w:val="00980CAB"/>
    <w:rsid w:val="00995707"/>
    <w:rsid w:val="009A02D1"/>
    <w:rsid w:val="009A5F26"/>
    <w:rsid w:val="009B0083"/>
    <w:rsid w:val="009B1C4B"/>
    <w:rsid w:val="009B31CD"/>
    <w:rsid w:val="009B5458"/>
    <w:rsid w:val="009D5654"/>
    <w:rsid w:val="009E36A2"/>
    <w:rsid w:val="009E4708"/>
    <w:rsid w:val="009E5EF4"/>
    <w:rsid w:val="009E60CA"/>
    <w:rsid w:val="009E6DCC"/>
    <w:rsid w:val="009F2FC4"/>
    <w:rsid w:val="009F4B5D"/>
    <w:rsid w:val="00A020BB"/>
    <w:rsid w:val="00A061D0"/>
    <w:rsid w:val="00A109D1"/>
    <w:rsid w:val="00A31608"/>
    <w:rsid w:val="00A32385"/>
    <w:rsid w:val="00A47804"/>
    <w:rsid w:val="00A55D18"/>
    <w:rsid w:val="00A616CF"/>
    <w:rsid w:val="00A73789"/>
    <w:rsid w:val="00A76035"/>
    <w:rsid w:val="00A805BD"/>
    <w:rsid w:val="00A81F44"/>
    <w:rsid w:val="00A83672"/>
    <w:rsid w:val="00AA4A18"/>
    <w:rsid w:val="00AA6BE4"/>
    <w:rsid w:val="00AA755C"/>
    <w:rsid w:val="00AB140E"/>
    <w:rsid w:val="00AD7EC2"/>
    <w:rsid w:val="00AF3B01"/>
    <w:rsid w:val="00B1149D"/>
    <w:rsid w:val="00B12024"/>
    <w:rsid w:val="00B15B9C"/>
    <w:rsid w:val="00B32BD2"/>
    <w:rsid w:val="00B32EA5"/>
    <w:rsid w:val="00B43E8A"/>
    <w:rsid w:val="00B44133"/>
    <w:rsid w:val="00B4594F"/>
    <w:rsid w:val="00B46071"/>
    <w:rsid w:val="00B54A9F"/>
    <w:rsid w:val="00B6065C"/>
    <w:rsid w:val="00B62790"/>
    <w:rsid w:val="00B629CE"/>
    <w:rsid w:val="00B63D41"/>
    <w:rsid w:val="00B73FC4"/>
    <w:rsid w:val="00B76BCF"/>
    <w:rsid w:val="00B8401B"/>
    <w:rsid w:val="00B9681A"/>
    <w:rsid w:val="00BA04E6"/>
    <w:rsid w:val="00BB370D"/>
    <w:rsid w:val="00BB4293"/>
    <w:rsid w:val="00BC538A"/>
    <w:rsid w:val="00BD3143"/>
    <w:rsid w:val="00BE1415"/>
    <w:rsid w:val="00BE2028"/>
    <w:rsid w:val="00BE7BD0"/>
    <w:rsid w:val="00C03D0F"/>
    <w:rsid w:val="00C06706"/>
    <w:rsid w:val="00C0679C"/>
    <w:rsid w:val="00C117CA"/>
    <w:rsid w:val="00C1335C"/>
    <w:rsid w:val="00C32F3C"/>
    <w:rsid w:val="00C4176A"/>
    <w:rsid w:val="00C56A77"/>
    <w:rsid w:val="00C574C0"/>
    <w:rsid w:val="00C86066"/>
    <w:rsid w:val="00C86337"/>
    <w:rsid w:val="00C90E3B"/>
    <w:rsid w:val="00C954BF"/>
    <w:rsid w:val="00C965EA"/>
    <w:rsid w:val="00CF03BF"/>
    <w:rsid w:val="00CF7F72"/>
    <w:rsid w:val="00D04B8A"/>
    <w:rsid w:val="00D1679C"/>
    <w:rsid w:val="00D279A1"/>
    <w:rsid w:val="00D341B3"/>
    <w:rsid w:val="00D92D74"/>
    <w:rsid w:val="00D93FFB"/>
    <w:rsid w:val="00DA0434"/>
    <w:rsid w:val="00DA104F"/>
    <w:rsid w:val="00DB0834"/>
    <w:rsid w:val="00DB0C9C"/>
    <w:rsid w:val="00E0322F"/>
    <w:rsid w:val="00E05BF1"/>
    <w:rsid w:val="00E05D68"/>
    <w:rsid w:val="00E06588"/>
    <w:rsid w:val="00E167B7"/>
    <w:rsid w:val="00E220DF"/>
    <w:rsid w:val="00E242E4"/>
    <w:rsid w:val="00E256DE"/>
    <w:rsid w:val="00E272E5"/>
    <w:rsid w:val="00E3548B"/>
    <w:rsid w:val="00E6013C"/>
    <w:rsid w:val="00E710BB"/>
    <w:rsid w:val="00E86F5A"/>
    <w:rsid w:val="00E9120F"/>
    <w:rsid w:val="00E96B68"/>
    <w:rsid w:val="00EA1DC1"/>
    <w:rsid w:val="00ED64A6"/>
    <w:rsid w:val="00EE61BF"/>
    <w:rsid w:val="00EE79E4"/>
    <w:rsid w:val="00EF3F21"/>
    <w:rsid w:val="00F01F9E"/>
    <w:rsid w:val="00F1231B"/>
    <w:rsid w:val="00F36DA2"/>
    <w:rsid w:val="00F37ADE"/>
    <w:rsid w:val="00F45214"/>
    <w:rsid w:val="00F46408"/>
    <w:rsid w:val="00F47359"/>
    <w:rsid w:val="00F47B35"/>
    <w:rsid w:val="00F55D31"/>
    <w:rsid w:val="00F60B79"/>
    <w:rsid w:val="00F613CC"/>
    <w:rsid w:val="00F66EF1"/>
    <w:rsid w:val="00F70ABC"/>
    <w:rsid w:val="00F7562A"/>
    <w:rsid w:val="00F75E04"/>
    <w:rsid w:val="00F76AD0"/>
    <w:rsid w:val="00F91501"/>
    <w:rsid w:val="00F971B3"/>
    <w:rsid w:val="00FA2D1F"/>
    <w:rsid w:val="00FA2F64"/>
    <w:rsid w:val="00FB2533"/>
    <w:rsid w:val="00FB4446"/>
    <w:rsid w:val="00FC1F80"/>
    <w:rsid w:val="00FD1961"/>
    <w:rsid w:val="00FD54DF"/>
    <w:rsid w:val="00FF02CF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2E414"/>
  <w15:chartTrackingRefBased/>
  <w15:docId w15:val="{BD8005FB-12B7-4CBA-897E-E3231A5E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48B"/>
    <w:pPr>
      <w:overflowPunct w:val="0"/>
      <w:autoSpaceDE w:val="0"/>
      <w:autoSpaceDN w:val="0"/>
      <w:adjustRightInd w:val="0"/>
      <w:spacing w:before="120" w:after="120"/>
      <w:ind w:left="57" w:right="57"/>
      <w:textAlignment w:val="baseline"/>
    </w:pPr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qFormat/>
    <w:rsid w:val="00E3548B"/>
    <w:pPr>
      <w:keepNext/>
      <w:keepLines/>
      <w:spacing w:before="0"/>
      <w:outlineLvl w:val="0"/>
    </w:pPr>
    <w:rPr>
      <w:rFonts w:ascii="Calibri" w:hAnsi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3548B"/>
    <w:pPr>
      <w:keepNext/>
      <w:keepLines/>
      <w:spacing w:before="240" w:after="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2EA5"/>
    <w:pPr>
      <w:keepNext/>
      <w:keepLines/>
      <w:numPr>
        <w:numId w:val="1"/>
      </w:numPr>
      <w:spacing w:before="200"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3548B"/>
    <w:rPr>
      <w:rFonts w:ascii="Calibri" w:hAnsi="Calibri"/>
      <w:b/>
      <w:bCs/>
      <w:sz w:val="28"/>
      <w:szCs w:val="28"/>
    </w:rPr>
  </w:style>
  <w:style w:type="character" w:customStyle="1" w:styleId="Heading2Char">
    <w:name w:val="Heading 2 Char"/>
    <w:link w:val="Heading2"/>
    <w:rsid w:val="00E3548B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B32EA5"/>
    <w:rPr>
      <w:rFonts w:ascii="Cambria" w:eastAsia="Times New Roman" w:hAnsi="Cambria" w:cs="Times New Roman"/>
      <w:b/>
      <w:bCs/>
      <w:sz w:val="22"/>
    </w:rPr>
  </w:style>
  <w:style w:type="paragraph" w:customStyle="1" w:styleId="Normal-para">
    <w:name w:val="Normal-para"/>
    <w:basedOn w:val="Normal"/>
    <w:qFormat/>
    <w:rsid w:val="00B32EA5"/>
    <w:pPr>
      <w:spacing w:before="0"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spacing w:before="0"/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before="0"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qFormat/>
    <w:rsid w:val="009A02D1"/>
    <w:pPr>
      <w:tabs>
        <w:tab w:val="center" w:pos="4153"/>
        <w:tab w:val="right" w:pos="8306"/>
      </w:tabs>
      <w:overflowPunct/>
      <w:autoSpaceDE/>
      <w:autoSpaceDN/>
      <w:adjustRightInd/>
      <w:spacing w:before="0" w:after="0"/>
      <w:ind w:left="0" w:right="0"/>
      <w:jc w:val="right"/>
      <w:textAlignment w:val="auto"/>
    </w:pPr>
    <w:rPr>
      <w:color w:val="595959"/>
      <w:sz w:val="18"/>
      <w:szCs w:val="24"/>
    </w:rPr>
  </w:style>
  <w:style w:type="character" w:customStyle="1" w:styleId="HeaderChar">
    <w:name w:val="Header Char"/>
    <w:link w:val="Header"/>
    <w:rsid w:val="009A02D1"/>
    <w:rPr>
      <w:rFonts w:ascii="Cambria" w:hAnsi="Cambria"/>
      <w:color w:val="595959"/>
      <w:sz w:val="18"/>
      <w:szCs w:val="24"/>
    </w:rPr>
  </w:style>
  <w:style w:type="paragraph" w:styleId="FootnoteText">
    <w:name w:val="footnote text"/>
    <w:basedOn w:val="Normal"/>
    <w:link w:val="FootnoteTextChar"/>
    <w:qFormat/>
    <w:rsid w:val="00CF03BF"/>
    <w:pPr>
      <w:spacing w:before="0"/>
    </w:pPr>
    <w:rPr>
      <w:sz w:val="16"/>
    </w:rPr>
  </w:style>
  <w:style w:type="character" w:customStyle="1" w:styleId="FootnoteTextChar">
    <w:name w:val="Footnote Text Char"/>
    <w:link w:val="FootnoteText"/>
    <w:rsid w:val="00CF03BF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before="0"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character" w:styleId="CommentReference">
    <w:name w:val="annotation reference"/>
    <w:rsid w:val="00B460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071"/>
    <w:rPr>
      <w:sz w:val="20"/>
    </w:rPr>
  </w:style>
  <w:style w:type="character" w:customStyle="1" w:styleId="CommentTextChar">
    <w:name w:val="Comment Text Char"/>
    <w:link w:val="CommentText"/>
    <w:rsid w:val="00B46071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rsid w:val="00B46071"/>
    <w:rPr>
      <w:b/>
      <w:bCs/>
    </w:rPr>
  </w:style>
  <w:style w:type="character" w:customStyle="1" w:styleId="CommentSubjectChar">
    <w:name w:val="Comment Subject Char"/>
    <w:link w:val="CommentSubject"/>
    <w:rsid w:val="00B46071"/>
    <w:rPr>
      <w:rFonts w:ascii="Cambria" w:hAnsi="Cambria"/>
      <w:b/>
      <w:bCs/>
    </w:rPr>
  </w:style>
  <w:style w:type="paragraph" w:styleId="BalloonText">
    <w:name w:val="Balloon Text"/>
    <w:basedOn w:val="Normal"/>
    <w:link w:val="BalloonTextChar"/>
    <w:rsid w:val="00B460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6071"/>
    <w:rPr>
      <w:rFonts w:ascii="Segoe UI" w:hAnsi="Segoe UI" w:cs="Segoe UI"/>
      <w:sz w:val="18"/>
      <w:szCs w:val="18"/>
    </w:rPr>
  </w:style>
  <w:style w:type="character" w:styleId="Hyperlink">
    <w:name w:val="Hyperlink"/>
    <w:rsid w:val="005F295F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651248"/>
    <w:rPr>
      <w:sz w:val="20"/>
    </w:rPr>
  </w:style>
  <w:style w:type="character" w:customStyle="1" w:styleId="EndnoteTextChar">
    <w:name w:val="Endnote Text Char"/>
    <w:link w:val="EndnoteText"/>
    <w:rsid w:val="00651248"/>
    <w:rPr>
      <w:rFonts w:ascii="Cambria" w:hAnsi="Cambria"/>
    </w:rPr>
  </w:style>
  <w:style w:type="character" w:styleId="EndnoteReference">
    <w:name w:val="endnote reference"/>
    <w:rsid w:val="00651248"/>
    <w:rPr>
      <w:vertAlign w:val="superscript"/>
    </w:rPr>
  </w:style>
  <w:style w:type="paragraph" w:styleId="Revision">
    <w:name w:val="Revision"/>
    <w:hidden/>
    <w:uiPriority w:val="99"/>
    <w:semiHidden/>
    <w:rsid w:val="00BD3143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AFD99-81E6-4D3E-9F70-9CF3B1F44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40E61-2BC0-4DB0-AD51-39BD8F7B1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747EC-EB4C-4A97-BA76-54E2437605F3}">
  <ds:schemaRefs>
    <ds:schemaRef ds:uri="81c01dc6-2c49-4730-b140-874c95cac377"/>
    <ds:schemaRef ds:uri="http://schemas.microsoft.com/office/2006/documentManagement/types"/>
    <ds:schemaRef ds:uri="c95b51c2-b2ac-4224-a5b5-069909057829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b53c995-2120-4bc0-8922-c25044d37f6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DFDAA0-4CEA-41AD-8999-F3C39126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GENE-UP EHEC – AOAC 2020.06</vt:lpstr>
      <vt:lpstr>BACGene Salmonella spp. – AOAC 121501</vt:lpstr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GENE-UP EHEC – AOAC 2020.06</dc:title>
  <dc:subject>Approved Method Manual</dc:subject>
  <dc:creator>Department of Agriculture, Fisheries and Forestry</dc:creator>
  <cp:keywords>Microbiological Testing, Meat testing</cp:keywords>
  <cp:revision>7</cp:revision>
  <cp:lastPrinted>2025-06-03T07:22:00Z</cp:lastPrinted>
  <dcterms:created xsi:type="dcterms:W3CDTF">2025-06-03T07:20:00Z</dcterms:created>
  <dcterms:modified xsi:type="dcterms:W3CDTF">2025-06-06T05:29:00Z</dcterms:modified>
  <cp:category>Microbiological method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ClassificationContentMarkingHeaderShapeIds">
    <vt:lpwstr>49356742,45e24b0,17340948,3e47037b,79f7c027,8045058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34409e1f,70efe43a,672ed95b,9b1a2c8,48b5d8ce,5a88790d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2025-06-03T07:20:24Z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3a14dea8-659e-43e2-ba04-6fd81f18346b</vt:lpwstr>
  </property>
  <property fmtid="{D5CDD505-2E9C-101B-9397-08002B2CF9AE}" pid="15" name="MSIP_Label_933d8be6-3c40-4052-87a2-9c2adcba8759_ContentBits">
    <vt:lpwstr>3</vt:lpwstr>
  </property>
  <property fmtid="{D5CDD505-2E9C-101B-9397-08002B2CF9AE}" pid="16" name="MSIP_Label_933d8be6-3c40-4052-87a2-9c2adcba8759_Tag">
    <vt:lpwstr>10, 0, 1, 1</vt:lpwstr>
  </property>
  <property fmtid="{D5CDD505-2E9C-101B-9397-08002B2CF9AE}" pid="17" name="MediaServiceImageTags">
    <vt:lpwstr/>
  </property>
</Properties>
</file>