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CA295" w14:textId="0557431C" w:rsidR="005D4B99" w:rsidRPr="0093616D" w:rsidRDefault="00E62051">
      <w:pPr>
        <w:pStyle w:val="Heading1"/>
      </w:pPr>
      <w:r>
        <w:rPr>
          <w:rStyle w:val="Emphasis"/>
          <w:i w:val="0"/>
          <w:iCs w:val="0"/>
        </w:rPr>
        <w:t>Infection with gill-associated virus (GAV)</w:t>
      </w:r>
    </w:p>
    <w:p w14:paraId="2D05D9D0" w14:textId="7FB62D22" w:rsidR="005D4B99" w:rsidRDefault="00E62051">
      <w:pPr>
        <w:pStyle w:val="Subtitle"/>
        <w:rPr>
          <w:sz w:val="24"/>
          <w:szCs w:val="24"/>
        </w:rPr>
      </w:pPr>
      <w:r>
        <w:rPr>
          <w:sz w:val="24"/>
          <w:szCs w:val="24"/>
        </w:rPr>
        <w:t>Also known as mid-crop mortality syndrome</w:t>
      </w:r>
      <w:r w:rsidR="001A09D4">
        <w:rPr>
          <w:sz w:val="24"/>
          <w:szCs w:val="24"/>
        </w:rPr>
        <w:t xml:space="preserve"> and infection </w:t>
      </w:r>
      <w:r w:rsidR="001A09D4" w:rsidRPr="001A09D4">
        <w:rPr>
          <w:sz w:val="24"/>
          <w:szCs w:val="24"/>
        </w:rPr>
        <w:t>with yellowhead virus genotype 2 (YHV2)</w:t>
      </w:r>
    </w:p>
    <w:p w14:paraId="5481D66E" w14:textId="77777777" w:rsidR="005D4B99" w:rsidRDefault="00E62051">
      <w:pPr>
        <w:pStyle w:val="Subtitle"/>
      </w:pPr>
      <w:r>
        <w:t xml:space="preserve">From </w:t>
      </w:r>
      <w:r>
        <w:rPr>
          <w:rStyle w:val="Emphasis"/>
        </w:rPr>
        <w:t>Aquatic animal diseases significant to Australia: identification field guide</w:t>
      </w:r>
      <w:r>
        <w:t>, 5th edition</w:t>
      </w:r>
    </w:p>
    <w:p w14:paraId="140C19F2" w14:textId="7B19CD64" w:rsidR="005D4B99" w:rsidRPr="0093616D" w:rsidRDefault="00E62051">
      <w:pPr>
        <w:pStyle w:val="Caption"/>
      </w:pPr>
      <w:r>
        <w:t xml:space="preserve">Figure </w:t>
      </w:r>
      <w:r>
        <w:rPr>
          <w:noProof/>
        </w:rPr>
        <w:fldChar w:fldCharType="begin"/>
      </w:r>
      <w:r>
        <w:rPr>
          <w:noProof/>
        </w:rPr>
        <w:instrText xml:space="preserve"> SEQ Figure \* ARABIC </w:instrText>
      </w:r>
      <w:r>
        <w:rPr>
          <w:noProof/>
        </w:rPr>
        <w:fldChar w:fldCharType="separate"/>
      </w:r>
      <w:r w:rsidR="00F6282C">
        <w:rPr>
          <w:noProof/>
        </w:rPr>
        <w:t>1</w:t>
      </w:r>
      <w:r>
        <w:rPr>
          <w:noProof/>
        </w:rPr>
        <w:fldChar w:fldCharType="end"/>
      </w:r>
      <w:r>
        <w:t xml:space="preserve"> Black tiger prawn (</w:t>
      </w:r>
      <w:r>
        <w:rPr>
          <w:rStyle w:val="Emphasis"/>
        </w:rPr>
        <w:t>Penaeus monodon</w:t>
      </w:r>
      <w:r>
        <w:t xml:space="preserve">) infected with </w:t>
      </w:r>
      <w:r w:rsidR="00971AFC">
        <w:t>GAV</w:t>
      </w:r>
    </w:p>
    <w:p w14:paraId="2F4C268B" w14:textId="77777777" w:rsidR="005D4B99" w:rsidRPr="0093616D" w:rsidRDefault="00E62051">
      <w:r>
        <w:rPr>
          <w:noProof/>
          <w:lang w:eastAsia="en-AU"/>
        </w:rPr>
        <w:drawing>
          <wp:inline distT="0" distB="0" distL="0" distR="0" wp14:anchorId="095D2FE0" wp14:editId="570255AD">
            <wp:extent cx="3929785" cy="258991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VCullinan.jpg"/>
                    <pic:cNvPicPr/>
                  </pic:nvPicPr>
                  <pic:blipFill>
                    <a:blip r:embed="rId11" cstate="print">
                      <a:extLst>
                        <a:ext uri="{28A0092B-C50C-407E-A947-70E740481C1C}">
                          <a14:useLocalDpi xmlns:a14="http://schemas.microsoft.com/office/drawing/2010/main"/>
                        </a:ext>
                      </a:extLst>
                    </a:blip>
                    <a:stretch>
                      <a:fillRect/>
                    </a:stretch>
                  </pic:blipFill>
                  <pic:spPr>
                    <a:xfrm>
                      <a:off x="0" y="0"/>
                      <a:ext cx="3958510" cy="2608850"/>
                    </a:xfrm>
                    <a:prstGeom prst="rect">
                      <a:avLst/>
                    </a:prstGeom>
                  </pic:spPr>
                </pic:pic>
              </a:graphicData>
            </a:graphic>
          </wp:inline>
        </w:drawing>
      </w:r>
    </w:p>
    <w:p w14:paraId="176F5CDE" w14:textId="77777777" w:rsidR="005D4B99" w:rsidRDefault="00E62051">
      <w:pPr>
        <w:pStyle w:val="FigureTableNoteSource"/>
      </w:pPr>
      <w:r>
        <w:t>Note: Red colouration of prawn appendages and tail.</w:t>
      </w:r>
    </w:p>
    <w:p w14:paraId="264A773C" w14:textId="77777777" w:rsidR="005D4B99" w:rsidRDefault="00E62051">
      <w:pPr>
        <w:pStyle w:val="FigureTableNoteSource"/>
      </w:pPr>
      <w:r>
        <w:t xml:space="preserve">Source: D </w:t>
      </w:r>
      <w:proofErr w:type="spellStart"/>
      <w:r>
        <w:t>Callinan</w:t>
      </w:r>
      <w:proofErr w:type="spellEnd"/>
    </w:p>
    <w:p w14:paraId="3D61ABA5" w14:textId="2509D40D" w:rsidR="005D4B99" w:rsidRDefault="00E62051">
      <w:pPr>
        <w:pStyle w:val="Heading2"/>
        <w:keepLines/>
      </w:pPr>
      <w:r>
        <w:t>Signs of disease</w:t>
      </w:r>
    </w:p>
    <w:p w14:paraId="6702B7B9" w14:textId="77777777" w:rsidR="005D4B99" w:rsidRDefault="00E62051">
      <w:pPr>
        <w:keepNext/>
        <w:keepLines/>
      </w:pPr>
      <w:r>
        <w:rPr>
          <w:lang w:eastAsia="ja-JP"/>
        </w:rPr>
        <w:t xml:space="preserve">Important: Animals with this disease may show one or more of these signs, but the pathogen may </w:t>
      </w:r>
      <w:r>
        <w:t>still be present in the absence of any signs.</w:t>
      </w:r>
    </w:p>
    <w:p w14:paraId="6E4F2BCA" w14:textId="77777777" w:rsidR="005D4B99" w:rsidRDefault="00E62051">
      <w:pPr>
        <w:pStyle w:val="ListBullet"/>
        <w:numPr>
          <w:ilvl w:val="0"/>
          <w:numId w:val="0"/>
        </w:numPr>
        <w:ind w:left="425" w:hanging="425"/>
        <w:rPr>
          <w:lang w:eastAsia="ja-JP"/>
        </w:rPr>
      </w:pPr>
      <w:r>
        <w:rPr>
          <w:lang w:eastAsia="ja-JP"/>
        </w:rPr>
        <w:t>Disease signs at the farm, tank or pond level are:</w:t>
      </w:r>
    </w:p>
    <w:p w14:paraId="6E4FE0B0" w14:textId="0518B537" w:rsidR="005D4B99" w:rsidRDefault="00E62051">
      <w:pPr>
        <w:pStyle w:val="ListBullet"/>
      </w:pPr>
      <w:r>
        <w:t>high mortality (up to 80%)</w:t>
      </w:r>
    </w:p>
    <w:p w14:paraId="096BA6F8" w14:textId="77777777" w:rsidR="005D4B99" w:rsidRDefault="00E62051">
      <w:pPr>
        <w:pStyle w:val="ListBullet"/>
      </w:pPr>
      <w:r>
        <w:t>moribund prawns aggregating near the surface at pond edges</w:t>
      </w:r>
    </w:p>
    <w:p w14:paraId="01F12248" w14:textId="77777777" w:rsidR="005D4B99" w:rsidRDefault="00E62051">
      <w:pPr>
        <w:pStyle w:val="ListBullet"/>
      </w:pPr>
      <w:r>
        <w:t>initial increase in feeding at an abnormally high rate, followed by a sudden decline.</w:t>
      </w:r>
    </w:p>
    <w:p w14:paraId="1ABCE1C0" w14:textId="77777777" w:rsidR="005D4B99" w:rsidRDefault="00E62051">
      <w:pPr>
        <w:pStyle w:val="ListBullet"/>
        <w:numPr>
          <w:ilvl w:val="0"/>
          <w:numId w:val="0"/>
        </w:numPr>
        <w:ind w:left="425" w:hanging="425"/>
        <w:rPr>
          <w:lang w:eastAsia="ja-JP"/>
        </w:rPr>
      </w:pPr>
      <w:r>
        <w:rPr>
          <w:lang w:eastAsia="ja-JP"/>
        </w:rPr>
        <w:t>Gross pathological signs are:</w:t>
      </w:r>
    </w:p>
    <w:p w14:paraId="5B2D4211" w14:textId="77777777" w:rsidR="005D4B99" w:rsidRDefault="00E62051">
      <w:pPr>
        <w:pStyle w:val="ListBullet"/>
      </w:pPr>
      <w:r>
        <w:t>reddening of body and appendages</w:t>
      </w:r>
    </w:p>
    <w:p w14:paraId="724C634F" w14:textId="77777777" w:rsidR="005D4B99" w:rsidRDefault="00E62051">
      <w:pPr>
        <w:pStyle w:val="ListBullet"/>
      </w:pPr>
      <w:r>
        <w:t xml:space="preserve">biofouling with </w:t>
      </w:r>
      <w:proofErr w:type="spellStart"/>
      <w:r>
        <w:t>exoparasites</w:t>
      </w:r>
      <w:proofErr w:type="spellEnd"/>
    </w:p>
    <w:p w14:paraId="778AC56E" w14:textId="77777777" w:rsidR="005D4B99" w:rsidRDefault="00E62051">
      <w:pPr>
        <w:pStyle w:val="ListBullet"/>
      </w:pPr>
      <w:r>
        <w:t>emaciation</w:t>
      </w:r>
    </w:p>
    <w:p w14:paraId="21C5175B" w14:textId="77777777" w:rsidR="005D4B99" w:rsidRDefault="00E62051">
      <w:pPr>
        <w:pStyle w:val="ListBullet"/>
      </w:pPr>
      <w:r>
        <w:t>pink to yellow colouration of the gills.</w:t>
      </w:r>
    </w:p>
    <w:p w14:paraId="211DC46B" w14:textId="77777777" w:rsidR="005D4B99" w:rsidRDefault="00E62051">
      <w:pPr>
        <w:pStyle w:val="ListBullet"/>
        <w:numPr>
          <w:ilvl w:val="0"/>
          <w:numId w:val="0"/>
        </w:numPr>
        <w:rPr>
          <w:lang w:eastAsia="ja-JP"/>
        </w:rPr>
      </w:pPr>
      <w:r>
        <w:rPr>
          <w:lang w:eastAsia="ja-JP"/>
        </w:rPr>
        <w:t>Microscopic pathological signs are:</w:t>
      </w:r>
    </w:p>
    <w:p w14:paraId="0E0505DB" w14:textId="77777777" w:rsidR="005D4B99" w:rsidRDefault="00E62051">
      <w:pPr>
        <w:pStyle w:val="ListBullet"/>
      </w:pPr>
      <w:r>
        <w:t>lymphoid organ necrosis (hypertrophied nuclei, marginated chromatin and vacuolation).</w:t>
      </w:r>
    </w:p>
    <w:p w14:paraId="71BE52E2" w14:textId="77777777" w:rsidR="005D4B99" w:rsidRDefault="00E62051">
      <w:pPr>
        <w:pStyle w:val="Heading2"/>
      </w:pPr>
      <w:r>
        <w:lastRenderedPageBreak/>
        <w:t>Disease agent</w:t>
      </w:r>
    </w:p>
    <w:p w14:paraId="2D7EAE60" w14:textId="38E20156" w:rsidR="005D4B99" w:rsidRDefault="005315B6">
      <w:r>
        <w:t>GAV</w:t>
      </w:r>
      <w:r w:rsidR="00E62051">
        <w:t xml:space="preserve"> is also known as YHV2, which is genotype 2 of at least 10 genotypes in the yellowhead complex of viruses. GAV is the type species of the genus </w:t>
      </w:r>
      <w:proofErr w:type="spellStart"/>
      <w:r w:rsidR="00E62051">
        <w:rPr>
          <w:rStyle w:val="Emphasis"/>
        </w:rPr>
        <w:t>Okavirus</w:t>
      </w:r>
      <w:proofErr w:type="spellEnd"/>
      <w:r w:rsidR="00E62051">
        <w:t xml:space="preserve">, in the family </w:t>
      </w:r>
      <w:proofErr w:type="spellStart"/>
      <w:r w:rsidR="00E62051">
        <w:rPr>
          <w:rStyle w:val="Emphasis"/>
        </w:rPr>
        <w:t>Roniviridae</w:t>
      </w:r>
      <w:proofErr w:type="spellEnd"/>
      <w:r w:rsidR="00E62051">
        <w:t xml:space="preserve"> and order </w:t>
      </w:r>
      <w:proofErr w:type="spellStart"/>
      <w:r w:rsidR="00E62051">
        <w:t>Nidovirales</w:t>
      </w:r>
      <w:proofErr w:type="spellEnd"/>
      <w:r w:rsidR="00E62051">
        <w:t>.</w:t>
      </w:r>
    </w:p>
    <w:p w14:paraId="6FF45F88" w14:textId="4D22BDF2" w:rsidR="005D4B99" w:rsidRDefault="00E62051">
      <w:r>
        <w:t>Comparison of DNA sequences indicates that GAV and yellowhead virus genotype</w:t>
      </w:r>
      <w:r w:rsidR="00B71D24">
        <w:t> </w:t>
      </w:r>
      <w:r>
        <w:t>1 (YHV1) are closely related but have distinctly different genotypes, sharing 85% of their genetic material. Natural genetic recombination between GAV and other genotypes in the yellowhead complex has been reported outside Australia.</w:t>
      </w:r>
    </w:p>
    <w:p w14:paraId="0D01C943" w14:textId="64059A78" w:rsidR="005D4B99" w:rsidRDefault="00E62051">
      <w:r>
        <w:t xml:space="preserve">Other known genotypes in the complex (genotypes 3 to 10) occur in </w:t>
      </w:r>
      <w:r>
        <w:rPr>
          <w:rStyle w:val="Emphasis"/>
        </w:rPr>
        <w:t>Penaeus monodon</w:t>
      </w:r>
      <w:r>
        <w:t xml:space="preserve"> in East Africa, Asia and Australia. Most are rarely or never associated with disease.</w:t>
      </w:r>
    </w:p>
    <w:p w14:paraId="1892D5B3" w14:textId="77777777" w:rsidR="005D4B99" w:rsidRDefault="00E62051">
      <w:pPr>
        <w:pStyle w:val="Heading2"/>
      </w:pPr>
      <w:r>
        <w:t>Host range</w:t>
      </w:r>
    </w:p>
    <w:p w14:paraId="77230C6A" w14:textId="5901D336" w:rsidR="005D4B99" w:rsidRDefault="00E62051" w:rsidP="004639DC">
      <w:pPr>
        <w:pStyle w:val="Caption"/>
      </w:pPr>
      <w:bookmarkStart w:id="0" w:name="_Ref12437484"/>
      <w:r>
        <w:t xml:space="preserve">Table </w:t>
      </w:r>
      <w:r>
        <w:rPr>
          <w:noProof/>
        </w:rPr>
        <w:fldChar w:fldCharType="begin"/>
      </w:r>
      <w:r>
        <w:rPr>
          <w:noProof/>
        </w:rPr>
        <w:instrText xml:space="preserve"> SEQ Table \* ARABIC </w:instrText>
      </w:r>
      <w:r>
        <w:rPr>
          <w:noProof/>
        </w:rPr>
        <w:fldChar w:fldCharType="separate"/>
      </w:r>
      <w:r w:rsidR="00F6282C">
        <w:rPr>
          <w:noProof/>
        </w:rPr>
        <w:t>1</w:t>
      </w:r>
      <w:r>
        <w:rPr>
          <w:noProof/>
        </w:rPr>
        <w:fldChar w:fldCharType="end"/>
      </w:r>
      <w:bookmarkEnd w:id="0"/>
      <w:r>
        <w:t xml:space="preserve"> Species known to be susceptible to infection with GAV</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5D4B99" w14:paraId="2403A8EB" w14:textId="77777777" w:rsidTr="00E62051">
        <w:trPr>
          <w:cantSplit/>
          <w:tblHeader/>
        </w:trPr>
        <w:tc>
          <w:tcPr>
            <w:tcW w:w="2500" w:type="pct"/>
            <w:tcBorders>
              <w:top w:val="single" w:sz="4" w:space="0" w:color="auto"/>
              <w:bottom w:val="single" w:sz="4" w:space="0" w:color="auto"/>
            </w:tcBorders>
            <w:noWrap/>
          </w:tcPr>
          <w:p w14:paraId="16A044C8" w14:textId="77777777" w:rsidR="005D4B99" w:rsidRDefault="00E62051">
            <w:pPr>
              <w:pStyle w:val="TableHeading"/>
            </w:pPr>
            <w:r>
              <w:t>Common name</w:t>
            </w:r>
          </w:p>
        </w:tc>
        <w:tc>
          <w:tcPr>
            <w:tcW w:w="2500" w:type="pct"/>
            <w:tcBorders>
              <w:top w:val="single" w:sz="4" w:space="0" w:color="auto"/>
              <w:bottom w:val="single" w:sz="4" w:space="0" w:color="auto"/>
            </w:tcBorders>
            <w:noWrap/>
          </w:tcPr>
          <w:p w14:paraId="1D7B7351" w14:textId="77777777" w:rsidR="005D4B99" w:rsidRDefault="00E62051">
            <w:pPr>
              <w:pStyle w:val="TableHeading"/>
            </w:pPr>
            <w:r>
              <w:t>Scientific name</w:t>
            </w:r>
          </w:p>
        </w:tc>
      </w:tr>
      <w:tr w:rsidR="005D4B99" w14:paraId="3BD2D6EB" w14:textId="77777777">
        <w:trPr>
          <w:cantSplit/>
          <w:trHeight w:val="315"/>
        </w:trPr>
        <w:tc>
          <w:tcPr>
            <w:tcW w:w="2500" w:type="pct"/>
            <w:tcBorders>
              <w:top w:val="single" w:sz="4" w:space="0" w:color="auto"/>
            </w:tcBorders>
            <w:noWrap/>
          </w:tcPr>
          <w:p w14:paraId="3B740594" w14:textId="77777777" w:rsidR="005D4B99" w:rsidRDefault="00E62051">
            <w:pPr>
              <w:pStyle w:val="TableText"/>
            </w:pPr>
            <w:r>
              <w:t xml:space="preserve">Black tiger </w:t>
            </w:r>
            <w:proofErr w:type="spellStart"/>
            <w:r>
              <w:t>prawn</w:t>
            </w:r>
            <w:r>
              <w:rPr>
                <w:vertAlign w:val="superscript"/>
              </w:rPr>
              <w:t>a</w:t>
            </w:r>
            <w:proofErr w:type="spellEnd"/>
          </w:p>
        </w:tc>
        <w:tc>
          <w:tcPr>
            <w:tcW w:w="2500" w:type="pct"/>
            <w:tcBorders>
              <w:top w:val="single" w:sz="4" w:space="0" w:color="auto"/>
            </w:tcBorders>
            <w:noWrap/>
          </w:tcPr>
          <w:p w14:paraId="6D06E02C" w14:textId="77777777" w:rsidR="005D4B99" w:rsidRDefault="00E62051">
            <w:pPr>
              <w:pStyle w:val="TableText"/>
              <w:rPr>
                <w:rStyle w:val="Emphasis"/>
              </w:rPr>
            </w:pPr>
            <w:r>
              <w:rPr>
                <w:rStyle w:val="Emphasis"/>
              </w:rPr>
              <w:t>Penaeus monodon</w:t>
            </w:r>
          </w:p>
        </w:tc>
      </w:tr>
      <w:tr w:rsidR="005D4B99" w14:paraId="58ACE466" w14:textId="77777777">
        <w:trPr>
          <w:cantSplit/>
          <w:trHeight w:val="315"/>
        </w:trPr>
        <w:tc>
          <w:tcPr>
            <w:tcW w:w="2500" w:type="pct"/>
            <w:noWrap/>
          </w:tcPr>
          <w:p w14:paraId="228BD49B" w14:textId="77777777" w:rsidR="005D4B99" w:rsidRDefault="00E62051">
            <w:pPr>
              <w:pStyle w:val="TableText"/>
            </w:pPr>
            <w:r>
              <w:t>Brown tiger prawn</w:t>
            </w:r>
          </w:p>
        </w:tc>
        <w:tc>
          <w:tcPr>
            <w:tcW w:w="2500" w:type="pct"/>
            <w:noWrap/>
          </w:tcPr>
          <w:p w14:paraId="696812FA" w14:textId="77777777" w:rsidR="005D4B99" w:rsidRDefault="00E62051">
            <w:pPr>
              <w:pStyle w:val="TableText"/>
              <w:rPr>
                <w:rStyle w:val="Emphasis"/>
                <w:rFonts w:eastAsia="SimSun"/>
              </w:rPr>
            </w:pPr>
            <w:r>
              <w:rPr>
                <w:rStyle w:val="Emphasis"/>
              </w:rPr>
              <w:t xml:space="preserve">Penaeus </w:t>
            </w:r>
            <w:proofErr w:type="spellStart"/>
            <w:r>
              <w:rPr>
                <w:rStyle w:val="Emphasis"/>
              </w:rPr>
              <w:t>esculentus</w:t>
            </w:r>
            <w:proofErr w:type="spellEnd"/>
          </w:p>
        </w:tc>
      </w:tr>
      <w:tr w:rsidR="005D4B99" w14:paraId="6E6D4355" w14:textId="77777777">
        <w:trPr>
          <w:cantSplit/>
          <w:trHeight w:val="315"/>
        </w:trPr>
        <w:tc>
          <w:tcPr>
            <w:tcW w:w="2500" w:type="pct"/>
            <w:noWrap/>
          </w:tcPr>
          <w:p w14:paraId="7BC30640" w14:textId="77777777" w:rsidR="005D4B99" w:rsidRDefault="00E62051">
            <w:pPr>
              <w:pStyle w:val="TableText"/>
            </w:pPr>
            <w:r>
              <w:t>Gulf banana prawn</w:t>
            </w:r>
          </w:p>
        </w:tc>
        <w:tc>
          <w:tcPr>
            <w:tcW w:w="2500" w:type="pct"/>
            <w:noWrap/>
          </w:tcPr>
          <w:p w14:paraId="03D3C65B" w14:textId="77777777" w:rsidR="005D4B99" w:rsidRDefault="00E62051">
            <w:pPr>
              <w:pStyle w:val="TableText"/>
              <w:rPr>
                <w:rStyle w:val="Emphasis"/>
                <w:rFonts w:eastAsia="SimSun"/>
              </w:rPr>
            </w:pPr>
            <w:r>
              <w:rPr>
                <w:rStyle w:val="Emphasis"/>
              </w:rPr>
              <w:t>Penaeus</w:t>
            </w:r>
            <w:r>
              <w:t xml:space="preserve"> </w:t>
            </w:r>
            <w:r>
              <w:rPr>
                <w:rStyle w:val="Emphasis"/>
              </w:rPr>
              <w:t>(</w:t>
            </w:r>
            <w:proofErr w:type="spellStart"/>
            <w:r>
              <w:rPr>
                <w:rStyle w:val="Emphasis"/>
              </w:rPr>
              <w:t>Fenneropenaeus</w:t>
            </w:r>
            <w:proofErr w:type="spellEnd"/>
            <w:r>
              <w:rPr>
                <w:rStyle w:val="Emphasis"/>
              </w:rPr>
              <w:t xml:space="preserve">) </w:t>
            </w:r>
            <w:proofErr w:type="spellStart"/>
            <w:r>
              <w:rPr>
                <w:rStyle w:val="Emphasis"/>
              </w:rPr>
              <w:t>merguiensis</w:t>
            </w:r>
            <w:proofErr w:type="spellEnd"/>
          </w:p>
        </w:tc>
      </w:tr>
      <w:tr w:rsidR="005D4B99" w14:paraId="100656DA" w14:textId="77777777">
        <w:trPr>
          <w:cantSplit/>
          <w:trHeight w:val="315"/>
        </w:trPr>
        <w:tc>
          <w:tcPr>
            <w:tcW w:w="2500" w:type="pct"/>
            <w:noWrap/>
          </w:tcPr>
          <w:p w14:paraId="70BD0F82" w14:textId="77777777" w:rsidR="005D4B99" w:rsidRDefault="00E62051">
            <w:pPr>
              <w:pStyle w:val="TableText"/>
            </w:pPr>
            <w:r>
              <w:t>Kuruma prawn</w:t>
            </w:r>
          </w:p>
        </w:tc>
        <w:tc>
          <w:tcPr>
            <w:tcW w:w="2500" w:type="pct"/>
            <w:noWrap/>
          </w:tcPr>
          <w:p w14:paraId="2008E357" w14:textId="77777777" w:rsidR="005D4B99" w:rsidRDefault="00E62051">
            <w:pPr>
              <w:pStyle w:val="TableText"/>
              <w:rPr>
                <w:rStyle w:val="Emphasis"/>
              </w:rPr>
            </w:pPr>
            <w:r>
              <w:rPr>
                <w:rStyle w:val="Emphasis"/>
              </w:rPr>
              <w:t>Penaeus</w:t>
            </w:r>
            <w:r>
              <w:t xml:space="preserve"> </w:t>
            </w:r>
            <w:r>
              <w:rPr>
                <w:rStyle w:val="Emphasis"/>
              </w:rPr>
              <w:t>(</w:t>
            </w:r>
            <w:proofErr w:type="spellStart"/>
            <w:r>
              <w:rPr>
                <w:rStyle w:val="Emphasis"/>
              </w:rPr>
              <w:t>Marsupenaeus</w:t>
            </w:r>
            <w:proofErr w:type="spellEnd"/>
            <w:r>
              <w:rPr>
                <w:rStyle w:val="Emphasis"/>
              </w:rPr>
              <w:t>) japonicus</w:t>
            </w:r>
          </w:p>
        </w:tc>
      </w:tr>
    </w:tbl>
    <w:p w14:paraId="5E3E9F4B" w14:textId="140F86E4" w:rsidR="005D4B99" w:rsidRDefault="00E62051">
      <w:pPr>
        <w:pStyle w:val="FigureTableNoteSource"/>
      </w:pPr>
      <w:r>
        <w:rPr>
          <w:rStyle w:val="Strong"/>
        </w:rPr>
        <w:t>a</w:t>
      </w:r>
      <w:r>
        <w:t xml:space="preserve"> Naturally susceptible</w:t>
      </w:r>
      <w:r w:rsidR="006763C7">
        <w:t>. Note: O</w:t>
      </w:r>
      <w:r w:rsidR="00B71D24">
        <w:t xml:space="preserve">ther species have been shown to be </w:t>
      </w:r>
      <w:r w:rsidR="006763C7">
        <w:t>experimentally susceptible</w:t>
      </w:r>
      <w:r w:rsidR="004639DC">
        <w:t>.</w:t>
      </w:r>
    </w:p>
    <w:p w14:paraId="2371DFA2" w14:textId="77777777" w:rsidR="005D4B99" w:rsidRDefault="00E62051">
      <w:pPr>
        <w:pStyle w:val="Heading2"/>
        <w:keepLines/>
      </w:pPr>
      <w:r>
        <w:t>Presence in Australia</w:t>
      </w:r>
    </w:p>
    <w:p w14:paraId="3CFFA20F" w14:textId="77777777" w:rsidR="005D4B99" w:rsidRDefault="00E62051">
      <w:pPr>
        <w:keepNext/>
        <w:keepLines/>
      </w:pPr>
      <w:r>
        <w:t>GAV has been officially reported from New South Wales, Queensland, the Northern Territory and Western Australia. Other genotypes within the yellowhead complex are known to occur in Australia, including YHV6 and YHV7.</w:t>
      </w:r>
    </w:p>
    <w:p w14:paraId="35F8DD09" w14:textId="01C41E51" w:rsidR="005D4B99" w:rsidRDefault="00E62051">
      <w:pPr>
        <w:pStyle w:val="Caption"/>
      </w:pPr>
      <w:r>
        <w:t xml:space="preserve">Map </w:t>
      </w:r>
      <w:r>
        <w:rPr>
          <w:noProof/>
        </w:rPr>
        <w:fldChar w:fldCharType="begin"/>
      </w:r>
      <w:r>
        <w:rPr>
          <w:noProof/>
        </w:rPr>
        <w:instrText xml:space="preserve"> SEQ Map \* ARABIC </w:instrText>
      </w:r>
      <w:r>
        <w:rPr>
          <w:noProof/>
        </w:rPr>
        <w:fldChar w:fldCharType="separate"/>
      </w:r>
      <w:r w:rsidR="00F6282C">
        <w:rPr>
          <w:noProof/>
        </w:rPr>
        <w:t>1</w:t>
      </w:r>
      <w:r>
        <w:rPr>
          <w:noProof/>
        </w:rPr>
        <w:fldChar w:fldCharType="end"/>
      </w:r>
      <w:r>
        <w:t xml:space="preserve"> Presence of GAV, by jurisdiction</w:t>
      </w:r>
    </w:p>
    <w:p w14:paraId="274475F7" w14:textId="77777777" w:rsidR="005D4B99" w:rsidRDefault="00E62051">
      <w:r>
        <w:rPr>
          <w:noProof/>
          <w:lang w:eastAsia="en-AU"/>
        </w:rPr>
        <w:drawing>
          <wp:inline distT="0" distB="0" distL="0" distR="0" wp14:anchorId="1EE42CFB" wp14:editId="329E57FA">
            <wp:extent cx="4145621" cy="295200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 has been officially reported from New South Wales, Queensland, the Northern Territory and Western Australia. "/>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4145621" cy="2952000"/>
                    </a:xfrm>
                    <a:prstGeom prst="rect">
                      <a:avLst/>
                    </a:prstGeom>
                    <a:noFill/>
                    <a:ln>
                      <a:noFill/>
                    </a:ln>
                  </pic:spPr>
                </pic:pic>
              </a:graphicData>
            </a:graphic>
          </wp:inline>
        </w:drawing>
      </w:r>
    </w:p>
    <w:p w14:paraId="086E5A74" w14:textId="77777777" w:rsidR="005D4B99" w:rsidRDefault="00E62051">
      <w:pPr>
        <w:pStyle w:val="Heading2"/>
      </w:pPr>
      <w:r>
        <w:lastRenderedPageBreak/>
        <w:t>Epidemiology</w:t>
      </w:r>
    </w:p>
    <w:p w14:paraId="0C90BFD4" w14:textId="77777777" w:rsidR="005D4B99" w:rsidRDefault="00E62051">
      <w:r>
        <w:t>The epidemiology of GAV is thought to be very similar to that of yellowhead virus:</w:t>
      </w:r>
    </w:p>
    <w:p w14:paraId="281BD786" w14:textId="77777777" w:rsidR="005D4B99" w:rsidRDefault="00E62051">
      <w:pPr>
        <w:pStyle w:val="ListBullet"/>
      </w:pPr>
      <w:r>
        <w:t>Transmission can be horizontal, directly from the water column and through ingestion of infected material.</w:t>
      </w:r>
    </w:p>
    <w:p w14:paraId="4F27E94D" w14:textId="77777777" w:rsidR="005D4B99" w:rsidRDefault="00E62051">
      <w:pPr>
        <w:pStyle w:val="ListBullet"/>
      </w:pPr>
      <w:r>
        <w:t>Vertical transmission can occur via surface contamination or infection of tissue surrounding the fertilised egg.</w:t>
      </w:r>
    </w:p>
    <w:p w14:paraId="492DFC99" w14:textId="77777777" w:rsidR="005D4B99" w:rsidRDefault="00E62051">
      <w:pPr>
        <w:pStyle w:val="ListBullet"/>
      </w:pPr>
      <w:r>
        <w:t>Viral multiplication and disease appear to be induced by environmental stress.</w:t>
      </w:r>
    </w:p>
    <w:p w14:paraId="04405A52" w14:textId="77777777" w:rsidR="005D4B99" w:rsidRDefault="00E62051">
      <w:pPr>
        <w:pStyle w:val="ListBullet"/>
      </w:pPr>
      <w:r>
        <w:t>Mortality usually occurs among early to late juvenile stages in rearing ponds.</w:t>
      </w:r>
    </w:p>
    <w:p w14:paraId="33D59C02" w14:textId="0002A691" w:rsidR="005D4B99" w:rsidRDefault="00E62051">
      <w:pPr>
        <w:pStyle w:val="ListBullet"/>
      </w:pPr>
      <w:r>
        <w:t>Experimental infections with GAV indicate that larger (approximately 20g) Kuruma prawns are less susceptible to disease than smaller (approximately 6 to 13g) prawns of the same species.</w:t>
      </w:r>
    </w:p>
    <w:p w14:paraId="24CED69D" w14:textId="00BCAC92" w:rsidR="005D4B99" w:rsidRDefault="00E62051">
      <w:pPr>
        <w:pStyle w:val="ListBullet"/>
      </w:pPr>
      <w:r>
        <w:t>GAV has been associated with mortalities of up to 80% in black tiger prawn ponds in Australia.</w:t>
      </w:r>
    </w:p>
    <w:p w14:paraId="2E0C0F5E" w14:textId="4439CB11" w:rsidR="005D4B99" w:rsidRDefault="00E62051">
      <w:r>
        <w:t xml:space="preserve">GAV genotypes YHV2 and YHV7 occur commonly as a chronic infection in healthy </w:t>
      </w:r>
      <w:proofErr w:type="spellStart"/>
      <w:r>
        <w:t>broodstock</w:t>
      </w:r>
      <w:proofErr w:type="spellEnd"/>
      <w:r>
        <w:t xml:space="preserve"> and farmed black tiger prawns in eastern Australia. YHV2 has also been associated with acute infections and disease outbreaks in ponds, causing high mortality. However, it produces gross signs and patterns of tissue tropism that differ from those for yellowhead virus</w:t>
      </w:r>
      <w:r w:rsidR="00340395">
        <w:t xml:space="preserve"> genotype 1</w:t>
      </w:r>
      <w:r>
        <w:t>.</w:t>
      </w:r>
    </w:p>
    <w:p w14:paraId="1FB643D2" w14:textId="77777777" w:rsidR="005D4B99" w:rsidRDefault="00E62051">
      <w:pPr>
        <w:pStyle w:val="Heading2"/>
        <w:keepLines/>
      </w:pPr>
      <w:r>
        <w:t>Differential diagnosis</w:t>
      </w:r>
    </w:p>
    <w:p w14:paraId="7C73FC00" w14:textId="2210047D" w:rsidR="005D4B99" w:rsidRDefault="00E62051">
      <w:pPr>
        <w:keepNext/>
        <w:keepLines/>
      </w:pPr>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6763C7" w:rsidRPr="006763C7">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08977E32" w14:textId="77777777" w:rsidR="005D4B99" w:rsidRDefault="00E62051">
      <w:pPr>
        <w:pStyle w:val="Heading2"/>
      </w:pPr>
      <w:bookmarkStart w:id="1" w:name="_Similar_diseases"/>
      <w:bookmarkEnd w:id="1"/>
      <w:r>
        <w:t>Similar diseases</w:t>
      </w:r>
    </w:p>
    <w:p w14:paraId="36D0F0BF" w14:textId="669B4E9A" w:rsidR="005D4B99" w:rsidRDefault="00E62051">
      <w:r>
        <w:t>Infection with yellowhead virus genotype 1 (YHV1).</w:t>
      </w:r>
    </w:p>
    <w:p w14:paraId="08B0AC27" w14:textId="5C2A5F12" w:rsidR="005D4B99" w:rsidRDefault="00E62051">
      <w:r>
        <w:t>GAV and YHV1 are closely related viruses, so molecular testing is required to discriminate between the two disease agents and between other YHV genotypes that are endemic to Australia (YHV6 and YHV7).</w:t>
      </w:r>
    </w:p>
    <w:p w14:paraId="7CC902B2" w14:textId="77777777" w:rsidR="005D4B99" w:rsidRDefault="00E62051">
      <w:pPr>
        <w:pStyle w:val="Heading2"/>
      </w:pPr>
      <w:r>
        <w:t>Sample collection</w:t>
      </w:r>
    </w:p>
    <w:p w14:paraId="394411A4" w14:textId="388260C0" w:rsidR="005D4B99" w:rsidRDefault="00B71D24">
      <w:r w:rsidRPr="00B71D24">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03659C72" w14:textId="77777777" w:rsidR="005D4B99" w:rsidRDefault="00E62051">
      <w:pPr>
        <w:pStyle w:val="Heading2"/>
      </w:pPr>
      <w:r>
        <w:t>Emergency disease hotline</w:t>
      </w:r>
    </w:p>
    <w:p w14:paraId="6C2F690C" w14:textId="77777777" w:rsidR="005D4B99" w:rsidRDefault="00E62051">
      <w:r>
        <w:t>See something you think is this disease? Report it. Even if you’re not sure.</w:t>
      </w:r>
    </w:p>
    <w:p w14:paraId="71DDF4EE" w14:textId="17FD58B4" w:rsidR="005D4B99" w:rsidRDefault="00E62051">
      <w:r>
        <w:t xml:space="preserve">Call the Emergency Animal Disease Watch Hotline on </w:t>
      </w:r>
      <w:r w:rsidR="004B09C7">
        <w:rPr>
          <w:rStyle w:val="Strong"/>
        </w:rPr>
        <w:t>1800 675 888</w:t>
      </w:r>
      <w:r>
        <w:t>. They will refer you to the right state or territory agency.</w:t>
      </w:r>
    </w:p>
    <w:p w14:paraId="6B0A4D2A" w14:textId="77777777" w:rsidR="005D4B99" w:rsidRDefault="00E62051">
      <w:pPr>
        <w:pStyle w:val="Heading2"/>
      </w:pPr>
      <w:r>
        <w:lastRenderedPageBreak/>
        <w:t>Microscope images</w:t>
      </w:r>
    </w:p>
    <w:p w14:paraId="053F2418" w14:textId="2243D869" w:rsidR="005D4B99" w:rsidRDefault="00E62051">
      <w:pPr>
        <w:pStyle w:val="Caption"/>
      </w:pPr>
      <w:r>
        <w:t xml:space="preserve">Figure </w:t>
      </w:r>
      <w:r>
        <w:rPr>
          <w:noProof/>
        </w:rPr>
        <w:fldChar w:fldCharType="begin"/>
      </w:r>
      <w:r>
        <w:rPr>
          <w:noProof/>
        </w:rPr>
        <w:instrText xml:space="preserve"> SEQ Figure \* ARABIC </w:instrText>
      </w:r>
      <w:r>
        <w:rPr>
          <w:noProof/>
        </w:rPr>
        <w:fldChar w:fldCharType="separate"/>
      </w:r>
      <w:r w:rsidR="00F6282C">
        <w:rPr>
          <w:noProof/>
        </w:rPr>
        <w:t>2</w:t>
      </w:r>
      <w:r>
        <w:rPr>
          <w:noProof/>
        </w:rPr>
        <w:fldChar w:fldCharType="end"/>
      </w:r>
      <w:r>
        <w:t xml:space="preserve"> </w:t>
      </w:r>
      <w:r>
        <w:rPr>
          <w:szCs w:val="22"/>
        </w:rPr>
        <w:t>Histopathology of lymphoid organ of b</w:t>
      </w:r>
      <w:r>
        <w:t>lack tiger prawn (</w:t>
      </w:r>
      <w:r>
        <w:rPr>
          <w:rStyle w:val="Emphasis"/>
        </w:rPr>
        <w:t>Penaeus monodon</w:t>
      </w:r>
      <w:r>
        <w:t xml:space="preserve">) </w:t>
      </w:r>
      <w:r w:rsidR="006763C7">
        <w:rPr>
          <w:szCs w:val="22"/>
        </w:rPr>
        <w:t>infected with </w:t>
      </w:r>
      <w:r w:rsidR="00971AFC">
        <w:rPr>
          <w:szCs w:val="22"/>
        </w:rPr>
        <w:t>GAV</w:t>
      </w:r>
    </w:p>
    <w:p w14:paraId="62586C7B" w14:textId="77777777" w:rsidR="005D4B99" w:rsidRPr="0093616D" w:rsidRDefault="00E62051">
      <w:r>
        <w:rPr>
          <w:noProof/>
          <w:lang w:eastAsia="en-AU"/>
        </w:rPr>
        <w:drawing>
          <wp:inline distT="0" distB="0" distL="0" distR="0" wp14:anchorId="7FA1CD89" wp14:editId="7D56F80D">
            <wp:extent cx="3940547" cy="2600491"/>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VOwens.jpg"/>
                    <pic:cNvPicPr/>
                  </pic:nvPicPr>
                  <pic:blipFill>
                    <a:blip r:embed="rId13" cstate="print">
                      <a:extLst>
                        <a:ext uri="{28A0092B-C50C-407E-A947-70E740481C1C}">
                          <a14:useLocalDpi xmlns:a14="http://schemas.microsoft.com/office/drawing/2010/main"/>
                        </a:ext>
                      </a:extLst>
                    </a:blip>
                    <a:stretch>
                      <a:fillRect/>
                    </a:stretch>
                  </pic:blipFill>
                  <pic:spPr>
                    <a:xfrm>
                      <a:off x="0" y="0"/>
                      <a:ext cx="3959081" cy="2612722"/>
                    </a:xfrm>
                    <a:prstGeom prst="rect">
                      <a:avLst/>
                    </a:prstGeom>
                  </pic:spPr>
                </pic:pic>
              </a:graphicData>
            </a:graphic>
          </wp:inline>
        </w:drawing>
      </w:r>
    </w:p>
    <w:p w14:paraId="75469AA0" w14:textId="77777777" w:rsidR="005D4B99" w:rsidRDefault="00E62051">
      <w:pPr>
        <w:pStyle w:val="FigureTableNoteSource"/>
      </w:pPr>
      <w:r>
        <w:t>Note: Lymphoid necrosis includes signs such as hypertrophied nuclei, marginated chromatin and vacuolation.</w:t>
      </w:r>
    </w:p>
    <w:p w14:paraId="30A6D434" w14:textId="77777777" w:rsidR="005D4B99" w:rsidRDefault="00E62051">
      <w:pPr>
        <w:pStyle w:val="FigureTableNoteSource"/>
      </w:pPr>
      <w:r>
        <w:t>Source: L Owens</w:t>
      </w:r>
    </w:p>
    <w:p w14:paraId="0B278DE9" w14:textId="77777777" w:rsidR="005D4B99" w:rsidRDefault="00E62051">
      <w:pPr>
        <w:pStyle w:val="Heading2"/>
        <w:rPr>
          <w:rFonts w:ascii="Cambria" w:eastAsiaTheme="minorHAnsi" w:hAnsi="Cambria"/>
          <w:b w:val="0"/>
          <w:bCs w:val="0"/>
          <w:color w:val="auto"/>
          <w:sz w:val="22"/>
          <w:szCs w:val="22"/>
          <w:lang w:eastAsia="en-US"/>
        </w:rPr>
      </w:pPr>
      <w:r>
        <w:t>Further reading</w:t>
      </w:r>
    </w:p>
    <w:p w14:paraId="077BCDE8" w14:textId="4786ABD4" w:rsidR="005D4B99" w:rsidRDefault="00E62051">
      <w:pPr>
        <w:jc w:val="both"/>
      </w:pPr>
      <w:r>
        <w:t xml:space="preserve">CABI Invasive Species Compendium </w:t>
      </w:r>
      <w:hyperlink r:id="rId14" w:history="1">
        <w:r>
          <w:rPr>
            <w:rStyle w:val="Hyperlink"/>
          </w:rPr>
          <w:t>Gill-associated virus</w:t>
        </w:r>
      </w:hyperlink>
    </w:p>
    <w:p w14:paraId="339701D7" w14:textId="5E323E60" w:rsidR="005D4B99" w:rsidRDefault="00E62051">
      <w:pPr>
        <w:jc w:val="both"/>
      </w:pPr>
      <w:r>
        <w:t xml:space="preserve">World Organisation for Animal Health </w:t>
      </w:r>
      <w:hyperlink r:id="rId15" w:history="1">
        <w:r>
          <w:rPr>
            <w:rStyle w:val="Hyperlink"/>
            <w:rFonts w:ascii="Calibri" w:hAnsi="Calibri" w:cs="Arial"/>
          </w:rPr>
          <w:t>Manual of diagnostic tests for aquatic animals</w:t>
        </w:r>
      </w:hyperlink>
    </w:p>
    <w:p w14:paraId="3C14ED9F" w14:textId="492E3036" w:rsidR="005D4B99" w:rsidRDefault="00E62051">
      <w:r>
        <w:t>These hyperlinks were correct at the time of publication.</w:t>
      </w:r>
    </w:p>
    <w:p w14:paraId="09ECBB37" w14:textId="77777777" w:rsidR="005D4B99" w:rsidRDefault="00E62051">
      <w:pPr>
        <w:pStyle w:val="Heading2"/>
        <w:keepLines/>
        <w:ind w:left="0" w:firstLine="0"/>
      </w:pPr>
      <w:r>
        <w:t>Contact details</w:t>
      </w:r>
    </w:p>
    <w:p w14:paraId="59D6E746" w14:textId="77777777" w:rsidR="005D4B99" w:rsidRDefault="00E62051">
      <w:pPr>
        <w:spacing w:after="0"/>
      </w:pPr>
      <w:r>
        <w:t>Emergency Animal Disease Watch Hotline 1800 675 888</w:t>
      </w:r>
    </w:p>
    <w:p w14:paraId="24734E69" w14:textId="77777777" w:rsidR="005D4B99" w:rsidRDefault="00E62051">
      <w:r>
        <w:t xml:space="preserve">Email </w:t>
      </w:r>
      <w:hyperlink r:id="rId16" w:history="1">
        <w:r>
          <w:rPr>
            <w:rStyle w:val="Hyperlink"/>
          </w:rPr>
          <w:t>AAH@agriculture.gov.au</w:t>
        </w:r>
      </w:hyperlink>
      <w:r>
        <w:cr/>
        <w:t xml:space="preserve">Website </w:t>
      </w:r>
      <w:hyperlink r:id="rId17" w:history="1">
        <w:r>
          <w:rPr>
            <w:rStyle w:val="Hyperlink"/>
          </w:rPr>
          <w:t>agriculture.gov.au/pests-diseases-weeds/aquatic</w:t>
        </w:r>
      </w:hyperlink>
    </w:p>
    <w:p w14:paraId="7693CDC9" w14:textId="7EF1375E" w:rsidR="005D4B99" w:rsidRDefault="00E62051">
      <w:pPr>
        <w:pStyle w:val="Normalsmall"/>
      </w:pPr>
      <w:r>
        <w:t>© Commonwealth of Australia 20</w:t>
      </w:r>
      <w:bookmarkStart w:id="2" w:name="_GoBack"/>
      <w:bookmarkEnd w:id="2"/>
      <w:r w:rsidR="00E12A03">
        <w:t>20</w:t>
      </w:r>
    </w:p>
    <w:p w14:paraId="1F4A8857" w14:textId="77777777" w:rsidR="005D4B99" w:rsidRDefault="00E62051">
      <w:pPr>
        <w:pStyle w:val="Normalsmall"/>
      </w:pPr>
      <w:r>
        <w:t>This work is copyright. It may be reproduced in whole or in part subject to the inclusion of an acknowledgement of the source and no commercial usage or sale.</w:t>
      </w:r>
    </w:p>
    <w:sectPr w:rsidR="005D4B99">
      <w:headerReference w:type="default" r:id="rId18"/>
      <w:footerReference w:type="default" r:id="rId19"/>
      <w:headerReference w:type="first" r:id="rId2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9C9DD" w14:textId="77777777" w:rsidR="005D4B99" w:rsidRDefault="00E62051">
      <w:r>
        <w:separator/>
      </w:r>
    </w:p>
    <w:p w14:paraId="2A220AEA" w14:textId="77777777" w:rsidR="005D4B99" w:rsidRDefault="005D4B99"/>
    <w:p w14:paraId="77096E7F" w14:textId="77777777" w:rsidR="005D4B99" w:rsidRDefault="005D4B99"/>
  </w:endnote>
  <w:endnote w:type="continuationSeparator" w:id="0">
    <w:p w14:paraId="36D1D29C" w14:textId="77777777" w:rsidR="005D4B99" w:rsidRDefault="00E62051">
      <w:r>
        <w:continuationSeparator/>
      </w:r>
    </w:p>
    <w:p w14:paraId="2A898197" w14:textId="77777777" w:rsidR="005D4B99" w:rsidRDefault="005D4B99"/>
    <w:p w14:paraId="783D4C4D" w14:textId="77777777" w:rsidR="005D4B99" w:rsidRDefault="005D4B99"/>
  </w:endnote>
  <w:endnote w:type="continuationNotice" w:id="1">
    <w:p w14:paraId="75BBF266" w14:textId="77777777" w:rsidR="005D4B99" w:rsidRDefault="005D4B99">
      <w:pPr>
        <w:pStyle w:val="Footer"/>
      </w:pPr>
    </w:p>
    <w:p w14:paraId="464F22FF" w14:textId="77777777" w:rsidR="005D4B99" w:rsidRDefault="005D4B99"/>
    <w:p w14:paraId="64FE78DC" w14:textId="77777777" w:rsidR="005D4B99" w:rsidRDefault="005D4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D925" w14:textId="06E60D15" w:rsidR="005D4B99" w:rsidRDefault="00E12A03">
    <w:pPr>
      <w:pStyle w:val="Footer"/>
    </w:pPr>
    <w:r>
      <w:t>Department of Agriculture, Water and the Environment</w:t>
    </w:r>
  </w:p>
  <w:p w14:paraId="58B44DFC" w14:textId="77777777" w:rsidR="005D4B99" w:rsidRDefault="00E62051">
    <w:pPr>
      <w:pStyle w:val="Footer"/>
    </w:pPr>
    <w:r>
      <w:fldChar w:fldCharType="begin"/>
    </w:r>
    <w:r>
      <w:instrText xml:space="preserve"> PAGE   \* MERGEFORMAT </w:instrText>
    </w:r>
    <w:r>
      <w:fldChar w:fldCharType="separate"/>
    </w:r>
    <w:r w:rsidR="00340395">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77B88" w14:textId="77777777" w:rsidR="005D4B99" w:rsidRDefault="00E62051">
      <w:r>
        <w:separator/>
      </w:r>
    </w:p>
    <w:p w14:paraId="704AE167" w14:textId="77777777" w:rsidR="005D4B99" w:rsidRDefault="005D4B99"/>
    <w:p w14:paraId="03B613D3" w14:textId="77777777" w:rsidR="005D4B99" w:rsidRDefault="005D4B99"/>
  </w:footnote>
  <w:footnote w:type="continuationSeparator" w:id="0">
    <w:p w14:paraId="0F650EE8" w14:textId="77777777" w:rsidR="005D4B99" w:rsidRDefault="00E62051">
      <w:r>
        <w:continuationSeparator/>
      </w:r>
    </w:p>
    <w:p w14:paraId="32F99FBE" w14:textId="77777777" w:rsidR="005D4B99" w:rsidRDefault="005D4B99"/>
    <w:p w14:paraId="2D71FE1D" w14:textId="77777777" w:rsidR="005D4B99" w:rsidRDefault="005D4B99"/>
  </w:footnote>
  <w:footnote w:type="continuationNotice" w:id="1">
    <w:p w14:paraId="523DC10D" w14:textId="77777777" w:rsidR="005D4B99" w:rsidRDefault="005D4B99">
      <w:pPr>
        <w:pStyle w:val="Footer"/>
      </w:pPr>
    </w:p>
    <w:p w14:paraId="262400A4" w14:textId="77777777" w:rsidR="005D4B99" w:rsidRDefault="005D4B99"/>
    <w:p w14:paraId="4E396327" w14:textId="77777777" w:rsidR="005D4B99" w:rsidRDefault="005D4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A3AB" w14:textId="0BFC6282" w:rsidR="005D4B99" w:rsidRDefault="00E62051">
    <w:pPr>
      <w:pStyle w:val="Header"/>
    </w:pPr>
    <w:r>
      <w:rPr>
        <w:rStyle w:val="Emphasis"/>
        <w:i w:val="0"/>
        <w:iCs w:val="0"/>
      </w:rPr>
      <w:t>Gill-associated virus disease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C40A6" w14:textId="77777777" w:rsidR="005D4B99" w:rsidRDefault="00E62051">
    <w:pPr>
      <w:pStyle w:val="Header"/>
      <w:jc w:val="left"/>
    </w:pPr>
    <w:r>
      <w:rPr>
        <w:noProof/>
        <w:lang w:eastAsia="en-AU"/>
      </w:rPr>
      <w:drawing>
        <wp:anchor distT="0" distB="0" distL="114300" distR="114300" simplePos="0" relativeHeight="251659264" behindDoc="1" locked="0" layoutInCell="1" allowOverlap="1" wp14:anchorId="1D01860F" wp14:editId="57A59846">
          <wp:simplePos x="0" y="0"/>
          <wp:positionH relativeFrom="page">
            <wp:align>right</wp:align>
          </wp:positionH>
          <wp:positionV relativeFrom="paragraph">
            <wp:posOffset>-362310</wp:posOffset>
          </wp:positionV>
          <wp:extent cx="7579637" cy="1623912"/>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9637" cy="16239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99"/>
    <w:rsid w:val="00124913"/>
    <w:rsid w:val="001A09D4"/>
    <w:rsid w:val="003341C4"/>
    <w:rsid w:val="00340395"/>
    <w:rsid w:val="004175FC"/>
    <w:rsid w:val="004639DC"/>
    <w:rsid w:val="00465367"/>
    <w:rsid w:val="004B09C7"/>
    <w:rsid w:val="005315B6"/>
    <w:rsid w:val="005D4B99"/>
    <w:rsid w:val="006763C7"/>
    <w:rsid w:val="008B10CC"/>
    <w:rsid w:val="0093616D"/>
    <w:rsid w:val="00971AFC"/>
    <w:rsid w:val="009E6687"/>
    <w:rsid w:val="00B71D24"/>
    <w:rsid w:val="00E04144"/>
    <w:rsid w:val="00E12A03"/>
    <w:rsid w:val="00E62051"/>
    <w:rsid w:val="00F62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B084089"/>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griculture.gov.au/pests-diseases-weeds/aquatic" TargetMode="External"/><Relationship Id="rId2" Type="http://schemas.openxmlformats.org/officeDocument/2006/relationships/customXml" Target="../customXml/item2.xml"/><Relationship Id="rId16" Type="http://schemas.openxmlformats.org/officeDocument/2006/relationships/hyperlink" Target="mailto:AAH@agricul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oie.int/en/international-standard-setting/aquatic-manual/access-onlin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bi.org/ISC/datasheet/8138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ABDC98-8AE0-4154-8CE0-9A43CBBF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7</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Infection with gill-associated virus (GAV)</vt:lpstr>
    </vt:vector>
  </TitlesOfParts>
  <Company>Department of Agriculture Fisheries &amp; Forestry</Company>
  <LinksUpToDate>false</LinksUpToDate>
  <CharactersWithSpaces>6099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gill-associated virus (GAV)</dc:title>
  <dc:creator>Department of Agriculture</dc:creator>
  <cp:lastModifiedBy>Foster-Thorpe, Cian</cp:lastModifiedBy>
  <cp:revision>8</cp:revision>
  <cp:lastPrinted>2020-03-12T04:25:00Z</cp:lastPrinted>
  <dcterms:created xsi:type="dcterms:W3CDTF">2019-09-05T05:57:00Z</dcterms:created>
  <dcterms:modified xsi:type="dcterms:W3CDTF">2020-03-12T04:52:00Z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