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0F9B" w14:textId="77777777" w:rsidR="00F45F91" w:rsidRPr="00C36EB2" w:rsidRDefault="00F45F91" w:rsidP="00F45F91">
      <w:pPr>
        <w:spacing w:before="120"/>
        <w:ind w:right="95"/>
        <w:jc w:val="center"/>
      </w:pPr>
      <w:r w:rsidRPr="00C36EB2">
        <w:rPr>
          <w:caps/>
          <w:noProof/>
          <w:lang w:eastAsia="en-AU"/>
        </w:rPr>
        <w:drawing>
          <wp:inline distT="0" distB="0" distL="0" distR="0" wp14:anchorId="3A10B822" wp14:editId="2E74B1C4">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301B832D" w14:textId="77777777" w:rsidR="00F45F91" w:rsidRPr="00C36EB2" w:rsidRDefault="00F45F91" w:rsidP="00F45F91">
      <w:pPr>
        <w:spacing w:before="240"/>
        <w:jc w:val="center"/>
        <w:rPr>
          <w:rFonts w:ascii="Montserrat Light" w:hAnsi="Montserrat Light"/>
          <w:sz w:val="32"/>
          <w:szCs w:val="32"/>
        </w:rPr>
      </w:pPr>
      <w:r w:rsidRPr="00C36EB2">
        <w:rPr>
          <w:rFonts w:ascii="Montserrat Light" w:hAnsi="Montserrat Light"/>
          <w:sz w:val="32"/>
          <w:szCs w:val="32"/>
        </w:rPr>
        <w:t xml:space="preserve">Australian Government response to the </w:t>
      </w:r>
      <w:r w:rsidRPr="00C36EB2">
        <w:rPr>
          <w:rFonts w:ascii="Montserrat Light" w:hAnsi="Montserrat Light"/>
          <w:sz w:val="32"/>
          <w:szCs w:val="32"/>
        </w:rPr>
        <w:br/>
        <w:t>The Rural and Regional Affairs and Transport Committee report:</w:t>
      </w:r>
    </w:p>
    <w:p w14:paraId="2A843555" w14:textId="77777777" w:rsidR="00F45F91" w:rsidRPr="00C36EB2" w:rsidRDefault="00F45F91" w:rsidP="00F45F91">
      <w:pPr>
        <w:spacing w:before="240"/>
        <w:jc w:val="center"/>
        <w:rPr>
          <w:rFonts w:ascii="Montserrat Light" w:hAnsi="Montserrat Light"/>
          <w:sz w:val="32"/>
          <w:szCs w:val="32"/>
        </w:rPr>
      </w:pPr>
      <w:r w:rsidRPr="00C36EB2">
        <w:rPr>
          <w:rFonts w:ascii="Montserrat Light" w:hAnsi="Montserrat Light"/>
          <w:sz w:val="32"/>
          <w:szCs w:val="32"/>
        </w:rPr>
        <w:t>Australian winegrape purchases code of conduct</w:t>
      </w:r>
    </w:p>
    <w:p w14:paraId="2CFECB82" w14:textId="76EC4246" w:rsidR="00F45F91" w:rsidRPr="00C36EB2" w:rsidRDefault="0025549E" w:rsidP="00F45F91">
      <w:pPr>
        <w:spacing w:before="240" w:after="240"/>
        <w:jc w:val="right"/>
        <w:rPr>
          <w:rFonts w:ascii="Montserrat Light" w:hAnsi="Montserrat Light"/>
          <w:caps/>
          <w:sz w:val="28"/>
          <w:szCs w:val="28"/>
        </w:rPr>
      </w:pPr>
      <w:r>
        <w:rPr>
          <w:rFonts w:ascii="Montserrat Light" w:hAnsi="Montserrat Light"/>
          <w:sz w:val="28"/>
          <w:szCs w:val="28"/>
        </w:rPr>
        <w:t>April</w:t>
      </w:r>
      <w:r w:rsidR="008C7648" w:rsidRPr="00C36EB2">
        <w:rPr>
          <w:rFonts w:ascii="Montserrat Light" w:hAnsi="Montserrat Light"/>
          <w:sz w:val="28"/>
          <w:szCs w:val="28"/>
        </w:rPr>
        <w:t xml:space="preserve"> </w:t>
      </w:r>
      <w:r w:rsidR="00F45F91" w:rsidRPr="00C36EB2">
        <w:rPr>
          <w:rFonts w:ascii="Montserrat Light" w:hAnsi="Montserrat Light"/>
          <w:sz w:val="28"/>
          <w:szCs w:val="28"/>
        </w:rPr>
        <w:t>202</w:t>
      </w:r>
      <w:r w:rsidR="006416CF">
        <w:rPr>
          <w:rFonts w:ascii="Montserrat Light" w:hAnsi="Montserrat Light"/>
          <w:sz w:val="28"/>
          <w:szCs w:val="28"/>
        </w:rPr>
        <w:t>6</w:t>
      </w:r>
    </w:p>
    <w:p w14:paraId="45D1F498" w14:textId="77777777" w:rsidR="00F45F91" w:rsidRPr="00C36EB2" w:rsidRDefault="00F45F91" w:rsidP="00F45F91">
      <w:pPr>
        <w:spacing w:before="120" w:after="480"/>
        <w:jc w:val="right"/>
        <w:rPr>
          <w:rFonts w:ascii="Montserrat Light" w:hAnsi="Montserrat Light"/>
          <w:sz w:val="28"/>
          <w:szCs w:val="28"/>
        </w:rPr>
      </w:pPr>
    </w:p>
    <w:p w14:paraId="22A1582B"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22C02125"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3FC452C5"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69A83099"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745D4009"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386E8D09"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04255E2D"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289A97E6"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4DC22B32"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2CFFF26F"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72045AEC"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2C20FE54"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08C9BA41"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3DFB0C02" w14:textId="77777777" w:rsidR="00F45F91" w:rsidRDefault="00F45F91" w:rsidP="00F45F91">
      <w:pPr>
        <w:pStyle w:val="NormalWeb"/>
        <w:shd w:val="clear" w:color="auto" w:fill="FFFFFF"/>
        <w:spacing w:before="120" w:beforeAutospacing="0"/>
        <w:rPr>
          <w:rFonts w:ascii="Arial" w:eastAsia="Times New Roman" w:hAnsi="Arial" w:cs="Arial"/>
          <w:b/>
          <w:sz w:val="28"/>
          <w:szCs w:val="28"/>
        </w:rPr>
      </w:pPr>
    </w:p>
    <w:p w14:paraId="63086BA3" w14:textId="77777777" w:rsidR="00F45F91" w:rsidRPr="00C36EB2" w:rsidRDefault="00F45F91" w:rsidP="00F45F91">
      <w:pPr>
        <w:pStyle w:val="NormalWeb"/>
        <w:shd w:val="clear" w:color="auto" w:fill="FFFFFF"/>
        <w:spacing w:before="120" w:beforeAutospacing="0"/>
        <w:rPr>
          <w:rFonts w:ascii="Arial" w:eastAsia="Times New Roman" w:hAnsi="Arial" w:cs="Arial"/>
          <w:b/>
          <w:sz w:val="28"/>
          <w:szCs w:val="28"/>
        </w:rPr>
      </w:pPr>
      <w:r w:rsidRPr="00C36EB2">
        <w:rPr>
          <w:rFonts w:ascii="Arial" w:eastAsia="Times New Roman" w:hAnsi="Arial" w:cs="Arial"/>
          <w:b/>
          <w:sz w:val="28"/>
          <w:szCs w:val="28"/>
        </w:rPr>
        <w:lastRenderedPageBreak/>
        <w:t xml:space="preserve">Introduction </w:t>
      </w:r>
    </w:p>
    <w:p w14:paraId="4EEC8B2E" w14:textId="38990E40" w:rsidR="00F45F91" w:rsidRPr="0053017D" w:rsidRDefault="00F45F91" w:rsidP="00F45F91">
      <w:pPr>
        <w:spacing w:before="120" w:line="276" w:lineRule="auto"/>
        <w:rPr>
          <w:rFonts w:ascii="Arial" w:hAnsi="Arial" w:cs="Arial"/>
        </w:rPr>
      </w:pPr>
      <w:r w:rsidRPr="00B67313">
        <w:rPr>
          <w:rFonts w:ascii="Arial" w:hAnsi="Arial" w:cs="Arial"/>
        </w:rPr>
        <w:t>On 19 September 2024, the Code of Conduct for Australian Winegrape Purchases (</w:t>
      </w:r>
      <w:r w:rsidR="0032382A" w:rsidRPr="00B67313">
        <w:rPr>
          <w:rFonts w:ascii="Arial" w:hAnsi="Arial" w:cs="Arial"/>
        </w:rPr>
        <w:t>C</w:t>
      </w:r>
      <w:r w:rsidRPr="00B67313">
        <w:rPr>
          <w:rFonts w:ascii="Arial" w:hAnsi="Arial" w:cs="Arial"/>
        </w:rPr>
        <w:t xml:space="preserve">ode) </w:t>
      </w:r>
      <w:r w:rsidRPr="0053017D">
        <w:rPr>
          <w:rFonts w:ascii="Arial" w:hAnsi="Arial" w:cs="Arial"/>
        </w:rPr>
        <w:t>was referred to the Rural and Regional Affairs and Transport References Committee (the Committee) for inquiry and report by 28 February 2025.</w:t>
      </w:r>
      <w:r w:rsidR="00507D1D" w:rsidRPr="0053017D">
        <w:rPr>
          <w:rFonts w:ascii="Arial" w:hAnsi="Arial" w:cs="Arial"/>
        </w:rPr>
        <w:t xml:space="preserve"> </w:t>
      </w:r>
    </w:p>
    <w:p w14:paraId="70E7FC88" w14:textId="5CCBB18E" w:rsidR="002539D9" w:rsidRPr="0053017D" w:rsidRDefault="001A76D6" w:rsidP="002539D9">
      <w:pPr>
        <w:spacing w:before="120" w:line="276" w:lineRule="auto"/>
        <w:rPr>
          <w:rFonts w:ascii="Arial" w:eastAsia="Calibri" w:hAnsi="Arial" w:cs="Arial"/>
        </w:rPr>
      </w:pPr>
      <w:r w:rsidRPr="0053017D">
        <w:rPr>
          <w:rFonts w:ascii="Arial" w:eastAsia="Calibri" w:hAnsi="Arial" w:cs="Arial"/>
        </w:rPr>
        <w:t xml:space="preserve">The Committee’s inquiry </w:t>
      </w:r>
      <w:r w:rsidR="003462A4" w:rsidRPr="0053017D">
        <w:rPr>
          <w:rFonts w:ascii="Arial" w:eastAsia="Calibri" w:hAnsi="Arial" w:cs="Arial"/>
        </w:rPr>
        <w:t>complements</w:t>
      </w:r>
      <w:r w:rsidRPr="0053017D">
        <w:rPr>
          <w:rFonts w:ascii="Arial" w:eastAsia="Calibri" w:hAnsi="Arial" w:cs="Arial"/>
        </w:rPr>
        <w:t xml:space="preserve"> </w:t>
      </w:r>
      <w:r w:rsidR="00156A78" w:rsidRPr="0053017D">
        <w:rPr>
          <w:rFonts w:ascii="Arial" w:eastAsia="Calibri" w:hAnsi="Arial" w:cs="Arial"/>
        </w:rPr>
        <w:t>recent</w:t>
      </w:r>
      <w:r w:rsidR="00A13A86" w:rsidRPr="0053017D">
        <w:rPr>
          <w:rFonts w:ascii="Arial" w:eastAsia="Calibri" w:hAnsi="Arial" w:cs="Arial"/>
        </w:rPr>
        <w:t xml:space="preserve"> initiatives </w:t>
      </w:r>
      <w:r w:rsidR="002C50D7" w:rsidRPr="0053017D">
        <w:rPr>
          <w:rFonts w:ascii="Arial" w:eastAsia="Calibri" w:hAnsi="Arial" w:cs="Arial"/>
        </w:rPr>
        <w:t xml:space="preserve">to address structural issues </w:t>
      </w:r>
      <w:r w:rsidR="00A13A86" w:rsidRPr="0053017D">
        <w:rPr>
          <w:rFonts w:ascii="Arial" w:eastAsia="Calibri" w:hAnsi="Arial" w:cs="Arial"/>
        </w:rPr>
        <w:t xml:space="preserve">in the </w:t>
      </w:r>
      <w:r w:rsidR="00A13A86" w:rsidRPr="0053017D">
        <w:rPr>
          <w:rFonts w:ascii="Arial" w:hAnsi="Arial" w:cs="Arial"/>
        </w:rPr>
        <w:t>wine and grape</w:t>
      </w:r>
      <w:r w:rsidR="005E6B43" w:rsidRPr="0053017D">
        <w:rPr>
          <w:rFonts w:ascii="Arial" w:hAnsi="Arial" w:cs="Arial"/>
        </w:rPr>
        <w:t xml:space="preserve"> sector</w:t>
      </w:r>
      <w:r w:rsidR="002C50D7" w:rsidRPr="0053017D">
        <w:rPr>
          <w:rFonts w:ascii="Arial" w:hAnsi="Arial" w:cs="Arial"/>
        </w:rPr>
        <w:t>.</w:t>
      </w:r>
      <w:r w:rsidRPr="0053017D">
        <w:rPr>
          <w:rFonts w:ascii="Arial" w:eastAsia="Calibri" w:hAnsi="Arial" w:cs="Arial"/>
        </w:rPr>
        <w:t xml:space="preserve"> </w:t>
      </w:r>
      <w:r w:rsidR="003462A4" w:rsidRPr="0053017D">
        <w:rPr>
          <w:rFonts w:ascii="Arial" w:eastAsia="Calibri" w:hAnsi="Arial" w:cs="Arial"/>
        </w:rPr>
        <w:t xml:space="preserve">This includes </w:t>
      </w:r>
      <w:r w:rsidR="001D104A" w:rsidRPr="0053017D">
        <w:rPr>
          <w:rFonts w:ascii="Arial" w:eastAsia="Calibri" w:hAnsi="Arial" w:cs="Arial"/>
        </w:rPr>
        <w:t>the</w:t>
      </w:r>
      <w:r w:rsidR="00FD307F" w:rsidRPr="0053017D">
        <w:rPr>
          <w:rFonts w:ascii="Arial" w:eastAsia="Calibri" w:hAnsi="Arial" w:cs="Arial"/>
        </w:rPr>
        <w:t xml:space="preserve"> </w:t>
      </w:r>
      <w:r w:rsidR="00D03243" w:rsidRPr="0053017D">
        <w:rPr>
          <w:rFonts w:ascii="Arial" w:eastAsia="Calibri" w:hAnsi="Arial" w:cs="Arial"/>
        </w:rPr>
        <w:t>March 2024</w:t>
      </w:r>
      <w:r w:rsidR="009A2D00" w:rsidRPr="0053017D">
        <w:rPr>
          <w:rFonts w:ascii="Arial" w:eastAsia="Calibri" w:hAnsi="Arial" w:cs="Arial"/>
        </w:rPr>
        <w:t xml:space="preserve"> </w:t>
      </w:r>
      <w:r w:rsidR="001D104A" w:rsidRPr="0053017D">
        <w:rPr>
          <w:rFonts w:ascii="Arial" w:eastAsia="Calibri" w:hAnsi="Arial" w:cs="Arial"/>
        </w:rPr>
        <w:t>agreement by the Australian Government and industry bodies on</w:t>
      </w:r>
      <w:r w:rsidR="002539D9" w:rsidRPr="0053017D">
        <w:rPr>
          <w:rFonts w:ascii="Arial" w:eastAsia="Calibri" w:hAnsi="Arial" w:cs="Arial"/>
        </w:rPr>
        <w:t xml:space="preserve"> a national approach to address the oversupply of red wine and support future balance and profitability returning to the sector. </w:t>
      </w:r>
    </w:p>
    <w:p w14:paraId="41C2A70C" w14:textId="0E9F7684" w:rsidR="00046FF6" w:rsidRPr="0053017D" w:rsidRDefault="00507D1D" w:rsidP="00046FF6">
      <w:pPr>
        <w:spacing w:before="120" w:line="276" w:lineRule="auto"/>
        <w:rPr>
          <w:rFonts w:ascii="Arial" w:hAnsi="Arial" w:cs="Arial"/>
        </w:rPr>
      </w:pPr>
      <w:r w:rsidRPr="0053017D">
        <w:rPr>
          <w:rFonts w:ascii="Arial" w:eastAsia="Calibri" w:hAnsi="Arial" w:cs="Arial"/>
        </w:rPr>
        <w:t xml:space="preserve">The </w:t>
      </w:r>
      <w:r w:rsidR="00046FF6" w:rsidRPr="0053017D">
        <w:rPr>
          <w:rFonts w:ascii="Arial" w:eastAsia="Calibri" w:hAnsi="Arial" w:cs="Arial"/>
        </w:rPr>
        <w:t xml:space="preserve">Australian Government </w:t>
      </w:r>
      <w:r w:rsidR="004F79E0" w:rsidRPr="0053017D">
        <w:rPr>
          <w:rFonts w:ascii="Arial" w:eastAsia="Calibri" w:hAnsi="Arial" w:cs="Arial"/>
        </w:rPr>
        <w:t xml:space="preserve">also </w:t>
      </w:r>
      <w:r w:rsidR="001D104A" w:rsidRPr="0053017D">
        <w:rPr>
          <w:rFonts w:ascii="Arial" w:eastAsia="Calibri" w:hAnsi="Arial" w:cs="Arial"/>
        </w:rPr>
        <w:t xml:space="preserve">announced </w:t>
      </w:r>
      <w:r w:rsidR="0089291C" w:rsidRPr="0053017D">
        <w:rPr>
          <w:rFonts w:ascii="Arial" w:eastAsia="Calibri" w:hAnsi="Arial" w:cs="Arial"/>
        </w:rPr>
        <w:t>the</w:t>
      </w:r>
      <w:r w:rsidR="008D49D9" w:rsidRPr="0053017D">
        <w:rPr>
          <w:rFonts w:ascii="Arial" w:eastAsia="Calibri" w:hAnsi="Arial" w:cs="Arial"/>
        </w:rPr>
        <w:t xml:space="preserve"> $4.</w:t>
      </w:r>
      <w:r w:rsidR="0089291C" w:rsidRPr="0053017D">
        <w:rPr>
          <w:rFonts w:ascii="Arial" w:eastAsia="Calibri" w:hAnsi="Arial" w:cs="Arial"/>
        </w:rPr>
        <w:t>6</w:t>
      </w:r>
      <w:r w:rsidR="008D49D9" w:rsidRPr="0053017D">
        <w:rPr>
          <w:rFonts w:ascii="Arial" w:eastAsia="Calibri" w:hAnsi="Arial" w:cs="Arial"/>
        </w:rPr>
        <w:t xml:space="preserve"> million </w:t>
      </w:r>
      <w:r w:rsidR="00046FF6" w:rsidRPr="0053017D">
        <w:rPr>
          <w:rFonts w:ascii="Arial" w:eastAsia="Calibri" w:hAnsi="Arial" w:cs="Arial"/>
        </w:rPr>
        <w:t xml:space="preserve">Long-term Viability Support </w:t>
      </w:r>
      <w:r w:rsidR="00613B96" w:rsidRPr="0053017D">
        <w:rPr>
          <w:rFonts w:ascii="Arial" w:eastAsia="Calibri" w:hAnsi="Arial" w:cs="Arial"/>
        </w:rPr>
        <w:t>Package on 12 June 2024</w:t>
      </w:r>
      <w:r w:rsidR="00046FF6" w:rsidRPr="0053017D">
        <w:rPr>
          <w:rFonts w:ascii="Arial" w:eastAsia="Calibri" w:hAnsi="Arial" w:cs="Arial"/>
        </w:rPr>
        <w:t xml:space="preserve">. This package took forward key recommendations from the </w:t>
      </w:r>
      <w:r w:rsidR="00255B83" w:rsidRPr="0053017D">
        <w:rPr>
          <w:rFonts w:ascii="Arial" w:eastAsia="Calibri" w:hAnsi="Arial" w:cs="Arial"/>
        </w:rPr>
        <w:t xml:space="preserve">Viticulture and Wine Sector </w:t>
      </w:r>
      <w:r w:rsidR="00046FF6" w:rsidRPr="0053017D">
        <w:rPr>
          <w:rFonts w:ascii="Arial" w:eastAsia="Calibri" w:hAnsi="Arial" w:cs="Arial"/>
        </w:rPr>
        <w:t>Working Group Report</w:t>
      </w:r>
      <w:r w:rsidR="00255B83" w:rsidRPr="0053017D">
        <w:rPr>
          <w:rFonts w:ascii="Arial" w:eastAsia="Calibri" w:hAnsi="Arial" w:cs="Arial"/>
        </w:rPr>
        <w:t xml:space="preserve"> (the Working Group)</w:t>
      </w:r>
      <w:r w:rsidR="005A6B42" w:rsidRPr="0053017D">
        <w:rPr>
          <w:rFonts w:ascii="Arial" w:eastAsia="Calibri" w:hAnsi="Arial" w:cs="Arial"/>
        </w:rPr>
        <w:t>.</w:t>
      </w:r>
      <w:r w:rsidR="00046FF6" w:rsidRPr="0053017D">
        <w:rPr>
          <w:rFonts w:ascii="Arial" w:eastAsia="Calibri" w:hAnsi="Arial" w:cs="Arial"/>
        </w:rPr>
        <w:t xml:space="preserve"> </w:t>
      </w:r>
      <w:r w:rsidR="007617D9" w:rsidRPr="0053017D">
        <w:rPr>
          <w:rFonts w:ascii="Arial" w:eastAsia="Calibri" w:hAnsi="Arial" w:cs="Arial"/>
        </w:rPr>
        <w:t xml:space="preserve">The Working Group </w:t>
      </w:r>
      <w:r w:rsidR="00C53491" w:rsidRPr="0053017D">
        <w:rPr>
          <w:rFonts w:ascii="Arial" w:eastAsia="Calibri" w:hAnsi="Arial" w:cs="Arial"/>
        </w:rPr>
        <w:t>was established in March 2024 to address Australia’s red wine grape oversupply and comprise</w:t>
      </w:r>
      <w:r w:rsidR="001C01DD" w:rsidRPr="0053017D">
        <w:rPr>
          <w:rFonts w:ascii="Arial" w:eastAsia="Calibri" w:hAnsi="Arial" w:cs="Arial"/>
        </w:rPr>
        <w:t>s</w:t>
      </w:r>
      <w:r w:rsidR="00C53491" w:rsidRPr="0053017D">
        <w:rPr>
          <w:rFonts w:ascii="Arial" w:eastAsia="Calibri" w:hAnsi="Arial" w:cs="Arial"/>
        </w:rPr>
        <w:t xml:space="preserve"> of representatives from federal, state and territory governments, Wine Australia, and Australian Grape &amp; Wine. </w:t>
      </w:r>
      <w:r w:rsidR="001C01DD" w:rsidRPr="0053017D">
        <w:rPr>
          <w:rFonts w:ascii="Arial" w:eastAsia="Calibri" w:hAnsi="Arial" w:cs="Arial"/>
        </w:rPr>
        <w:t xml:space="preserve">The group engaged directly with growers, winemakers, industry bodies, and local councils to develop a national response. </w:t>
      </w:r>
      <w:r w:rsidR="005A6B42" w:rsidRPr="0053017D">
        <w:rPr>
          <w:rFonts w:ascii="Arial" w:eastAsia="Calibri" w:hAnsi="Arial" w:cs="Arial"/>
        </w:rPr>
        <w:t xml:space="preserve">This included </w:t>
      </w:r>
      <w:r w:rsidR="00046FF6" w:rsidRPr="0053017D">
        <w:rPr>
          <w:rFonts w:ascii="Arial" w:eastAsia="Calibri" w:hAnsi="Arial" w:cs="Arial"/>
        </w:rPr>
        <w:t xml:space="preserve">funding to </w:t>
      </w:r>
      <w:r w:rsidR="00046FF6" w:rsidRPr="0053017D">
        <w:rPr>
          <w:rFonts w:ascii="Arial" w:hAnsi="Arial" w:cs="Arial"/>
        </w:rPr>
        <w:t>investigate the regulatory options available to improve fair trading, competitive relationships, contracting practices and risk allocation across the wine and grape value chain, from vineyard to retail shelf.</w:t>
      </w:r>
      <w:r w:rsidR="001C01DD" w:rsidRPr="0053017D">
        <w:rPr>
          <w:rFonts w:ascii="Arial" w:hAnsi="Arial" w:cs="Arial"/>
        </w:rPr>
        <w:t xml:space="preserve"> </w:t>
      </w:r>
    </w:p>
    <w:p w14:paraId="101953F8" w14:textId="38A3ECCF" w:rsidR="00046FF6" w:rsidRPr="0053017D" w:rsidRDefault="00C326B6" w:rsidP="00F45F91">
      <w:pPr>
        <w:spacing w:before="120" w:line="276" w:lineRule="auto"/>
        <w:rPr>
          <w:rFonts w:ascii="Arial" w:hAnsi="Arial" w:cs="Arial"/>
        </w:rPr>
      </w:pPr>
      <w:r w:rsidRPr="0053017D">
        <w:rPr>
          <w:rFonts w:ascii="Arial" w:hAnsi="Arial" w:cs="Arial"/>
        </w:rPr>
        <w:t>Also,</w:t>
      </w:r>
      <w:r w:rsidR="00AC29AA" w:rsidRPr="0053017D">
        <w:rPr>
          <w:rFonts w:ascii="Arial" w:hAnsi="Arial" w:cs="Arial"/>
        </w:rPr>
        <w:t xml:space="preserve"> as part</w:t>
      </w:r>
      <w:r w:rsidR="00AC29AA" w:rsidRPr="0053017D">
        <w:rPr>
          <w:rFonts w:ascii="Arial" w:eastAsia="Calibri" w:hAnsi="Arial" w:cs="Arial"/>
        </w:rPr>
        <w:t xml:space="preserve"> of the Long-term Viability Support Package,</w:t>
      </w:r>
      <w:r w:rsidR="00AC29AA" w:rsidRPr="0053017D">
        <w:rPr>
          <w:rFonts w:ascii="Arial" w:hAnsi="Arial" w:cs="Arial"/>
        </w:rPr>
        <w:t xml:space="preserve"> the </w:t>
      </w:r>
      <w:r w:rsidR="00E9787B" w:rsidRPr="0053017D">
        <w:rPr>
          <w:rFonts w:ascii="Arial" w:hAnsi="Arial" w:cs="Arial"/>
        </w:rPr>
        <w:t xml:space="preserve">Australian </w:t>
      </w:r>
      <w:r w:rsidR="00AC29AA" w:rsidRPr="0053017D">
        <w:rPr>
          <w:rFonts w:ascii="Arial" w:hAnsi="Arial" w:cs="Arial"/>
        </w:rPr>
        <w:t xml:space="preserve">Government appointed </w:t>
      </w:r>
      <w:r w:rsidR="00F45F91" w:rsidRPr="0053017D">
        <w:rPr>
          <w:rFonts w:ascii="Arial" w:hAnsi="Arial" w:cs="Arial"/>
        </w:rPr>
        <w:t>Dr Craig Emerson to lead an independent impact analysis of regulatory options for the Australian grape and wine sector</w:t>
      </w:r>
      <w:r w:rsidR="00046FF6" w:rsidRPr="0053017D">
        <w:rPr>
          <w:rFonts w:ascii="Arial" w:hAnsi="Arial" w:cs="Arial"/>
        </w:rPr>
        <w:t xml:space="preserve">. </w:t>
      </w:r>
    </w:p>
    <w:p w14:paraId="752776DF" w14:textId="394912AF" w:rsidR="00046FF6" w:rsidRPr="0053017D" w:rsidRDefault="00046FF6" w:rsidP="00046FF6">
      <w:pPr>
        <w:spacing w:before="120" w:line="276" w:lineRule="auto"/>
        <w:rPr>
          <w:rFonts w:ascii="Arial" w:hAnsi="Arial" w:cs="Arial"/>
        </w:rPr>
      </w:pPr>
      <w:r w:rsidRPr="0053017D">
        <w:rPr>
          <w:rFonts w:ascii="Arial" w:hAnsi="Arial" w:cs="Arial"/>
        </w:rPr>
        <w:t xml:space="preserve">Dr Craig Emerson’s Review was published on Wine Australia’s website on 14 July 2025. The review proposed 14 recommendations aimed at supporting a more sustainable and balanced operating environment for growers and winemakers. </w:t>
      </w:r>
      <w:r w:rsidR="006B4107" w:rsidRPr="0053017D">
        <w:rPr>
          <w:rFonts w:ascii="Arial" w:hAnsi="Arial" w:cs="Arial"/>
        </w:rPr>
        <w:t>On 22 December 2025, t</w:t>
      </w:r>
      <w:r w:rsidRPr="0053017D">
        <w:rPr>
          <w:rFonts w:ascii="Arial" w:hAnsi="Arial" w:cs="Arial"/>
        </w:rPr>
        <w:t xml:space="preserve">he Australian Government accepted the findings of </w:t>
      </w:r>
      <w:r w:rsidR="008E0689" w:rsidRPr="0053017D">
        <w:rPr>
          <w:rFonts w:ascii="Arial" w:hAnsi="Arial" w:cs="Arial"/>
        </w:rPr>
        <w:t>Dr Emerson’s</w:t>
      </w:r>
      <w:r w:rsidRPr="0053017D">
        <w:rPr>
          <w:rFonts w:ascii="Arial" w:hAnsi="Arial" w:cs="Arial"/>
        </w:rPr>
        <w:t xml:space="preserve"> review and agreed with the primary recommendation to introduce a mandatory </w:t>
      </w:r>
      <w:r w:rsidR="00BD700C" w:rsidRPr="0053017D">
        <w:rPr>
          <w:rFonts w:ascii="Arial" w:hAnsi="Arial" w:cs="Arial"/>
        </w:rPr>
        <w:t>code of conduct for winegrape purchases</w:t>
      </w:r>
      <w:r w:rsidRPr="0053017D">
        <w:rPr>
          <w:rFonts w:ascii="Arial" w:hAnsi="Arial" w:cs="Arial"/>
        </w:rPr>
        <w:t>.</w:t>
      </w:r>
    </w:p>
    <w:p w14:paraId="517157DF" w14:textId="2CE1942D" w:rsidR="00F45F91" w:rsidRPr="0053017D" w:rsidRDefault="00F45F91" w:rsidP="00F45F91">
      <w:pPr>
        <w:spacing w:before="120" w:line="276" w:lineRule="auto"/>
        <w:rPr>
          <w:rFonts w:ascii="Arial" w:hAnsi="Arial" w:cs="Arial"/>
        </w:rPr>
      </w:pPr>
      <w:r w:rsidRPr="0053017D">
        <w:rPr>
          <w:rFonts w:ascii="Arial" w:hAnsi="Arial" w:cs="Arial"/>
        </w:rPr>
        <w:t xml:space="preserve">The Australian Government acknowledges the Committee's report and welcomes the opportunity to respond. </w:t>
      </w:r>
    </w:p>
    <w:p w14:paraId="62B0EFD4" w14:textId="77777777" w:rsidR="00F45F91" w:rsidRPr="0053017D" w:rsidRDefault="00F45F91" w:rsidP="00F45F91">
      <w:pPr>
        <w:spacing w:before="120" w:line="276" w:lineRule="auto"/>
        <w:rPr>
          <w:rFonts w:ascii="Arial" w:hAnsi="Arial" w:cs="Arial"/>
        </w:rPr>
      </w:pPr>
    </w:p>
    <w:p w14:paraId="38ED8B7B" w14:textId="77777777" w:rsidR="00F45F91" w:rsidRPr="0053017D" w:rsidRDefault="00F45F91" w:rsidP="00F45F91">
      <w:pPr>
        <w:spacing w:before="120" w:line="276" w:lineRule="auto"/>
        <w:rPr>
          <w:rFonts w:ascii="Arial" w:eastAsiaTheme="minorHAnsi" w:hAnsi="Arial" w:cs="Arial"/>
          <w:bCs/>
        </w:rPr>
      </w:pPr>
    </w:p>
    <w:p w14:paraId="0C0CC401" w14:textId="77777777" w:rsidR="00F45F91" w:rsidRPr="0053017D" w:rsidRDefault="00F45F91" w:rsidP="00F45F91">
      <w:pPr>
        <w:spacing w:before="120"/>
        <w:rPr>
          <w:rStyle w:val="Strong"/>
          <w:rFonts w:eastAsiaTheme="minorHAnsi"/>
        </w:rPr>
      </w:pPr>
    </w:p>
    <w:p w14:paraId="60C8176E" w14:textId="77777777" w:rsidR="00F45F91" w:rsidRPr="0053017D" w:rsidRDefault="00F45F91" w:rsidP="00F45F91">
      <w:pPr>
        <w:spacing w:before="120"/>
        <w:rPr>
          <w:rStyle w:val="Strong"/>
          <w:rFonts w:eastAsiaTheme="minorHAnsi"/>
        </w:rPr>
      </w:pPr>
    </w:p>
    <w:p w14:paraId="7737B238" w14:textId="77777777" w:rsidR="00F45F91" w:rsidRPr="0053017D" w:rsidRDefault="00F45F91" w:rsidP="00F45F91">
      <w:pPr>
        <w:spacing w:before="120"/>
        <w:rPr>
          <w:rStyle w:val="Strong"/>
          <w:rFonts w:eastAsiaTheme="minorHAnsi"/>
        </w:rPr>
      </w:pPr>
    </w:p>
    <w:p w14:paraId="2EBD17B0" w14:textId="77777777" w:rsidR="00F45F91" w:rsidRPr="0053017D" w:rsidRDefault="00F45F91" w:rsidP="00F45F91">
      <w:pPr>
        <w:spacing w:before="120"/>
        <w:rPr>
          <w:rStyle w:val="Strong"/>
          <w:rFonts w:eastAsiaTheme="minorHAnsi"/>
        </w:rPr>
      </w:pPr>
    </w:p>
    <w:p w14:paraId="274292D5" w14:textId="77777777" w:rsidR="00F45F91" w:rsidRPr="0053017D" w:rsidRDefault="00F45F91" w:rsidP="00F45F91">
      <w:pPr>
        <w:spacing w:before="120"/>
        <w:rPr>
          <w:rStyle w:val="Strong"/>
          <w:rFonts w:eastAsiaTheme="minorHAnsi"/>
        </w:rPr>
      </w:pPr>
    </w:p>
    <w:p w14:paraId="249B7E06" w14:textId="77777777" w:rsidR="0053017D" w:rsidRDefault="0053017D" w:rsidP="00F45F91">
      <w:pPr>
        <w:pStyle w:val="NormalWeb"/>
        <w:shd w:val="clear" w:color="auto" w:fill="FFFFFF"/>
        <w:spacing w:before="120" w:beforeAutospacing="0"/>
        <w:rPr>
          <w:rFonts w:ascii="Arial" w:eastAsia="Times New Roman" w:hAnsi="Arial" w:cs="Arial"/>
          <w:b/>
          <w:sz w:val="32"/>
          <w:szCs w:val="32"/>
        </w:rPr>
      </w:pPr>
    </w:p>
    <w:p w14:paraId="3CFA7637" w14:textId="46397071" w:rsidR="00F45F91" w:rsidRPr="0053017D" w:rsidRDefault="00F45F91" w:rsidP="00F45F91">
      <w:pPr>
        <w:pStyle w:val="NormalWeb"/>
        <w:shd w:val="clear" w:color="auto" w:fill="FFFFFF"/>
        <w:spacing w:before="120" w:beforeAutospacing="0"/>
        <w:rPr>
          <w:rFonts w:ascii="Arial" w:eastAsia="Times New Roman" w:hAnsi="Arial" w:cs="Arial"/>
          <w:b/>
          <w:sz w:val="32"/>
          <w:szCs w:val="32"/>
        </w:rPr>
      </w:pPr>
      <w:r w:rsidRPr="0053017D">
        <w:rPr>
          <w:rFonts w:ascii="Arial" w:eastAsia="Times New Roman" w:hAnsi="Arial" w:cs="Arial"/>
          <w:b/>
          <w:sz w:val="32"/>
          <w:szCs w:val="32"/>
        </w:rPr>
        <w:lastRenderedPageBreak/>
        <w:t xml:space="preserve">Response </w:t>
      </w:r>
    </w:p>
    <w:tbl>
      <w:tblPr>
        <w:tblStyle w:val="TableGrid"/>
        <w:tblpPr w:leftFromText="180" w:rightFromText="180" w:vertAnchor="text" w:horzAnchor="margin" w:tblpY="78"/>
        <w:tblW w:w="9015" w:type="dxa"/>
        <w:tblLook w:val="04A0" w:firstRow="1" w:lastRow="0" w:firstColumn="1" w:lastColumn="0" w:noHBand="0" w:noVBand="1"/>
      </w:tblPr>
      <w:tblGrid>
        <w:gridCol w:w="9015"/>
      </w:tblGrid>
      <w:tr w:rsidR="00F45F91" w:rsidRPr="0053017D" w14:paraId="11DAFF5B" w14:textId="77777777" w:rsidTr="007868A6">
        <w:trPr>
          <w:cnfStyle w:val="100000000000" w:firstRow="1" w:lastRow="0" w:firstColumn="0" w:lastColumn="0" w:oddVBand="0" w:evenVBand="0" w:oddHBand="0" w:evenHBand="0" w:firstRowFirstColumn="0" w:firstRowLastColumn="0" w:lastRowFirstColumn="0" w:lastRowLastColumn="0"/>
          <w:trHeight w:val="4305"/>
        </w:trPr>
        <w:tc>
          <w:tcPr>
            <w:tcW w:w="9015" w:type="dxa"/>
          </w:tcPr>
          <w:p w14:paraId="6F95F691" w14:textId="77777777" w:rsidR="00F45F91" w:rsidRPr="0053017D" w:rsidRDefault="00F45F91" w:rsidP="007868A6">
            <w:pPr>
              <w:pStyle w:val="NormalWeb"/>
              <w:spacing w:before="120" w:beforeAutospacing="0" w:after="120" w:afterAutospacing="0" w:line="276" w:lineRule="auto"/>
              <w:rPr>
                <w:rStyle w:val="Strong"/>
                <w:rFonts w:ascii="Arial" w:hAnsi="Arial" w:cs="Arial"/>
              </w:rPr>
            </w:pPr>
            <w:r w:rsidRPr="0053017D">
              <w:rPr>
                <w:rStyle w:val="Strong"/>
                <w:rFonts w:ascii="Arial" w:hAnsi="Arial"/>
              </w:rPr>
              <w:br w:type="column"/>
            </w:r>
            <w:r w:rsidRPr="0053017D">
              <w:rPr>
                <w:rStyle w:val="Strong"/>
                <w:rFonts w:ascii="Arial" w:hAnsi="Arial" w:cs="Arial"/>
              </w:rPr>
              <w:t>Recommendation 1</w:t>
            </w:r>
          </w:p>
          <w:p w14:paraId="67211521"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Fonts w:ascii="Arial" w:hAnsi="Arial" w:cs="Arial"/>
              </w:rPr>
              <w:t xml:space="preserve">The committee recommends that the Treasurer, in consultation with stakeholders and the Australian Competition and Consumer Commission (ACCC), determines the most appropriate model for a mandatory code of conduct for Australian winegrape purchases (code of conduct) across all of Australia’s winegrape growing regions, with a specific focus on the most impacted inland regions of the Riverland, Riverina, and Murray Valley (including Sunraysia); to be implemented by the ACCC. The code of conduct should establish fair and equitable terms addressing the following: </w:t>
            </w:r>
          </w:p>
          <w:p w14:paraId="7B3487F3" w14:textId="77777777" w:rsidR="00F45F91" w:rsidRPr="0053017D" w:rsidRDefault="00F45F91" w:rsidP="007868A6">
            <w:pPr>
              <w:pStyle w:val="NormalWeb"/>
              <w:numPr>
                <w:ilvl w:val="0"/>
                <w:numId w:val="5"/>
              </w:numPr>
              <w:spacing w:before="120" w:beforeAutospacing="0" w:after="120" w:afterAutospacing="0" w:line="276" w:lineRule="auto"/>
              <w:rPr>
                <w:rFonts w:ascii="Arial" w:hAnsi="Arial" w:cs="Arial"/>
              </w:rPr>
            </w:pPr>
            <w:r w:rsidRPr="0053017D">
              <w:rPr>
                <w:rFonts w:ascii="Arial" w:hAnsi="Arial" w:cs="Arial"/>
              </w:rPr>
              <w:t xml:space="preserve">payment terms to be limited to within the financial year of delivery at the </w:t>
            </w:r>
            <w:proofErr w:type="gramStart"/>
            <w:r w:rsidRPr="0053017D">
              <w:rPr>
                <w:rFonts w:ascii="Arial" w:hAnsi="Arial" w:cs="Arial"/>
              </w:rPr>
              <w:t>latest;</w:t>
            </w:r>
            <w:proofErr w:type="gramEnd"/>
            <w:r w:rsidRPr="0053017D">
              <w:rPr>
                <w:rFonts w:ascii="Arial" w:hAnsi="Arial" w:cs="Arial"/>
              </w:rPr>
              <w:t xml:space="preserve"> </w:t>
            </w:r>
          </w:p>
          <w:p w14:paraId="295063E0" w14:textId="77777777" w:rsidR="00F45F91" w:rsidRPr="0053017D" w:rsidRDefault="00F45F91" w:rsidP="007868A6">
            <w:pPr>
              <w:pStyle w:val="NormalWeb"/>
              <w:numPr>
                <w:ilvl w:val="0"/>
                <w:numId w:val="5"/>
              </w:numPr>
              <w:spacing w:before="120" w:beforeAutospacing="0" w:after="120" w:afterAutospacing="0" w:line="276" w:lineRule="auto"/>
              <w:rPr>
                <w:rFonts w:ascii="Arial" w:hAnsi="Arial" w:cs="Arial"/>
              </w:rPr>
            </w:pPr>
            <w:r w:rsidRPr="0053017D">
              <w:rPr>
                <w:rFonts w:ascii="Arial" w:hAnsi="Arial" w:cs="Arial"/>
              </w:rPr>
              <w:t xml:space="preserve">quality requirements including minimum standards, measurement methods, and what actions will be taken if the requirements are not </w:t>
            </w:r>
            <w:proofErr w:type="gramStart"/>
            <w:r w:rsidRPr="0053017D">
              <w:rPr>
                <w:rFonts w:ascii="Arial" w:hAnsi="Arial" w:cs="Arial"/>
              </w:rPr>
              <w:t>met;</w:t>
            </w:r>
            <w:proofErr w:type="gramEnd"/>
            <w:r w:rsidRPr="0053017D">
              <w:rPr>
                <w:rFonts w:ascii="Arial" w:hAnsi="Arial" w:cs="Arial"/>
              </w:rPr>
              <w:t xml:space="preserve"> </w:t>
            </w:r>
          </w:p>
          <w:p w14:paraId="0C143FC0" w14:textId="77777777" w:rsidR="00F45F91" w:rsidRPr="0053017D" w:rsidRDefault="00F45F91" w:rsidP="007868A6">
            <w:pPr>
              <w:pStyle w:val="NormalWeb"/>
              <w:numPr>
                <w:ilvl w:val="0"/>
                <w:numId w:val="5"/>
              </w:numPr>
              <w:spacing w:before="120" w:beforeAutospacing="0" w:after="120" w:afterAutospacing="0" w:line="276" w:lineRule="auto"/>
              <w:rPr>
                <w:rFonts w:ascii="Arial" w:hAnsi="Arial" w:cs="Arial"/>
              </w:rPr>
            </w:pPr>
            <w:r w:rsidRPr="0053017D">
              <w:rPr>
                <w:rFonts w:ascii="Arial" w:hAnsi="Arial" w:cs="Arial"/>
              </w:rPr>
              <w:t xml:space="preserve">earlier indicative pricing; and </w:t>
            </w:r>
          </w:p>
          <w:p w14:paraId="7FDE6523" w14:textId="77777777" w:rsidR="00F45F91" w:rsidRPr="0053017D" w:rsidRDefault="00F45F91" w:rsidP="007868A6">
            <w:pPr>
              <w:pStyle w:val="NormalWeb"/>
              <w:numPr>
                <w:ilvl w:val="0"/>
                <w:numId w:val="5"/>
              </w:numPr>
              <w:spacing w:before="120" w:beforeAutospacing="0" w:after="120" w:afterAutospacing="0" w:line="276" w:lineRule="auto"/>
              <w:rPr>
                <w:rFonts w:ascii="Arial" w:hAnsi="Arial" w:cs="Arial"/>
              </w:rPr>
            </w:pPr>
            <w:r w:rsidRPr="0053017D">
              <w:rPr>
                <w:rFonts w:ascii="Arial" w:hAnsi="Arial" w:cs="Arial"/>
              </w:rPr>
              <w:t>binding dispute resolution.</w:t>
            </w:r>
          </w:p>
        </w:tc>
      </w:tr>
    </w:tbl>
    <w:p w14:paraId="1983017B" w14:textId="77777777" w:rsidR="00F45F91" w:rsidRPr="0053017D" w:rsidRDefault="00F45F91" w:rsidP="00F45F91">
      <w:pPr>
        <w:pStyle w:val="NormalWeb"/>
        <w:spacing w:before="120" w:beforeAutospacing="0" w:after="120" w:afterAutospacing="0" w:line="276" w:lineRule="auto"/>
        <w:rPr>
          <w:rFonts w:ascii="Arial" w:hAnsi="Arial" w:cs="Arial"/>
          <w:i/>
        </w:rPr>
      </w:pPr>
      <w:r w:rsidRPr="0053017D">
        <w:rPr>
          <w:rStyle w:val="Strong"/>
          <w:rFonts w:ascii="Arial" w:hAnsi="Arial" w:cs="Arial"/>
        </w:rPr>
        <w:t>Response</w:t>
      </w:r>
    </w:p>
    <w:p w14:paraId="51DC80BB" w14:textId="4B2916FE"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Australian Government </w:t>
      </w:r>
      <w:r w:rsidR="00DA5AB3" w:rsidRPr="0053017D">
        <w:rPr>
          <w:rFonts w:ascii="Arial" w:eastAsia="Calibri" w:hAnsi="Arial" w:cs="Arial"/>
          <w:b/>
          <w:bCs/>
        </w:rPr>
        <w:t>supports</w:t>
      </w:r>
      <w:r w:rsidR="00DA5AB3" w:rsidRPr="0053017D">
        <w:rPr>
          <w:rFonts w:ascii="Arial" w:eastAsia="Calibri" w:hAnsi="Arial" w:cs="Arial"/>
        </w:rPr>
        <w:t xml:space="preserve"> </w:t>
      </w:r>
      <w:r w:rsidRPr="0053017D">
        <w:rPr>
          <w:rFonts w:ascii="Arial" w:eastAsia="Calibri" w:hAnsi="Arial" w:cs="Arial"/>
        </w:rPr>
        <w:t xml:space="preserve">this recommendation.  </w:t>
      </w:r>
    </w:p>
    <w:p w14:paraId="625166C0" w14:textId="5ABCCB83" w:rsidR="00FB39A6" w:rsidRPr="0053017D" w:rsidRDefault="00611A5C" w:rsidP="00611A5C">
      <w:pPr>
        <w:spacing w:before="120" w:line="276" w:lineRule="auto"/>
        <w:rPr>
          <w:rFonts w:ascii="Arial" w:eastAsia="Calibri" w:hAnsi="Arial" w:cs="Arial"/>
        </w:rPr>
      </w:pPr>
      <w:r w:rsidRPr="0053017D">
        <w:rPr>
          <w:rFonts w:ascii="Arial" w:eastAsia="Calibri" w:hAnsi="Arial" w:cs="Arial"/>
        </w:rPr>
        <w:t xml:space="preserve">On 22 December 2025, </w:t>
      </w:r>
      <w:r w:rsidR="00952F2B" w:rsidRPr="0053017D">
        <w:rPr>
          <w:rFonts w:ascii="Arial" w:eastAsia="Calibri" w:hAnsi="Arial" w:cs="Arial"/>
        </w:rPr>
        <w:t xml:space="preserve">in response to Dr Craig Emerson’s independent impact analysis of regulatory options for the wine and grape sector, </w:t>
      </w:r>
      <w:r w:rsidRPr="0053017D">
        <w:rPr>
          <w:rFonts w:ascii="Arial" w:eastAsia="Calibri" w:hAnsi="Arial" w:cs="Arial"/>
        </w:rPr>
        <w:t xml:space="preserve">the Australian Government announced that it would </w:t>
      </w:r>
      <w:r w:rsidR="00CA084B" w:rsidRPr="0053017D">
        <w:rPr>
          <w:rFonts w:ascii="Arial" w:eastAsia="Calibri" w:hAnsi="Arial" w:cs="Arial"/>
        </w:rPr>
        <w:t xml:space="preserve">introduce </w:t>
      </w:r>
      <w:r w:rsidRPr="0053017D">
        <w:rPr>
          <w:rFonts w:ascii="Arial" w:eastAsia="Calibri" w:hAnsi="Arial" w:cs="Arial"/>
        </w:rPr>
        <w:t>a mandatory Code of Conduct for Winegrape Purchases</w:t>
      </w:r>
      <w:r w:rsidR="00BD700C" w:rsidRPr="0053017D">
        <w:rPr>
          <w:rFonts w:ascii="Arial" w:eastAsia="Calibri" w:hAnsi="Arial" w:cs="Arial"/>
        </w:rPr>
        <w:t xml:space="preserve"> (mandatory Code)</w:t>
      </w:r>
      <w:r w:rsidR="0032382A" w:rsidRPr="0053017D">
        <w:rPr>
          <w:rFonts w:ascii="Arial" w:eastAsia="Calibri" w:hAnsi="Arial" w:cs="Arial"/>
        </w:rPr>
        <w:t xml:space="preserve"> by 1 January 2027</w:t>
      </w:r>
      <w:r w:rsidRPr="0053017D">
        <w:rPr>
          <w:rFonts w:ascii="Arial" w:eastAsia="Calibri" w:hAnsi="Arial" w:cs="Arial"/>
        </w:rPr>
        <w:t xml:space="preserve">. </w:t>
      </w:r>
    </w:p>
    <w:p w14:paraId="454947DD" w14:textId="7F5C7D5B" w:rsidR="00270530" w:rsidRPr="0053017D" w:rsidRDefault="0032382A" w:rsidP="00DA5AB3">
      <w:pPr>
        <w:spacing w:before="120" w:line="276" w:lineRule="auto"/>
        <w:rPr>
          <w:rFonts w:ascii="Arial" w:eastAsia="Calibri" w:hAnsi="Arial" w:cs="Arial"/>
        </w:rPr>
      </w:pPr>
      <w:r w:rsidRPr="0053017D">
        <w:rPr>
          <w:rFonts w:ascii="Arial" w:eastAsia="Calibri" w:hAnsi="Arial" w:cs="Arial"/>
        </w:rPr>
        <w:t xml:space="preserve">The </w:t>
      </w:r>
      <w:r w:rsidR="00255B83" w:rsidRPr="0053017D">
        <w:rPr>
          <w:rFonts w:ascii="Arial" w:eastAsia="Calibri" w:hAnsi="Arial" w:cs="Arial"/>
        </w:rPr>
        <w:t xml:space="preserve">Australian </w:t>
      </w:r>
      <w:r w:rsidRPr="0053017D">
        <w:rPr>
          <w:rFonts w:ascii="Arial" w:eastAsia="Calibri" w:hAnsi="Arial" w:cs="Arial"/>
        </w:rPr>
        <w:t>Government’s response agreed</w:t>
      </w:r>
      <w:r w:rsidR="00270530" w:rsidRPr="0053017D">
        <w:rPr>
          <w:rFonts w:ascii="Arial" w:eastAsia="Calibri" w:hAnsi="Arial" w:cs="Arial"/>
        </w:rPr>
        <w:t>:</w:t>
      </w:r>
    </w:p>
    <w:p w14:paraId="1BEB1B63" w14:textId="68051131" w:rsidR="00FB39A6" w:rsidRPr="0053017D" w:rsidRDefault="00DA5AB3" w:rsidP="001E40C9">
      <w:pPr>
        <w:pStyle w:val="ListParagraph"/>
        <w:numPr>
          <w:ilvl w:val="0"/>
          <w:numId w:val="10"/>
        </w:numPr>
        <w:spacing w:before="120" w:line="276" w:lineRule="auto"/>
        <w:rPr>
          <w:rFonts w:ascii="Arial" w:eastAsia="Calibri" w:hAnsi="Arial" w:cs="Arial"/>
        </w:rPr>
      </w:pPr>
      <w:r w:rsidRPr="0053017D">
        <w:rPr>
          <w:rFonts w:ascii="Arial" w:eastAsia="Calibri" w:hAnsi="Arial" w:cs="Arial"/>
        </w:rPr>
        <w:t>the mandatory Code</w:t>
      </w:r>
      <w:r w:rsidR="0032382A" w:rsidRPr="0053017D">
        <w:rPr>
          <w:rFonts w:ascii="Arial" w:eastAsia="Calibri" w:hAnsi="Arial" w:cs="Arial"/>
        </w:rPr>
        <w:t xml:space="preserve"> should apply to</w:t>
      </w:r>
      <w:r w:rsidRPr="0053017D" w:rsidDel="0032382A">
        <w:rPr>
          <w:rFonts w:ascii="Arial" w:eastAsia="Calibri" w:hAnsi="Arial" w:cs="Arial"/>
        </w:rPr>
        <w:t xml:space="preserve"> </w:t>
      </w:r>
      <w:r w:rsidRPr="0053017D">
        <w:rPr>
          <w:rFonts w:ascii="Arial" w:eastAsia="Calibri" w:hAnsi="Arial" w:cs="Arial"/>
        </w:rPr>
        <w:t>winemakers whose purchases of grapes exceed a three-year moving average of 2,000 tonnes per annum</w:t>
      </w:r>
    </w:p>
    <w:p w14:paraId="0E050299" w14:textId="32099154" w:rsidR="0032382A" w:rsidRPr="0053017D" w:rsidRDefault="0032382A" w:rsidP="001E40C9">
      <w:pPr>
        <w:pStyle w:val="ListParagraph"/>
        <w:numPr>
          <w:ilvl w:val="0"/>
          <w:numId w:val="10"/>
        </w:numPr>
        <w:spacing w:before="120" w:line="276" w:lineRule="auto"/>
        <w:rPr>
          <w:rFonts w:ascii="Arial" w:eastAsia="Calibri" w:hAnsi="Arial" w:cs="Arial"/>
        </w:rPr>
      </w:pPr>
      <w:r w:rsidRPr="0053017D">
        <w:rPr>
          <w:rFonts w:ascii="Arial" w:eastAsia="Calibri" w:hAnsi="Arial" w:cs="Arial"/>
        </w:rPr>
        <w:t>the mandatory Code should require winemakers to make earlier, binding offers for each grape variety they seek under contract from the Riverland, Murray Darling and Swan Hill, and Riverina regions and that these prices be made public</w:t>
      </w:r>
    </w:p>
    <w:p w14:paraId="2E2A684C" w14:textId="2762733F" w:rsidR="0032382A" w:rsidRPr="0053017D" w:rsidRDefault="0032382A" w:rsidP="001E40C9">
      <w:pPr>
        <w:pStyle w:val="ListParagraph"/>
        <w:numPr>
          <w:ilvl w:val="0"/>
          <w:numId w:val="10"/>
        </w:numPr>
        <w:spacing w:before="120" w:line="276" w:lineRule="auto"/>
        <w:rPr>
          <w:rFonts w:ascii="Arial" w:eastAsia="Calibri" w:hAnsi="Arial" w:cs="Arial"/>
        </w:rPr>
      </w:pPr>
      <w:r w:rsidRPr="0053017D">
        <w:rPr>
          <w:rFonts w:ascii="Arial" w:eastAsia="Calibri" w:hAnsi="Arial" w:cs="Arial"/>
        </w:rPr>
        <w:t>winemakers covered by the mandatory Code should be required to publish their payment terms</w:t>
      </w:r>
      <w:r w:rsidR="0086408E" w:rsidRPr="0053017D">
        <w:rPr>
          <w:rFonts w:ascii="Arial" w:eastAsia="Calibri" w:hAnsi="Arial" w:cs="Arial"/>
        </w:rPr>
        <w:t xml:space="preserve">, with the </w:t>
      </w:r>
      <w:r w:rsidRPr="0053017D">
        <w:rPr>
          <w:rFonts w:ascii="Arial" w:eastAsia="Calibri" w:hAnsi="Arial" w:cs="Arial"/>
        </w:rPr>
        <w:t xml:space="preserve">Government </w:t>
      </w:r>
      <w:r w:rsidR="0086408E" w:rsidRPr="0053017D">
        <w:rPr>
          <w:rFonts w:ascii="Arial" w:eastAsia="Calibri" w:hAnsi="Arial" w:cs="Arial"/>
        </w:rPr>
        <w:t xml:space="preserve">to </w:t>
      </w:r>
      <w:r w:rsidRPr="0053017D">
        <w:rPr>
          <w:rFonts w:ascii="Arial" w:eastAsia="Calibri" w:hAnsi="Arial" w:cs="Arial"/>
        </w:rPr>
        <w:t xml:space="preserve">monitor payment practices and carefully consider whether further improvements can be made </w:t>
      </w:r>
    </w:p>
    <w:p w14:paraId="5FB0B03C" w14:textId="23F33731" w:rsidR="00B12371" w:rsidRPr="0053017D" w:rsidRDefault="0032382A" w:rsidP="00B12371">
      <w:pPr>
        <w:pStyle w:val="ListParagraph"/>
        <w:numPr>
          <w:ilvl w:val="0"/>
          <w:numId w:val="10"/>
        </w:numPr>
        <w:spacing w:before="120" w:line="276" w:lineRule="auto"/>
        <w:rPr>
          <w:rFonts w:ascii="Arial" w:eastAsia="Calibri" w:hAnsi="Arial" w:cs="Arial"/>
        </w:rPr>
      </w:pPr>
      <w:r w:rsidRPr="0053017D">
        <w:rPr>
          <w:rFonts w:ascii="Arial" w:eastAsia="Calibri" w:hAnsi="Arial" w:cs="Arial"/>
        </w:rPr>
        <w:t>objective standards for grape assessment of maturity, purity, condition and other grape parameters relating to quality – as contained in the existing voluntary Code – should be specified by winemakers subject to the mandatory Code in their contracts with grape growers</w:t>
      </w:r>
    </w:p>
    <w:p w14:paraId="7CA5D8CB" w14:textId="449929A5" w:rsidR="0032382A" w:rsidRPr="0053017D" w:rsidRDefault="00B12371" w:rsidP="001E40C9">
      <w:pPr>
        <w:pStyle w:val="ListParagraph"/>
        <w:numPr>
          <w:ilvl w:val="0"/>
          <w:numId w:val="10"/>
        </w:numPr>
        <w:spacing w:before="120" w:line="276" w:lineRule="auto"/>
        <w:rPr>
          <w:rFonts w:ascii="Arial" w:eastAsia="Calibri" w:hAnsi="Arial" w:cs="Arial"/>
        </w:rPr>
      </w:pPr>
      <w:r w:rsidRPr="0053017D">
        <w:rPr>
          <w:rFonts w:ascii="Arial" w:eastAsia="Calibri" w:hAnsi="Arial" w:cs="Arial"/>
        </w:rPr>
        <w:lastRenderedPageBreak/>
        <w:t>a</w:t>
      </w:r>
      <w:r w:rsidR="0032382A" w:rsidRPr="0053017D">
        <w:rPr>
          <w:rFonts w:ascii="Arial" w:eastAsia="Calibri" w:hAnsi="Arial" w:cs="Arial"/>
        </w:rPr>
        <w:t>ny deductions from the offer price, or any other adverse decisions such as rejection of the grapes, must be clearly communicated to growers before any price deduction or adverse decision is made</w:t>
      </w:r>
    </w:p>
    <w:p w14:paraId="117C9183" w14:textId="75BCEDE2" w:rsidR="0032382A" w:rsidRPr="0053017D" w:rsidRDefault="0032382A" w:rsidP="001E40C9">
      <w:pPr>
        <w:pStyle w:val="ListParagraph"/>
        <w:numPr>
          <w:ilvl w:val="0"/>
          <w:numId w:val="10"/>
        </w:numPr>
        <w:spacing w:before="120" w:line="276" w:lineRule="auto"/>
        <w:rPr>
          <w:rFonts w:ascii="Arial" w:eastAsia="Calibri" w:hAnsi="Arial" w:cs="Arial"/>
        </w:rPr>
      </w:pPr>
      <w:r w:rsidRPr="0053017D">
        <w:rPr>
          <w:rFonts w:ascii="Arial" w:eastAsia="Calibri" w:hAnsi="Arial" w:cs="Arial"/>
        </w:rPr>
        <w:t>the mandatory Code should provide parties with appropriate avenues to resolve disputes</w:t>
      </w:r>
      <w:r w:rsidR="00B12371" w:rsidRPr="0053017D">
        <w:rPr>
          <w:rFonts w:ascii="Arial" w:eastAsia="Calibri" w:hAnsi="Arial" w:cs="Arial"/>
        </w:rPr>
        <w:t>,</w:t>
      </w:r>
      <w:r w:rsidR="00C553C7" w:rsidRPr="0053017D">
        <w:rPr>
          <w:rFonts w:ascii="Arial" w:eastAsia="Calibri" w:hAnsi="Arial" w:cs="Arial"/>
        </w:rPr>
        <w:t xml:space="preserve"> </w:t>
      </w:r>
      <w:r w:rsidR="00B12371" w:rsidRPr="0053017D">
        <w:rPr>
          <w:rFonts w:ascii="Arial" w:eastAsia="Calibri" w:hAnsi="Arial" w:cs="Arial"/>
        </w:rPr>
        <w:t>with</w:t>
      </w:r>
      <w:r w:rsidR="00CA084B" w:rsidRPr="0053017D">
        <w:rPr>
          <w:rFonts w:ascii="Arial" w:eastAsia="Calibri" w:hAnsi="Arial" w:cs="Arial"/>
        </w:rPr>
        <w:t xml:space="preserve"> </w:t>
      </w:r>
      <w:r w:rsidR="00C553C7" w:rsidRPr="0053017D">
        <w:rPr>
          <w:rFonts w:ascii="Arial" w:eastAsia="Calibri" w:hAnsi="Arial" w:cs="Arial"/>
        </w:rPr>
        <w:t xml:space="preserve">the </w:t>
      </w:r>
      <w:r w:rsidR="00CA084B" w:rsidRPr="0053017D">
        <w:rPr>
          <w:rFonts w:ascii="Arial" w:eastAsia="Calibri" w:hAnsi="Arial" w:cs="Arial"/>
        </w:rPr>
        <w:t>establish</w:t>
      </w:r>
      <w:r w:rsidR="00C553C7" w:rsidRPr="0053017D">
        <w:rPr>
          <w:rFonts w:ascii="Arial" w:eastAsia="Calibri" w:hAnsi="Arial" w:cs="Arial"/>
        </w:rPr>
        <w:t>ment of</w:t>
      </w:r>
      <w:r w:rsidR="00CA084B" w:rsidRPr="0053017D">
        <w:rPr>
          <w:rFonts w:ascii="Arial" w:eastAsia="Calibri" w:hAnsi="Arial" w:cs="Arial"/>
        </w:rPr>
        <w:t xml:space="preserve"> an anonymous complaints mechanism</w:t>
      </w:r>
      <w:r w:rsidR="00B16F19" w:rsidRPr="0053017D">
        <w:rPr>
          <w:rFonts w:ascii="Arial" w:eastAsia="Calibri" w:hAnsi="Arial" w:cs="Arial"/>
        </w:rPr>
        <w:t xml:space="preserve"> and</w:t>
      </w:r>
      <w:r w:rsidR="00CA084B" w:rsidRPr="0053017D">
        <w:rPr>
          <w:rFonts w:ascii="Arial" w:eastAsia="Calibri" w:hAnsi="Arial" w:cs="Arial"/>
        </w:rPr>
        <w:t xml:space="preserve"> protection against retribution in</w:t>
      </w:r>
      <w:r w:rsidR="00C553C7" w:rsidRPr="0053017D">
        <w:rPr>
          <w:rFonts w:ascii="Arial" w:eastAsia="Calibri" w:hAnsi="Arial" w:cs="Arial"/>
        </w:rPr>
        <w:t>cluded in</w:t>
      </w:r>
      <w:r w:rsidR="00CA084B" w:rsidRPr="0053017D">
        <w:rPr>
          <w:rFonts w:ascii="Arial" w:eastAsia="Calibri" w:hAnsi="Arial" w:cs="Arial"/>
        </w:rPr>
        <w:t xml:space="preserve"> the purpose of the mandatory Code.</w:t>
      </w:r>
    </w:p>
    <w:p w14:paraId="1E3358C6" w14:textId="2BF2A4A8" w:rsidR="00F45F91" w:rsidRPr="0053017D" w:rsidRDefault="00CA084B" w:rsidP="00526FB3">
      <w:pPr>
        <w:spacing w:before="120" w:line="276" w:lineRule="auto"/>
        <w:rPr>
          <w:rFonts w:ascii="Arial" w:eastAsia="Calibri" w:hAnsi="Arial" w:cs="Arial"/>
          <w:sz w:val="28"/>
          <w:szCs w:val="28"/>
        </w:rPr>
      </w:pPr>
      <w:r w:rsidRPr="0053017D">
        <w:rPr>
          <w:rFonts w:ascii="Arial" w:eastAsia="Calibri" w:hAnsi="Arial" w:cs="Arial"/>
        </w:rPr>
        <w:t xml:space="preserve">The Government </w:t>
      </w:r>
      <w:r w:rsidR="00952F2B" w:rsidRPr="0053017D">
        <w:rPr>
          <w:rFonts w:ascii="Arial" w:eastAsia="Calibri" w:hAnsi="Arial" w:cs="Arial"/>
        </w:rPr>
        <w:t xml:space="preserve">will work closely with industry to ensure that the mandatory Code is fit for purpose </w:t>
      </w:r>
      <w:r w:rsidR="00593AB3" w:rsidRPr="0053017D">
        <w:rPr>
          <w:rFonts w:ascii="Arial" w:eastAsia="Calibri" w:hAnsi="Arial" w:cs="Arial"/>
        </w:rPr>
        <w:t>through consultation with an established</w:t>
      </w:r>
      <w:r w:rsidRPr="0053017D">
        <w:rPr>
          <w:rFonts w:ascii="Arial" w:eastAsia="Calibri" w:hAnsi="Arial" w:cs="Arial"/>
        </w:rPr>
        <w:t xml:space="preserve"> advisory group to </w:t>
      </w:r>
      <w:r w:rsidR="00952F2B" w:rsidRPr="0053017D">
        <w:rPr>
          <w:rFonts w:ascii="Arial" w:eastAsia="Calibri" w:hAnsi="Arial" w:cs="Arial"/>
        </w:rPr>
        <w:t xml:space="preserve">guide its </w:t>
      </w:r>
      <w:r w:rsidR="005A6B42" w:rsidRPr="0053017D">
        <w:rPr>
          <w:rFonts w:ascii="Arial" w:eastAsia="Calibri" w:hAnsi="Arial" w:cs="Arial"/>
        </w:rPr>
        <w:t>implementation</w:t>
      </w:r>
      <w:r w:rsidRPr="0053017D">
        <w:rPr>
          <w:rFonts w:ascii="Arial" w:eastAsia="Calibri" w:hAnsi="Arial" w:cs="Arial"/>
        </w:rPr>
        <w:t xml:space="preserve">. </w:t>
      </w:r>
      <w:r w:rsidR="00B16F19" w:rsidRPr="0053017D">
        <w:rPr>
          <w:rFonts w:ascii="Arial" w:eastAsia="Calibri" w:hAnsi="Arial" w:cs="Arial"/>
        </w:rPr>
        <w:t xml:space="preserve">The </w:t>
      </w:r>
      <w:r w:rsidRPr="0053017D">
        <w:rPr>
          <w:rFonts w:ascii="Arial" w:eastAsia="Calibri" w:hAnsi="Arial" w:cs="Arial"/>
        </w:rPr>
        <w:t>Government</w:t>
      </w:r>
      <w:r w:rsidR="00952F2B" w:rsidRPr="0053017D">
        <w:rPr>
          <w:rFonts w:ascii="Arial" w:eastAsia="Calibri" w:hAnsi="Arial" w:cs="Arial"/>
        </w:rPr>
        <w:t xml:space="preserve"> will review the mandatory Code after two years of operation.</w:t>
      </w:r>
    </w:p>
    <w:p w14:paraId="6C476885" w14:textId="77777777" w:rsidR="0032382A" w:rsidRPr="0053017D" w:rsidRDefault="0032382A" w:rsidP="00F45F91">
      <w:pPr>
        <w:pStyle w:val="ListBullet"/>
        <w:numPr>
          <w:ilvl w:val="0"/>
          <w:numId w:val="0"/>
        </w:numPr>
        <w:spacing w:before="120" w:line="276" w:lineRule="auto"/>
        <w:rPr>
          <w:rFonts w:ascii="Arial" w:hAnsi="Arial" w:cs="Arial"/>
          <w:sz w:val="24"/>
          <w:szCs w:val="24"/>
        </w:rPr>
      </w:pPr>
    </w:p>
    <w:tbl>
      <w:tblPr>
        <w:tblStyle w:val="TableGrid"/>
        <w:tblW w:w="9014" w:type="dxa"/>
        <w:tblInd w:w="-5" w:type="dxa"/>
        <w:tblLook w:val="04A0" w:firstRow="1" w:lastRow="0" w:firstColumn="1" w:lastColumn="0" w:noHBand="0" w:noVBand="1"/>
      </w:tblPr>
      <w:tblGrid>
        <w:gridCol w:w="9014"/>
      </w:tblGrid>
      <w:tr w:rsidR="00F45F91" w:rsidRPr="0053017D" w14:paraId="5B2146FF" w14:textId="77777777" w:rsidTr="007868A6">
        <w:trPr>
          <w:cnfStyle w:val="100000000000" w:firstRow="1" w:lastRow="0" w:firstColumn="0" w:lastColumn="0" w:oddVBand="0" w:evenVBand="0" w:oddHBand="0" w:evenHBand="0" w:firstRowFirstColumn="0" w:firstRowLastColumn="0" w:lastRowFirstColumn="0" w:lastRowLastColumn="0"/>
          <w:trHeight w:val="1701"/>
        </w:trPr>
        <w:tc>
          <w:tcPr>
            <w:tcW w:w="9014" w:type="dxa"/>
          </w:tcPr>
          <w:p w14:paraId="32E153A9"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Style w:val="Strong"/>
                <w:rFonts w:ascii="Arial" w:hAnsi="Arial" w:cs="Arial"/>
              </w:rPr>
              <w:t>Recommendation 2</w:t>
            </w:r>
          </w:p>
          <w:p w14:paraId="095348EC"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Fonts w:ascii="Arial" w:hAnsi="Arial" w:cs="Arial"/>
              </w:rPr>
              <w:t>The committee recommends that Wine Australia continues to facilitate and enhance the collection and dissemination of wine and grape information and data that it publishes, for the benefit of wine and grape growing sectors.</w:t>
            </w:r>
          </w:p>
        </w:tc>
      </w:tr>
    </w:tbl>
    <w:p w14:paraId="26AD867F" w14:textId="77777777" w:rsidR="00F45F91" w:rsidRPr="0053017D" w:rsidRDefault="00F45F91" w:rsidP="00F45F91">
      <w:pPr>
        <w:pStyle w:val="NormalWeb"/>
        <w:keepNext/>
        <w:keepLines/>
        <w:spacing w:before="120" w:beforeAutospacing="0" w:after="120" w:afterAutospacing="0" w:line="276" w:lineRule="auto"/>
        <w:rPr>
          <w:rFonts w:ascii="Arial" w:hAnsi="Arial" w:cs="Arial"/>
          <w:b/>
          <w:bCs/>
        </w:rPr>
      </w:pPr>
      <w:r w:rsidRPr="0053017D">
        <w:rPr>
          <w:rStyle w:val="Strong"/>
          <w:rFonts w:ascii="Arial" w:hAnsi="Arial" w:cs="Arial"/>
        </w:rPr>
        <w:t>Response</w:t>
      </w:r>
    </w:p>
    <w:p w14:paraId="6A0D7227" w14:textId="77777777"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Australian Government </w:t>
      </w:r>
      <w:r w:rsidRPr="0053017D">
        <w:rPr>
          <w:rFonts w:ascii="Arial" w:eastAsia="Calibri" w:hAnsi="Arial" w:cs="Arial"/>
          <w:b/>
          <w:bCs/>
        </w:rPr>
        <w:t>supports</w:t>
      </w:r>
      <w:r w:rsidRPr="0053017D">
        <w:rPr>
          <w:rFonts w:ascii="Arial" w:eastAsia="Calibri" w:hAnsi="Arial" w:cs="Arial"/>
        </w:rPr>
        <w:t xml:space="preserve"> this recommendation. </w:t>
      </w:r>
    </w:p>
    <w:p w14:paraId="20E12EF7" w14:textId="26098C9D"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Wine Australia’s Market Insights team provides a comprehensive range of statistics, data, analysis and insights on wine markets, grape growing and wine production, to assist grape grower and wine maker decision-making.</w:t>
      </w:r>
    </w:p>
    <w:p w14:paraId="79D389AD" w14:textId="731F9DD9"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Wine Australia is also progressing work to establish a National Vineyard Register (NVR)</w:t>
      </w:r>
      <w:r w:rsidR="00AD5E0D" w:rsidRPr="0053017D">
        <w:rPr>
          <w:rFonts w:ascii="Arial" w:eastAsia="Calibri" w:hAnsi="Arial" w:cs="Arial"/>
        </w:rPr>
        <w:t>, funded</w:t>
      </w:r>
      <w:r w:rsidRPr="0053017D">
        <w:rPr>
          <w:rFonts w:ascii="Arial" w:eastAsia="Calibri" w:hAnsi="Arial" w:cs="Arial"/>
        </w:rPr>
        <w:t xml:space="preserve"> as part of the</w:t>
      </w:r>
      <w:r w:rsidR="00255B83" w:rsidRPr="0053017D">
        <w:rPr>
          <w:rFonts w:ascii="Arial" w:eastAsia="Calibri" w:hAnsi="Arial" w:cs="Arial"/>
        </w:rPr>
        <w:t xml:space="preserve"> Australian</w:t>
      </w:r>
      <w:r w:rsidRPr="0053017D">
        <w:rPr>
          <w:rFonts w:ascii="Arial" w:eastAsia="Calibri" w:hAnsi="Arial" w:cs="Arial"/>
        </w:rPr>
        <w:t xml:space="preserve"> Government's Grape and Wine Sector Long-Term Viability Package. </w:t>
      </w:r>
    </w:p>
    <w:p w14:paraId="4355AAC8" w14:textId="1DB86BD7"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NVR </w:t>
      </w:r>
      <w:r w:rsidR="0076133E" w:rsidRPr="0053017D">
        <w:rPr>
          <w:rFonts w:ascii="Arial" w:eastAsia="Calibri" w:hAnsi="Arial" w:cs="Arial"/>
        </w:rPr>
        <w:t>will</w:t>
      </w:r>
      <w:r w:rsidRPr="0053017D">
        <w:rPr>
          <w:rFonts w:ascii="Arial" w:eastAsia="Calibri" w:hAnsi="Arial" w:cs="Arial"/>
        </w:rPr>
        <w:t xml:space="preserve"> provide data on Australia’s vineyard supply base to enable growers and wine makers to make more informed decisions on planting requirements to meet market demand. This tool will also assist in filling gaps in Wine Australia’s data collection and market </w:t>
      </w:r>
      <w:r w:rsidR="00593AB3" w:rsidRPr="0053017D">
        <w:rPr>
          <w:rFonts w:ascii="Arial" w:eastAsia="Calibri" w:hAnsi="Arial" w:cs="Arial"/>
        </w:rPr>
        <w:t>insight’s</w:t>
      </w:r>
      <w:r w:rsidRPr="0053017D">
        <w:rPr>
          <w:rFonts w:ascii="Arial" w:eastAsia="Calibri" w:hAnsi="Arial" w:cs="Arial"/>
        </w:rPr>
        <w:t xml:space="preserve"> function, which has limited data on Australia’s national vineyard footprint.</w:t>
      </w:r>
    </w:p>
    <w:p w14:paraId="039AF614" w14:textId="6ADEFF5B" w:rsidR="0053017D" w:rsidRDefault="00F45F91" w:rsidP="0053017D">
      <w:pPr>
        <w:spacing w:before="120" w:line="276" w:lineRule="auto"/>
        <w:rPr>
          <w:rFonts w:ascii="Arial" w:eastAsia="Calibri" w:hAnsi="Arial" w:cs="Arial"/>
        </w:rPr>
      </w:pPr>
      <w:r w:rsidRPr="0053017D">
        <w:rPr>
          <w:rFonts w:ascii="Arial" w:eastAsia="Calibri" w:hAnsi="Arial" w:cs="Arial"/>
        </w:rPr>
        <w:t>The NVR will complement the existing data tools available to the sector including Wine Australia’s Grape Price Indicators and Export dashboards.</w:t>
      </w:r>
    </w:p>
    <w:p w14:paraId="0418B178" w14:textId="77777777" w:rsidR="0053017D" w:rsidRDefault="0053017D" w:rsidP="0053017D">
      <w:pPr>
        <w:spacing w:before="120" w:line="276" w:lineRule="auto"/>
        <w:rPr>
          <w:rFonts w:ascii="Arial" w:eastAsia="Calibri" w:hAnsi="Arial" w:cs="Arial"/>
        </w:rPr>
      </w:pPr>
    </w:p>
    <w:p w14:paraId="03CC1563" w14:textId="77777777" w:rsidR="0053017D" w:rsidRPr="0053017D" w:rsidRDefault="0053017D" w:rsidP="0053017D">
      <w:pPr>
        <w:spacing w:before="120" w:line="276" w:lineRule="auto"/>
        <w:rPr>
          <w:rFonts w:ascii="Arial" w:eastAsia="Calibri" w:hAnsi="Arial" w:cs="Arial"/>
        </w:rPr>
      </w:pPr>
    </w:p>
    <w:p w14:paraId="598319C3" w14:textId="77777777" w:rsidR="0053017D" w:rsidRPr="0053017D" w:rsidRDefault="0053017D" w:rsidP="0053017D">
      <w:pPr>
        <w:spacing w:before="120" w:line="276" w:lineRule="auto"/>
        <w:rPr>
          <w:rFonts w:ascii="Arial" w:eastAsia="Calibri" w:hAnsi="Arial" w:cs="Arial"/>
        </w:rPr>
      </w:pPr>
    </w:p>
    <w:tbl>
      <w:tblPr>
        <w:tblStyle w:val="TableGrid"/>
        <w:tblW w:w="9014" w:type="dxa"/>
        <w:tblInd w:w="-5" w:type="dxa"/>
        <w:tblLook w:val="04A0" w:firstRow="1" w:lastRow="0" w:firstColumn="1" w:lastColumn="0" w:noHBand="0" w:noVBand="1"/>
      </w:tblPr>
      <w:tblGrid>
        <w:gridCol w:w="9014"/>
      </w:tblGrid>
      <w:tr w:rsidR="00F45F91" w:rsidRPr="0053017D" w14:paraId="12CBABDB" w14:textId="77777777" w:rsidTr="007868A6">
        <w:trPr>
          <w:cnfStyle w:val="100000000000" w:firstRow="1" w:lastRow="0" w:firstColumn="0" w:lastColumn="0" w:oddVBand="0" w:evenVBand="0" w:oddHBand="0" w:evenHBand="0" w:firstRowFirstColumn="0" w:firstRowLastColumn="0" w:lastRowFirstColumn="0" w:lastRowLastColumn="0"/>
          <w:trHeight w:val="1701"/>
        </w:trPr>
        <w:tc>
          <w:tcPr>
            <w:tcW w:w="9014" w:type="dxa"/>
          </w:tcPr>
          <w:p w14:paraId="134D4DF8"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Style w:val="Strong"/>
                <w:rFonts w:ascii="Arial" w:hAnsi="Arial" w:cs="Arial"/>
              </w:rPr>
              <w:lastRenderedPageBreak/>
              <w:t>Recommendation 3</w:t>
            </w:r>
          </w:p>
          <w:p w14:paraId="17B4EBED" w14:textId="0BD7CE97" w:rsidR="00F45F91" w:rsidRPr="0053017D" w:rsidRDefault="00F45F91" w:rsidP="007868A6">
            <w:pPr>
              <w:pStyle w:val="NormalWeb"/>
              <w:spacing w:before="120" w:beforeAutospacing="0" w:after="120" w:afterAutospacing="0" w:line="276" w:lineRule="auto"/>
              <w:rPr>
                <w:rFonts w:ascii="Arial" w:hAnsi="Arial" w:cs="Arial"/>
              </w:rPr>
            </w:pPr>
            <w:r w:rsidRPr="0053017D">
              <w:rPr>
                <w:rFonts w:ascii="Arial" w:hAnsi="Arial" w:cs="Arial"/>
              </w:rPr>
              <w:t xml:space="preserve">The committee recommends that the Australian Government investigates the feasibility of distilling excess wine into industrial </w:t>
            </w:r>
            <w:proofErr w:type="gramStart"/>
            <w:r w:rsidRPr="0053017D">
              <w:rPr>
                <w:rFonts w:ascii="Arial" w:hAnsi="Arial" w:cs="Arial"/>
              </w:rPr>
              <w:t>alcohol, or</w:t>
            </w:r>
            <w:proofErr w:type="gramEnd"/>
            <w:r w:rsidRPr="0053017D">
              <w:rPr>
                <w:rFonts w:ascii="Arial" w:hAnsi="Arial" w:cs="Arial"/>
              </w:rPr>
              <w:t xml:space="preserve"> otherwise disposing of a portion of Australia’s wine surplus.</w:t>
            </w:r>
          </w:p>
        </w:tc>
      </w:tr>
    </w:tbl>
    <w:p w14:paraId="2A8CB259" w14:textId="77777777" w:rsidR="00F45F91" w:rsidRPr="0053017D" w:rsidRDefault="00F45F91" w:rsidP="00F45F91">
      <w:pPr>
        <w:pStyle w:val="NormalWeb"/>
        <w:keepNext/>
        <w:keepLines/>
        <w:spacing w:before="120" w:beforeAutospacing="0" w:after="120" w:afterAutospacing="0" w:line="276" w:lineRule="auto"/>
        <w:rPr>
          <w:rFonts w:ascii="Arial" w:hAnsi="Arial" w:cs="Arial"/>
          <w:b/>
          <w:bCs/>
        </w:rPr>
      </w:pPr>
      <w:r w:rsidRPr="0053017D">
        <w:rPr>
          <w:rStyle w:val="Strong"/>
          <w:rFonts w:ascii="Arial" w:hAnsi="Arial" w:cs="Arial"/>
        </w:rPr>
        <w:t>Response</w:t>
      </w:r>
    </w:p>
    <w:p w14:paraId="72A2C63D" w14:textId="0063B516"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Australian Government </w:t>
      </w:r>
      <w:r w:rsidR="005F0232" w:rsidRPr="0053017D">
        <w:rPr>
          <w:rFonts w:ascii="Arial" w:eastAsia="Calibri" w:hAnsi="Arial" w:cs="Arial"/>
          <w:b/>
          <w:bCs/>
        </w:rPr>
        <w:t>notes</w:t>
      </w:r>
      <w:r w:rsidRPr="0053017D">
        <w:rPr>
          <w:rFonts w:ascii="Arial" w:eastAsia="Calibri" w:hAnsi="Arial" w:cs="Arial"/>
        </w:rPr>
        <w:t xml:space="preserve"> this recommendation.  </w:t>
      </w:r>
    </w:p>
    <w:p w14:paraId="1319BA8D" w14:textId="7AB95E6A" w:rsidR="00066D8A" w:rsidRPr="0053017D" w:rsidRDefault="00E4673B" w:rsidP="00F45F91">
      <w:pPr>
        <w:spacing w:before="120" w:line="276" w:lineRule="auto"/>
        <w:rPr>
          <w:rFonts w:ascii="Arial" w:eastAsia="Calibri" w:hAnsi="Arial" w:cs="Arial"/>
        </w:rPr>
      </w:pPr>
      <w:r w:rsidRPr="0053017D">
        <w:rPr>
          <w:rFonts w:ascii="Arial" w:eastAsia="Calibri" w:hAnsi="Arial" w:cs="Arial"/>
        </w:rPr>
        <w:t xml:space="preserve">Following extensive consultation with industry and </w:t>
      </w:r>
      <w:r w:rsidR="00F45F91" w:rsidRPr="0053017D">
        <w:rPr>
          <w:rFonts w:ascii="Arial" w:eastAsia="Calibri" w:hAnsi="Arial" w:cs="Arial"/>
        </w:rPr>
        <w:t>independent analysis by Professor</w:t>
      </w:r>
      <w:r w:rsidR="008C7648" w:rsidRPr="0053017D">
        <w:rPr>
          <w:rFonts w:ascii="Arial" w:eastAsia="Calibri" w:hAnsi="Arial" w:cs="Arial"/>
        </w:rPr>
        <w:t> </w:t>
      </w:r>
      <w:r w:rsidR="00F45F91" w:rsidRPr="0053017D">
        <w:rPr>
          <w:rFonts w:ascii="Arial" w:eastAsia="Calibri" w:hAnsi="Arial" w:cs="Arial"/>
        </w:rPr>
        <w:t>Kym</w:t>
      </w:r>
      <w:r w:rsidR="008C7648" w:rsidRPr="0053017D">
        <w:rPr>
          <w:rFonts w:ascii="Arial" w:eastAsia="Calibri" w:hAnsi="Arial" w:cs="Arial"/>
        </w:rPr>
        <w:t> </w:t>
      </w:r>
      <w:r w:rsidR="005A6B42" w:rsidRPr="0053017D">
        <w:rPr>
          <w:rFonts w:ascii="Arial" w:eastAsia="Calibri" w:hAnsi="Arial" w:cs="Arial"/>
        </w:rPr>
        <w:t>Anderson, the</w:t>
      </w:r>
      <w:r w:rsidRPr="0053017D">
        <w:rPr>
          <w:rFonts w:ascii="Arial" w:eastAsia="Calibri" w:hAnsi="Arial" w:cs="Arial"/>
        </w:rPr>
        <w:t xml:space="preserve"> Working Group</w:t>
      </w:r>
      <w:r w:rsidR="00F45F91" w:rsidRPr="0053017D">
        <w:rPr>
          <w:rFonts w:ascii="Arial" w:eastAsia="Calibri" w:hAnsi="Arial" w:cs="Arial"/>
        </w:rPr>
        <w:t xml:space="preserve"> did not recommend a government-subsidised distillation scheme </w:t>
      </w:r>
      <w:r w:rsidR="005F0232" w:rsidRPr="0053017D">
        <w:rPr>
          <w:rFonts w:ascii="Arial" w:eastAsia="Calibri" w:hAnsi="Arial" w:cs="Arial"/>
        </w:rPr>
        <w:t>at th</w:t>
      </w:r>
      <w:r w:rsidR="008C7648" w:rsidRPr="0053017D">
        <w:rPr>
          <w:rFonts w:ascii="Arial" w:eastAsia="Calibri" w:hAnsi="Arial" w:cs="Arial"/>
        </w:rPr>
        <w:t>at</w:t>
      </w:r>
      <w:r w:rsidR="005F0232" w:rsidRPr="0053017D">
        <w:rPr>
          <w:rFonts w:ascii="Arial" w:eastAsia="Calibri" w:hAnsi="Arial" w:cs="Arial"/>
        </w:rPr>
        <w:t xml:space="preserve"> time,</w:t>
      </w:r>
      <w:r w:rsidR="00F45F91" w:rsidRPr="0053017D" w:rsidDel="005F0232">
        <w:rPr>
          <w:rFonts w:ascii="Arial" w:eastAsia="Calibri" w:hAnsi="Arial" w:cs="Arial"/>
        </w:rPr>
        <w:t xml:space="preserve"> </w:t>
      </w:r>
      <w:r w:rsidR="005F0232" w:rsidRPr="0053017D">
        <w:rPr>
          <w:rFonts w:ascii="Arial" w:eastAsia="Calibri" w:hAnsi="Arial" w:cs="Arial"/>
        </w:rPr>
        <w:t>noting concerns</w:t>
      </w:r>
      <w:r w:rsidR="00F45F91" w:rsidRPr="0053017D">
        <w:rPr>
          <w:rFonts w:ascii="Arial" w:eastAsia="Calibri" w:hAnsi="Arial" w:cs="Arial"/>
        </w:rPr>
        <w:t xml:space="preserve"> that it could distort the market and would not support the long-term viability of the sector.</w:t>
      </w:r>
    </w:p>
    <w:p w14:paraId="38D66D4A" w14:textId="46CF555B" w:rsidR="008C7648" w:rsidRPr="0053017D" w:rsidRDefault="00B81CAF" w:rsidP="00F45F91">
      <w:pPr>
        <w:spacing w:before="120" w:line="276" w:lineRule="auto"/>
        <w:rPr>
          <w:rFonts w:ascii="Arial" w:eastAsia="Calibri" w:hAnsi="Arial" w:cs="Arial"/>
        </w:rPr>
      </w:pPr>
      <w:r w:rsidRPr="0053017D">
        <w:rPr>
          <w:rFonts w:ascii="Arial" w:eastAsia="Calibri" w:hAnsi="Arial" w:cs="Arial"/>
        </w:rPr>
        <w:t>The Working Group</w:t>
      </w:r>
      <w:r w:rsidR="005F0232" w:rsidRPr="0053017D">
        <w:rPr>
          <w:rFonts w:ascii="Arial" w:eastAsia="Calibri" w:hAnsi="Arial" w:cs="Arial"/>
        </w:rPr>
        <w:t xml:space="preserve"> also</w:t>
      </w:r>
      <w:r w:rsidRPr="0053017D">
        <w:rPr>
          <w:rFonts w:ascii="Arial" w:eastAsia="Calibri" w:hAnsi="Arial" w:cs="Arial"/>
        </w:rPr>
        <w:t xml:space="preserve"> found the costs of distillation subsidy schemes to taxpayers </w:t>
      </w:r>
      <w:r w:rsidR="00066D8A" w:rsidRPr="0053017D">
        <w:rPr>
          <w:rFonts w:ascii="Arial" w:eastAsia="Calibri" w:hAnsi="Arial" w:cs="Arial"/>
        </w:rPr>
        <w:t>were</w:t>
      </w:r>
      <w:r w:rsidRPr="0053017D">
        <w:rPr>
          <w:rFonts w:ascii="Arial" w:eastAsia="Calibri" w:hAnsi="Arial" w:cs="Arial"/>
        </w:rPr>
        <w:t xml:space="preserve"> substantial, making replication in Australia financially unviable for both industry and government. Examples from France and other wine producing member states of the European Union (EU) were analysed </w:t>
      </w:r>
      <w:r w:rsidR="00066D8A" w:rsidRPr="0053017D">
        <w:rPr>
          <w:rFonts w:ascii="Arial" w:eastAsia="Calibri" w:hAnsi="Arial" w:cs="Arial"/>
        </w:rPr>
        <w:t>to</w:t>
      </w:r>
      <w:r w:rsidRPr="0053017D">
        <w:rPr>
          <w:rFonts w:ascii="Arial" w:eastAsia="Calibri" w:hAnsi="Arial" w:cs="Arial"/>
        </w:rPr>
        <w:t xml:space="preserve"> have committed €160 million </w:t>
      </w:r>
      <w:r w:rsidR="00066D8A" w:rsidRPr="0053017D">
        <w:rPr>
          <w:rFonts w:ascii="Arial" w:eastAsia="Calibri" w:hAnsi="Arial" w:cs="Arial"/>
        </w:rPr>
        <w:t xml:space="preserve">($279 million AUD) </w:t>
      </w:r>
      <w:r w:rsidRPr="0053017D">
        <w:rPr>
          <w:rFonts w:ascii="Arial" w:eastAsia="Calibri" w:hAnsi="Arial" w:cs="Arial"/>
        </w:rPr>
        <w:t xml:space="preserve">to distillation subsidy in 2024. </w:t>
      </w:r>
    </w:p>
    <w:p w14:paraId="7321A087" w14:textId="7A78FA05" w:rsidR="00923343" w:rsidRPr="0053017D" w:rsidRDefault="00923343" w:rsidP="00526FB3">
      <w:pPr>
        <w:spacing w:before="120" w:line="276" w:lineRule="auto"/>
        <w:rPr>
          <w:rFonts w:ascii="Arial" w:eastAsia="Calibri" w:hAnsi="Arial" w:cs="Arial"/>
        </w:rPr>
      </w:pPr>
      <w:r w:rsidRPr="0053017D">
        <w:rPr>
          <w:rFonts w:ascii="Arial" w:eastAsia="Calibri" w:hAnsi="Arial" w:cs="Arial"/>
        </w:rPr>
        <w:t xml:space="preserve">However, there may be merit in targeted or smaller-scale activities such as research or pilot studies to better understand the </w:t>
      </w:r>
      <w:r w:rsidR="001726FD" w:rsidRPr="0053017D">
        <w:rPr>
          <w:rFonts w:ascii="Arial" w:eastAsia="Calibri" w:hAnsi="Arial" w:cs="Arial"/>
        </w:rPr>
        <w:t xml:space="preserve">options </w:t>
      </w:r>
      <w:r w:rsidRPr="0053017D">
        <w:rPr>
          <w:rFonts w:ascii="Arial" w:eastAsia="Calibri" w:hAnsi="Arial" w:cs="Arial"/>
        </w:rPr>
        <w:t xml:space="preserve">available </w:t>
      </w:r>
      <w:r w:rsidR="001726FD" w:rsidRPr="0053017D">
        <w:rPr>
          <w:rFonts w:ascii="Arial" w:eastAsia="Calibri" w:hAnsi="Arial" w:cs="Arial"/>
        </w:rPr>
        <w:t xml:space="preserve">to holders of excess wine. </w:t>
      </w:r>
    </w:p>
    <w:p w14:paraId="206E4E82" w14:textId="4CD563CE" w:rsidR="00F45F91" w:rsidRPr="0053017D" w:rsidRDefault="00F45F91" w:rsidP="00F45F91">
      <w:pPr>
        <w:spacing w:before="120" w:line="276" w:lineRule="auto"/>
        <w:rPr>
          <w:rFonts w:ascii="Arial" w:eastAsia="Calibri" w:hAnsi="Arial" w:cs="Arial"/>
        </w:rPr>
      </w:pPr>
    </w:p>
    <w:tbl>
      <w:tblPr>
        <w:tblStyle w:val="TableGrid"/>
        <w:tblW w:w="9014" w:type="dxa"/>
        <w:tblInd w:w="-5" w:type="dxa"/>
        <w:tblLook w:val="04A0" w:firstRow="1" w:lastRow="0" w:firstColumn="1" w:lastColumn="0" w:noHBand="0" w:noVBand="1"/>
      </w:tblPr>
      <w:tblGrid>
        <w:gridCol w:w="9014"/>
      </w:tblGrid>
      <w:tr w:rsidR="00F45F91" w:rsidRPr="0053017D" w14:paraId="51FEBAA0" w14:textId="77777777" w:rsidTr="007868A6">
        <w:trPr>
          <w:cnfStyle w:val="100000000000" w:firstRow="1" w:lastRow="0" w:firstColumn="0" w:lastColumn="0" w:oddVBand="0" w:evenVBand="0" w:oddHBand="0" w:evenHBand="0" w:firstRowFirstColumn="0" w:firstRowLastColumn="0" w:lastRowFirstColumn="0" w:lastRowLastColumn="0"/>
          <w:trHeight w:val="1701"/>
        </w:trPr>
        <w:tc>
          <w:tcPr>
            <w:tcW w:w="9014" w:type="dxa"/>
          </w:tcPr>
          <w:p w14:paraId="42C68886"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Style w:val="Strong"/>
                <w:rFonts w:ascii="Arial" w:hAnsi="Arial" w:cs="Arial"/>
              </w:rPr>
              <w:t>Recommendation 4</w:t>
            </w:r>
          </w:p>
          <w:p w14:paraId="55705877"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Fonts w:ascii="Arial" w:hAnsi="Arial" w:cs="Arial"/>
              </w:rPr>
              <w:t>The committee recommends that the Australian Government, in consultation with Australian Grape and Wine Ltd, investigates potential support packages to aid growers in transitioning out of winegrapes and into other crops or land uses in the warm inland wine regions.</w:t>
            </w:r>
          </w:p>
        </w:tc>
      </w:tr>
    </w:tbl>
    <w:p w14:paraId="344A6D75" w14:textId="77777777" w:rsidR="00F45F91" w:rsidRPr="0053017D" w:rsidRDefault="00F45F91" w:rsidP="00F45F91">
      <w:pPr>
        <w:pStyle w:val="NormalWeb"/>
        <w:keepNext/>
        <w:keepLines/>
        <w:spacing w:before="120" w:beforeAutospacing="0" w:after="120" w:afterAutospacing="0" w:line="276" w:lineRule="auto"/>
        <w:rPr>
          <w:rFonts w:ascii="Arial" w:hAnsi="Arial" w:cs="Arial"/>
          <w:b/>
          <w:bCs/>
        </w:rPr>
      </w:pPr>
      <w:r w:rsidRPr="0053017D">
        <w:rPr>
          <w:rStyle w:val="Strong"/>
          <w:rFonts w:ascii="Arial" w:hAnsi="Arial" w:cs="Arial"/>
        </w:rPr>
        <w:t>Response</w:t>
      </w:r>
    </w:p>
    <w:p w14:paraId="2655F979" w14:textId="77777777"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Australian Government </w:t>
      </w:r>
      <w:r w:rsidRPr="0053017D">
        <w:rPr>
          <w:rFonts w:ascii="Arial" w:eastAsia="Calibri" w:hAnsi="Arial" w:cs="Arial"/>
          <w:b/>
          <w:bCs/>
        </w:rPr>
        <w:t>notes</w:t>
      </w:r>
      <w:r w:rsidRPr="0053017D">
        <w:rPr>
          <w:rFonts w:ascii="Arial" w:eastAsia="Calibri" w:hAnsi="Arial" w:cs="Arial"/>
        </w:rPr>
        <w:t xml:space="preserve"> this recommendation.  </w:t>
      </w:r>
    </w:p>
    <w:p w14:paraId="4B5053E0" w14:textId="5CC698DD" w:rsidR="00F45F91" w:rsidRPr="0053017D" w:rsidRDefault="00611A5C"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During </w:t>
      </w:r>
      <w:r w:rsidR="00BE7A55" w:rsidRPr="0053017D">
        <w:rPr>
          <w:rFonts w:ascii="Arial" w:eastAsia="Calibri" w:hAnsi="Arial" w:cs="Arial"/>
          <w:sz w:val="24"/>
          <w:szCs w:val="24"/>
        </w:rPr>
        <w:t>July 2024,</w:t>
      </w:r>
      <w:r w:rsidRPr="0053017D">
        <w:rPr>
          <w:rFonts w:ascii="Arial" w:eastAsia="Calibri" w:hAnsi="Arial" w:cs="Arial"/>
          <w:sz w:val="24"/>
          <w:szCs w:val="24"/>
        </w:rPr>
        <w:t xml:space="preserve"> t</w:t>
      </w:r>
      <w:r w:rsidR="00F45F91" w:rsidRPr="0053017D">
        <w:rPr>
          <w:rFonts w:ascii="Arial" w:eastAsia="Calibri" w:hAnsi="Arial" w:cs="Arial"/>
          <w:sz w:val="24"/>
          <w:szCs w:val="24"/>
        </w:rPr>
        <w:t xml:space="preserve">he Working Group recommended that action be undertaken to address barriers for grape growers and wine makers to exit and diversify from the industry. </w:t>
      </w:r>
    </w:p>
    <w:p w14:paraId="2D5CDFD9" w14:textId="3467F9E0" w:rsidR="00BE7A55" w:rsidRPr="0053017D" w:rsidRDefault="00BE7A55"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The Working Group heard diverse views on this </w:t>
      </w:r>
      <w:r w:rsidR="008E0689" w:rsidRPr="0053017D">
        <w:rPr>
          <w:rFonts w:ascii="Arial" w:eastAsia="Calibri" w:hAnsi="Arial" w:cs="Arial"/>
          <w:sz w:val="24"/>
          <w:szCs w:val="24"/>
        </w:rPr>
        <w:t>issue</w:t>
      </w:r>
      <w:r w:rsidRPr="0053017D">
        <w:rPr>
          <w:rFonts w:ascii="Arial" w:eastAsia="Calibri" w:hAnsi="Arial" w:cs="Arial"/>
          <w:sz w:val="24"/>
          <w:szCs w:val="24"/>
        </w:rPr>
        <w:t>, with many growers expressing a strong desire to remain involved and pride in their family vineyards. Others sought to exit or diversify into more profitable crops. Those considering change highlighted barriers, including limited technical assistance</w:t>
      </w:r>
      <w:r w:rsidR="008E0689" w:rsidRPr="0053017D">
        <w:rPr>
          <w:rFonts w:ascii="Arial" w:eastAsia="Calibri" w:hAnsi="Arial" w:cs="Arial"/>
          <w:sz w:val="24"/>
          <w:szCs w:val="24"/>
        </w:rPr>
        <w:t xml:space="preserve">, </w:t>
      </w:r>
      <w:r w:rsidRPr="0053017D">
        <w:rPr>
          <w:rFonts w:ascii="Arial" w:eastAsia="Calibri" w:hAnsi="Arial" w:cs="Arial"/>
          <w:sz w:val="24"/>
          <w:szCs w:val="24"/>
        </w:rPr>
        <w:t>noting an absence of accessible technical advice on transitioning to alternative horticultural production, despite recognising opportunities in this area.</w:t>
      </w:r>
    </w:p>
    <w:p w14:paraId="63AE85B3" w14:textId="13E9D979" w:rsidR="00F45F91" w:rsidRPr="0053017D" w:rsidRDefault="00F45F91"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In response, the </w:t>
      </w:r>
      <w:r w:rsidR="00255B83" w:rsidRPr="0053017D">
        <w:rPr>
          <w:rFonts w:ascii="Arial" w:eastAsia="Calibri" w:hAnsi="Arial" w:cs="Arial"/>
          <w:sz w:val="24"/>
          <w:szCs w:val="24"/>
        </w:rPr>
        <w:t xml:space="preserve">Australian </w:t>
      </w:r>
      <w:r w:rsidRPr="0053017D">
        <w:rPr>
          <w:rFonts w:ascii="Arial" w:eastAsia="Calibri" w:hAnsi="Arial" w:cs="Arial"/>
          <w:sz w:val="24"/>
          <w:szCs w:val="24"/>
        </w:rPr>
        <w:t xml:space="preserve">Government commissioned Wine Australia and </w:t>
      </w:r>
      <w:proofErr w:type="spellStart"/>
      <w:r w:rsidRPr="0053017D">
        <w:rPr>
          <w:rFonts w:ascii="Arial" w:eastAsia="Calibri" w:hAnsi="Arial" w:cs="Arial"/>
          <w:sz w:val="24"/>
          <w:szCs w:val="24"/>
        </w:rPr>
        <w:t>AgriFutures</w:t>
      </w:r>
      <w:proofErr w:type="spellEnd"/>
      <w:r w:rsidRPr="0053017D">
        <w:rPr>
          <w:rFonts w:ascii="Arial" w:eastAsia="Calibri" w:hAnsi="Arial" w:cs="Arial"/>
          <w:sz w:val="24"/>
          <w:szCs w:val="24"/>
        </w:rPr>
        <w:t xml:space="preserve"> to support grape growers to diversify to other crops and adopt non-traditional revenue streams and niche markets. This project, funded under the </w:t>
      </w:r>
      <w:r w:rsidR="00255B83" w:rsidRPr="0053017D">
        <w:rPr>
          <w:rFonts w:ascii="Arial" w:eastAsia="Calibri" w:hAnsi="Arial" w:cs="Arial"/>
          <w:sz w:val="24"/>
          <w:szCs w:val="24"/>
        </w:rPr>
        <w:lastRenderedPageBreak/>
        <w:t xml:space="preserve">Australian </w:t>
      </w:r>
      <w:r w:rsidRPr="0053017D">
        <w:rPr>
          <w:rFonts w:ascii="Arial" w:eastAsia="Calibri" w:hAnsi="Arial" w:cs="Arial"/>
          <w:sz w:val="24"/>
          <w:szCs w:val="24"/>
        </w:rPr>
        <w:t>Government's Grape and Wine Sector Long-Term Viability Package, aims to create viable long-term revenue for financially at-risk growers and maintain grower capacity to differentiate and extract value from their farming land.</w:t>
      </w:r>
    </w:p>
    <w:p w14:paraId="394C0F40" w14:textId="77777777" w:rsidR="00F45F91" w:rsidRPr="0053017D" w:rsidRDefault="00F45F91"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Grape growers impacted by the oversupply may access a range of services including the Farm Household Allowance Program, the Farm Management Deposits Scheme, concessional loans from the Regional Investment Corporation, the Rural Financial Counselling Service, and the Age Pension Extended Land Use Test. </w:t>
      </w:r>
    </w:p>
    <w:p w14:paraId="1B5DBCD1" w14:textId="77777777" w:rsidR="00F45F91" w:rsidRPr="0053017D" w:rsidRDefault="00F45F91" w:rsidP="00F45F91">
      <w:pPr>
        <w:pStyle w:val="ListBullet"/>
        <w:numPr>
          <w:ilvl w:val="0"/>
          <w:numId w:val="0"/>
        </w:numPr>
        <w:spacing w:before="120" w:line="276" w:lineRule="auto"/>
        <w:rPr>
          <w:rFonts w:ascii="Arial" w:hAnsi="Arial" w:cs="Arial"/>
          <w:sz w:val="24"/>
          <w:szCs w:val="24"/>
        </w:rPr>
      </w:pPr>
    </w:p>
    <w:tbl>
      <w:tblPr>
        <w:tblStyle w:val="TableGrid"/>
        <w:tblW w:w="9014" w:type="dxa"/>
        <w:tblInd w:w="-5" w:type="dxa"/>
        <w:tblLook w:val="04A0" w:firstRow="1" w:lastRow="0" w:firstColumn="1" w:lastColumn="0" w:noHBand="0" w:noVBand="1"/>
      </w:tblPr>
      <w:tblGrid>
        <w:gridCol w:w="9014"/>
      </w:tblGrid>
      <w:tr w:rsidR="00F45F91" w:rsidRPr="0053017D" w14:paraId="59AA36B4" w14:textId="77777777" w:rsidTr="00937C33">
        <w:trPr>
          <w:cnfStyle w:val="100000000000" w:firstRow="1" w:lastRow="0" w:firstColumn="0" w:lastColumn="0" w:oddVBand="0" w:evenVBand="0" w:oddHBand="0" w:evenHBand="0" w:firstRowFirstColumn="0" w:firstRowLastColumn="0" w:lastRowFirstColumn="0" w:lastRowLastColumn="0"/>
          <w:trHeight w:val="699"/>
        </w:trPr>
        <w:tc>
          <w:tcPr>
            <w:tcW w:w="9014" w:type="dxa"/>
          </w:tcPr>
          <w:p w14:paraId="76214FFA" w14:textId="77777777" w:rsidR="00F45F91" w:rsidRPr="0053017D" w:rsidRDefault="00F45F91" w:rsidP="007868A6">
            <w:pPr>
              <w:pStyle w:val="NormalWeb"/>
              <w:spacing w:before="120" w:beforeAutospacing="0" w:after="120" w:afterAutospacing="0" w:line="276" w:lineRule="auto"/>
              <w:rPr>
                <w:rFonts w:ascii="Arial" w:hAnsi="Arial" w:cs="Arial"/>
              </w:rPr>
            </w:pPr>
            <w:r w:rsidRPr="0053017D">
              <w:rPr>
                <w:rStyle w:val="Strong"/>
                <w:rFonts w:ascii="Arial" w:hAnsi="Arial" w:cs="Arial"/>
              </w:rPr>
              <w:t>Recommendation 5</w:t>
            </w:r>
          </w:p>
          <w:p w14:paraId="7706108B" w14:textId="1EEB4A46" w:rsidR="00F45F91" w:rsidRPr="0053017D" w:rsidRDefault="00F45F91" w:rsidP="007868A6">
            <w:pPr>
              <w:pStyle w:val="NormalWeb"/>
              <w:spacing w:before="120" w:beforeAutospacing="0" w:after="120" w:afterAutospacing="0" w:line="276" w:lineRule="auto"/>
              <w:rPr>
                <w:rFonts w:ascii="Arial" w:hAnsi="Arial" w:cs="Arial"/>
              </w:rPr>
            </w:pPr>
            <w:r w:rsidRPr="0053017D">
              <w:rPr>
                <w:rFonts w:ascii="Arial" w:hAnsi="Arial" w:cs="Arial"/>
              </w:rPr>
              <w:t xml:space="preserve">The committee recommends that Australian Grape and Wine </w:t>
            </w:r>
            <w:proofErr w:type="gramStart"/>
            <w:r w:rsidRPr="0053017D">
              <w:rPr>
                <w:rFonts w:ascii="Arial" w:hAnsi="Arial" w:cs="Arial"/>
              </w:rPr>
              <w:t>provides</w:t>
            </w:r>
            <w:proofErr w:type="gramEnd"/>
            <w:r w:rsidRPr="0053017D">
              <w:rPr>
                <w:rFonts w:ascii="Arial" w:hAnsi="Arial" w:cs="Arial"/>
              </w:rPr>
              <w:t xml:space="preserve"> an updated Pre-Budget Submission reflecting the </w:t>
            </w:r>
            <w:proofErr w:type="gramStart"/>
            <w:r w:rsidRPr="0053017D">
              <w:rPr>
                <w:rFonts w:ascii="Arial" w:hAnsi="Arial" w:cs="Arial"/>
              </w:rPr>
              <w:t>current status</w:t>
            </w:r>
            <w:proofErr w:type="gramEnd"/>
            <w:r w:rsidRPr="0053017D">
              <w:rPr>
                <w:rFonts w:ascii="Arial" w:hAnsi="Arial" w:cs="Arial"/>
              </w:rPr>
              <w:t xml:space="preserve"> of the Australia wine industry. </w:t>
            </w:r>
          </w:p>
          <w:p w14:paraId="3EB5A5E6" w14:textId="77777777" w:rsidR="00F45F91" w:rsidRPr="0053017D" w:rsidRDefault="00F45F91" w:rsidP="007868A6">
            <w:pPr>
              <w:pStyle w:val="NormalWeb"/>
              <w:spacing w:before="120" w:beforeAutospacing="0" w:after="120" w:afterAutospacing="0" w:line="276" w:lineRule="auto"/>
              <w:rPr>
                <w:rFonts w:ascii="Arial" w:hAnsi="Arial" w:cs="Arial"/>
              </w:rPr>
            </w:pPr>
            <w:proofErr w:type="gramStart"/>
            <w:r w:rsidRPr="0053017D">
              <w:rPr>
                <w:rFonts w:ascii="Arial" w:hAnsi="Arial" w:cs="Arial"/>
              </w:rPr>
              <w:t>On the basis of</w:t>
            </w:r>
            <w:proofErr w:type="gramEnd"/>
            <w:r w:rsidRPr="0053017D">
              <w:rPr>
                <w:rFonts w:ascii="Arial" w:hAnsi="Arial" w:cs="Arial"/>
              </w:rPr>
              <w:t xml:space="preserve"> that submission, the committee recommends that the Department of Agriculture, Fisheries and Forestry invests in Australia’s wine market through the establishment of new trading partners, expansion of existing markets, and promotion of wineries and cellar doors domestically.</w:t>
            </w:r>
          </w:p>
        </w:tc>
      </w:tr>
    </w:tbl>
    <w:p w14:paraId="72018289" w14:textId="77777777" w:rsidR="00F45F91" w:rsidRPr="0053017D" w:rsidRDefault="00F45F91" w:rsidP="00F45F91">
      <w:pPr>
        <w:pStyle w:val="NormalWeb"/>
        <w:keepNext/>
        <w:keepLines/>
        <w:spacing w:before="120" w:beforeAutospacing="0" w:after="120" w:afterAutospacing="0" w:line="276" w:lineRule="auto"/>
        <w:rPr>
          <w:rFonts w:ascii="Arial" w:hAnsi="Arial" w:cs="Arial"/>
          <w:b/>
          <w:bCs/>
        </w:rPr>
      </w:pPr>
      <w:r w:rsidRPr="0053017D">
        <w:rPr>
          <w:rStyle w:val="Strong"/>
          <w:rFonts w:ascii="Arial" w:hAnsi="Arial" w:cs="Arial"/>
        </w:rPr>
        <w:t>Response</w:t>
      </w:r>
    </w:p>
    <w:p w14:paraId="3EF9B83B" w14:textId="77777777" w:rsidR="00F45F91" w:rsidRPr="0053017D" w:rsidRDefault="00F45F91" w:rsidP="00F45F91">
      <w:pPr>
        <w:spacing w:before="120" w:line="276" w:lineRule="auto"/>
        <w:rPr>
          <w:rFonts w:ascii="Arial" w:eastAsia="Calibri" w:hAnsi="Arial" w:cs="Arial"/>
        </w:rPr>
      </w:pPr>
      <w:r w:rsidRPr="0053017D">
        <w:rPr>
          <w:rFonts w:ascii="Arial" w:eastAsia="Calibri" w:hAnsi="Arial" w:cs="Arial"/>
        </w:rPr>
        <w:t xml:space="preserve">The Australian Government </w:t>
      </w:r>
      <w:r w:rsidRPr="0053017D">
        <w:rPr>
          <w:rFonts w:ascii="Arial" w:eastAsia="Calibri" w:hAnsi="Arial" w:cs="Arial"/>
          <w:b/>
          <w:bCs/>
        </w:rPr>
        <w:t>notes</w:t>
      </w:r>
      <w:r w:rsidRPr="0053017D">
        <w:rPr>
          <w:rFonts w:ascii="Arial" w:eastAsia="Calibri" w:hAnsi="Arial" w:cs="Arial"/>
        </w:rPr>
        <w:t xml:space="preserve"> this recommendation.  </w:t>
      </w:r>
    </w:p>
    <w:p w14:paraId="0D1D9005" w14:textId="3A45F8E6" w:rsidR="00F45F91" w:rsidRPr="0053017D" w:rsidRDefault="00F45F91"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The </w:t>
      </w:r>
      <w:r w:rsidR="00255B83" w:rsidRPr="0053017D">
        <w:rPr>
          <w:rFonts w:ascii="Arial" w:eastAsia="Calibri" w:hAnsi="Arial" w:cs="Arial"/>
          <w:sz w:val="24"/>
          <w:szCs w:val="24"/>
        </w:rPr>
        <w:t xml:space="preserve">Australian </w:t>
      </w:r>
      <w:r w:rsidRPr="0053017D">
        <w:rPr>
          <w:rFonts w:ascii="Arial" w:eastAsia="Calibri" w:hAnsi="Arial" w:cs="Arial"/>
          <w:sz w:val="24"/>
          <w:szCs w:val="24"/>
        </w:rPr>
        <w:t xml:space="preserve">Government will continue to support the Australian wine industry to diversify and establish new markets </w:t>
      </w:r>
      <w:r w:rsidR="00A17FF0" w:rsidRPr="0053017D">
        <w:rPr>
          <w:rFonts w:ascii="Arial" w:eastAsia="Calibri" w:hAnsi="Arial" w:cs="Arial"/>
          <w:sz w:val="24"/>
          <w:szCs w:val="24"/>
        </w:rPr>
        <w:t xml:space="preserve">while also </w:t>
      </w:r>
      <w:r w:rsidRPr="0053017D">
        <w:rPr>
          <w:rFonts w:ascii="Arial" w:eastAsia="Calibri" w:hAnsi="Arial" w:cs="Arial"/>
          <w:sz w:val="24"/>
          <w:szCs w:val="24"/>
        </w:rPr>
        <w:t>promot</w:t>
      </w:r>
      <w:r w:rsidR="00381639" w:rsidRPr="0053017D">
        <w:rPr>
          <w:rFonts w:ascii="Arial" w:eastAsia="Calibri" w:hAnsi="Arial" w:cs="Arial"/>
          <w:sz w:val="24"/>
          <w:szCs w:val="24"/>
        </w:rPr>
        <w:t>ing</w:t>
      </w:r>
      <w:r w:rsidRPr="0053017D">
        <w:rPr>
          <w:rFonts w:ascii="Arial" w:eastAsia="Calibri" w:hAnsi="Arial" w:cs="Arial"/>
          <w:sz w:val="24"/>
          <w:szCs w:val="24"/>
        </w:rPr>
        <w:t xml:space="preserve"> wine and cellar doors domestically.</w:t>
      </w:r>
    </w:p>
    <w:p w14:paraId="422AC876" w14:textId="714EC563" w:rsidR="00F45F91" w:rsidRPr="0053017D" w:rsidRDefault="00F45F91"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Under the </w:t>
      </w:r>
      <w:r w:rsidRPr="0053017D">
        <w:rPr>
          <w:rFonts w:ascii="Arial" w:eastAsia="Calibri" w:hAnsi="Arial" w:cs="Arial"/>
          <w:i/>
          <w:iCs/>
          <w:sz w:val="24"/>
          <w:szCs w:val="24"/>
        </w:rPr>
        <w:t>Wine Australia Act 2013</w:t>
      </w:r>
      <w:r w:rsidRPr="0053017D">
        <w:rPr>
          <w:rFonts w:ascii="Arial" w:eastAsia="Calibri" w:hAnsi="Arial" w:cs="Arial"/>
          <w:sz w:val="24"/>
          <w:szCs w:val="24"/>
        </w:rPr>
        <w:t xml:space="preserve">, Wine Australia is responsible for promoting the consumption and sale of grape products, both in Australia and overseas. As part of the </w:t>
      </w:r>
      <w:r w:rsidR="00255B83" w:rsidRPr="0053017D">
        <w:rPr>
          <w:rFonts w:ascii="Arial" w:eastAsia="Calibri" w:hAnsi="Arial" w:cs="Arial"/>
          <w:sz w:val="24"/>
          <w:szCs w:val="24"/>
        </w:rPr>
        <w:t xml:space="preserve">Australian </w:t>
      </w:r>
      <w:r w:rsidRPr="0053017D">
        <w:rPr>
          <w:rFonts w:ascii="Arial" w:eastAsia="Calibri" w:hAnsi="Arial" w:cs="Arial"/>
          <w:sz w:val="24"/>
          <w:szCs w:val="24"/>
        </w:rPr>
        <w:t>Government's Grape and Wine Sector Long-Term Viability Package, $1.</w:t>
      </w:r>
      <w:r w:rsidR="00BC6165" w:rsidRPr="0053017D">
        <w:rPr>
          <w:rFonts w:ascii="Arial" w:eastAsia="Calibri" w:hAnsi="Arial" w:cs="Arial"/>
          <w:sz w:val="24"/>
          <w:szCs w:val="24"/>
        </w:rPr>
        <w:t>9</w:t>
      </w:r>
      <w:r w:rsidRPr="0053017D">
        <w:rPr>
          <w:rFonts w:ascii="Arial" w:eastAsia="Calibri" w:hAnsi="Arial" w:cs="Arial"/>
          <w:sz w:val="24"/>
          <w:szCs w:val="24"/>
        </w:rPr>
        <w:t xml:space="preserve"> million has been provided to Wine Australia to support trade and market development activities internationally and domestically</w:t>
      </w:r>
      <w:r w:rsidR="004428DC" w:rsidRPr="0053017D">
        <w:rPr>
          <w:rFonts w:ascii="Arial" w:eastAsia="Calibri" w:hAnsi="Arial" w:cs="Arial"/>
          <w:sz w:val="24"/>
          <w:szCs w:val="24"/>
        </w:rPr>
        <w:t>. This includes</w:t>
      </w:r>
      <w:r w:rsidR="00381639" w:rsidRPr="0053017D">
        <w:rPr>
          <w:rFonts w:ascii="Arial" w:eastAsia="Calibri" w:hAnsi="Arial" w:cs="Arial"/>
          <w:sz w:val="24"/>
          <w:szCs w:val="24"/>
        </w:rPr>
        <w:t xml:space="preserve"> </w:t>
      </w:r>
      <w:r w:rsidRPr="0053017D">
        <w:rPr>
          <w:rFonts w:ascii="Arial" w:eastAsia="Calibri" w:hAnsi="Arial" w:cs="Arial"/>
          <w:sz w:val="24"/>
          <w:szCs w:val="24"/>
        </w:rPr>
        <w:t>funding for Country Managers in key markets, increasing Australia’s presence at international trade shows, the development of training programs in key markets</w:t>
      </w:r>
      <w:r w:rsidR="00BF5448" w:rsidRPr="0053017D">
        <w:rPr>
          <w:rFonts w:ascii="Arial" w:eastAsia="Calibri" w:hAnsi="Arial" w:cs="Arial"/>
          <w:sz w:val="24"/>
          <w:szCs w:val="24"/>
        </w:rPr>
        <w:t>,</w:t>
      </w:r>
      <w:r w:rsidRPr="0053017D">
        <w:rPr>
          <w:rFonts w:ascii="Arial" w:eastAsia="Calibri" w:hAnsi="Arial" w:cs="Arial"/>
          <w:sz w:val="24"/>
          <w:szCs w:val="24"/>
        </w:rPr>
        <w:t xml:space="preserve"> </w:t>
      </w:r>
      <w:r w:rsidR="00381639" w:rsidRPr="0053017D">
        <w:rPr>
          <w:rFonts w:ascii="Arial" w:eastAsia="Calibri" w:hAnsi="Arial" w:cs="Arial"/>
          <w:sz w:val="24"/>
          <w:szCs w:val="24"/>
        </w:rPr>
        <w:t>and a</w:t>
      </w:r>
      <w:r w:rsidRPr="0053017D">
        <w:rPr>
          <w:rFonts w:ascii="Arial" w:eastAsia="Calibri" w:hAnsi="Arial" w:cs="Arial"/>
          <w:sz w:val="24"/>
          <w:szCs w:val="24"/>
        </w:rPr>
        <w:t xml:space="preserve"> domestic marketing campaign</w:t>
      </w:r>
      <w:r w:rsidR="00D6552F" w:rsidRPr="0053017D">
        <w:rPr>
          <w:rFonts w:ascii="Arial" w:eastAsia="Calibri" w:hAnsi="Arial" w:cs="Arial"/>
          <w:sz w:val="24"/>
          <w:szCs w:val="24"/>
        </w:rPr>
        <w:t xml:space="preserve"> – </w:t>
      </w:r>
      <w:r w:rsidR="00D6552F" w:rsidRPr="0053017D">
        <w:rPr>
          <w:rFonts w:ascii="Arial" w:eastAsia="Calibri" w:hAnsi="Arial" w:cs="Arial"/>
          <w:i/>
          <w:iCs/>
          <w:sz w:val="24"/>
          <w:szCs w:val="24"/>
        </w:rPr>
        <w:t>We make a wine for that</w:t>
      </w:r>
      <w:r w:rsidRPr="0053017D">
        <w:rPr>
          <w:rFonts w:ascii="Arial" w:eastAsia="Calibri" w:hAnsi="Arial" w:cs="Arial"/>
          <w:sz w:val="24"/>
          <w:szCs w:val="24"/>
        </w:rPr>
        <w:t xml:space="preserve">. </w:t>
      </w:r>
    </w:p>
    <w:p w14:paraId="72A10407" w14:textId="344B7C0C" w:rsidR="00937C33" w:rsidRPr="0053017D" w:rsidRDefault="00937C33"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The </w:t>
      </w:r>
      <w:r w:rsidR="00255B83" w:rsidRPr="0053017D">
        <w:rPr>
          <w:rFonts w:ascii="Arial" w:eastAsia="Calibri" w:hAnsi="Arial" w:cs="Arial"/>
          <w:sz w:val="24"/>
          <w:szCs w:val="24"/>
        </w:rPr>
        <w:t xml:space="preserve">Australian </w:t>
      </w:r>
      <w:r w:rsidRPr="0053017D">
        <w:rPr>
          <w:rFonts w:ascii="Arial" w:eastAsia="Calibri" w:hAnsi="Arial" w:cs="Arial"/>
          <w:sz w:val="24"/>
          <w:szCs w:val="24"/>
        </w:rPr>
        <w:t>Government has provided $3.1 million to support and extend the S</w:t>
      </w:r>
      <w:r w:rsidR="00673913" w:rsidRPr="0053017D">
        <w:rPr>
          <w:rFonts w:ascii="Arial" w:eastAsia="Calibri" w:hAnsi="Arial" w:cs="Arial"/>
          <w:sz w:val="24"/>
          <w:szCs w:val="24"/>
        </w:rPr>
        <w:t xml:space="preserve">outh </w:t>
      </w:r>
      <w:r w:rsidRPr="0053017D">
        <w:rPr>
          <w:rFonts w:ascii="Arial" w:eastAsia="Calibri" w:hAnsi="Arial" w:cs="Arial"/>
          <w:sz w:val="24"/>
          <w:szCs w:val="24"/>
        </w:rPr>
        <w:t>A</w:t>
      </w:r>
      <w:r w:rsidR="00673913" w:rsidRPr="0053017D">
        <w:rPr>
          <w:rFonts w:ascii="Arial" w:eastAsia="Calibri" w:hAnsi="Arial" w:cs="Arial"/>
          <w:sz w:val="24"/>
          <w:szCs w:val="24"/>
        </w:rPr>
        <w:t>ustralia</w:t>
      </w:r>
      <w:r w:rsidRPr="0053017D">
        <w:rPr>
          <w:rFonts w:ascii="Arial" w:eastAsia="Calibri" w:hAnsi="Arial" w:cs="Arial"/>
          <w:sz w:val="24"/>
          <w:szCs w:val="24"/>
        </w:rPr>
        <w:t xml:space="preserve"> Wine Recovery Program. Federal funding is aimed to boost domestic demand for </w:t>
      </w:r>
      <w:r w:rsidR="00D354BD" w:rsidRPr="0053017D">
        <w:rPr>
          <w:rFonts w:ascii="Arial" w:eastAsia="Calibri" w:hAnsi="Arial" w:cs="Arial"/>
          <w:sz w:val="24"/>
          <w:szCs w:val="24"/>
        </w:rPr>
        <w:t>South Australian wine as well as positioning the local wine industry as the leading sustainable wine state.</w:t>
      </w:r>
    </w:p>
    <w:p w14:paraId="2CF418CC" w14:textId="3F7F2515" w:rsidR="00782508" w:rsidRPr="0053017D" w:rsidRDefault="00782508"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t xml:space="preserve">The </w:t>
      </w:r>
      <w:r w:rsidR="00255B83" w:rsidRPr="0053017D">
        <w:rPr>
          <w:rFonts w:ascii="Arial" w:eastAsia="Calibri" w:hAnsi="Arial" w:cs="Arial"/>
          <w:sz w:val="24"/>
          <w:szCs w:val="24"/>
        </w:rPr>
        <w:t xml:space="preserve">Australian </w:t>
      </w:r>
      <w:r w:rsidRPr="0053017D">
        <w:rPr>
          <w:rFonts w:ascii="Arial" w:eastAsia="Calibri" w:hAnsi="Arial" w:cs="Arial"/>
          <w:sz w:val="24"/>
          <w:szCs w:val="24"/>
        </w:rPr>
        <w:t>Government is supporting the Australian wine industr</w:t>
      </w:r>
      <w:r w:rsidR="00C06E69" w:rsidRPr="0053017D">
        <w:rPr>
          <w:rFonts w:ascii="Arial" w:eastAsia="Calibri" w:hAnsi="Arial" w:cs="Arial"/>
          <w:sz w:val="24"/>
          <w:szCs w:val="24"/>
        </w:rPr>
        <w:t>y</w:t>
      </w:r>
      <w:r w:rsidRPr="0053017D">
        <w:rPr>
          <w:rFonts w:ascii="Arial" w:eastAsia="Calibri" w:hAnsi="Arial" w:cs="Arial"/>
          <w:sz w:val="24"/>
          <w:szCs w:val="24"/>
        </w:rPr>
        <w:t xml:space="preserve"> </w:t>
      </w:r>
      <w:r w:rsidR="00C06E69" w:rsidRPr="0053017D">
        <w:rPr>
          <w:rFonts w:ascii="Arial" w:eastAsia="Calibri" w:hAnsi="Arial" w:cs="Arial"/>
          <w:sz w:val="24"/>
          <w:szCs w:val="24"/>
        </w:rPr>
        <w:t xml:space="preserve">to engage with current and emerging markets to negotiate more favourable technical market access conditions, and to prevent and resolve potential issues to trade. </w:t>
      </w:r>
      <w:r w:rsidR="00EF7AC5" w:rsidRPr="0053017D">
        <w:rPr>
          <w:rFonts w:ascii="Arial" w:eastAsia="Calibri" w:hAnsi="Arial" w:cs="Arial"/>
          <w:sz w:val="24"/>
          <w:szCs w:val="24"/>
        </w:rPr>
        <w:t>Recent achievements include</w:t>
      </w:r>
      <w:r w:rsidR="00C06E69" w:rsidRPr="0053017D">
        <w:rPr>
          <w:rFonts w:ascii="Arial" w:eastAsia="Calibri" w:hAnsi="Arial" w:cs="Arial"/>
          <w:sz w:val="24"/>
          <w:szCs w:val="24"/>
        </w:rPr>
        <w:t xml:space="preserve"> new and expanded market access for organic wine under organics equivalence arrangements with India and Japan; as well as </w:t>
      </w:r>
      <w:r w:rsidR="004428DC" w:rsidRPr="0053017D">
        <w:rPr>
          <w:rFonts w:ascii="Arial" w:eastAsia="Calibri" w:hAnsi="Arial" w:cs="Arial"/>
          <w:sz w:val="24"/>
          <w:szCs w:val="24"/>
        </w:rPr>
        <w:t xml:space="preserve">trade </w:t>
      </w:r>
      <w:r w:rsidR="00C06E69" w:rsidRPr="0053017D">
        <w:rPr>
          <w:rFonts w:ascii="Arial" w:eastAsia="Calibri" w:hAnsi="Arial" w:cs="Arial"/>
          <w:sz w:val="24"/>
          <w:szCs w:val="24"/>
        </w:rPr>
        <w:t>agreements with the United Arab Emirates and India</w:t>
      </w:r>
      <w:r w:rsidR="00380554" w:rsidRPr="0053017D">
        <w:rPr>
          <w:rFonts w:ascii="Arial" w:eastAsia="Calibri" w:hAnsi="Arial" w:cs="Arial"/>
          <w:sz w:val="24"/>
          <w:szCs w:val="24"/>
        </w:rPr>
        <w:t xml:space="preserve"> </w:t>
      </w:r>
      <w:r w:rsidR="00D03243" w:rsidRPr="0053017D">
        <w:rPr>
          <w:rFonts w:ascii="Arial" w:eastAsia="Calibri" w:hAnsi="Arial" w:cs="Arial"/>
          <w:sz w:val="24"/>
          <w:szCs w:val="24"/>
        </w:rPr>
        <w:t xml:space="preserve">both </w:t>
      </w:r>
      <w:r w:rsidR="0065718A" w:rsidRPr="0053017D">
        <w:rPr>
          <w:rFonts w:ascii="Arial" w:eastAsia="Calibri" w:hAnsi="Arial" w:cs="Arial"/>
          <w:sz w:val="24"/>
          <w:szCs w:val="24"/>
        </w:rPr>
        <w:t xml:space="preserve">announced </w:t>
      </w:r>
      <w:r w:rsidR="00D03243" w:rsidRPr="0053017D">
        <w:rPr>
          <w:rFonts w:ascii="Arial" w:eastAsia="Calibri" w:hAnsi="Arial" w:cs="Arial"/>
          <w:sz w:val="24"/>
          <w:szCs w:val="24"/>
        </w:rPr>
        <w:t>in September 2025</w:t>
      </w:r>
      <w:r w:rsidR="00C06E69" w:rsidRPr="0053017D">
        <w:rPr>
          <w:rFonts w:ascii="Arial" w:eastAsia="Calibri" w:hAnsi="Arial" w:cs="Arial"/>
          <w:sz w:val="24"/>
          <w:szCs w:val="24"/>
        </w:rPr>
        <w:t xml:space="preserve">. </w:t>
      </w:r>
    </w:p>
    <w:p w14:paraId="7E593CFE" w14:textId="630497A1" w:rsidR="00F45F91" w:rsidRPr="0053017D" w:rsidRDefault="00D6552F" w:rsidP="00F45F91">
      <w:pPr>
        <w:pStyle w:val="ListBullet"/>
        <w:numPr>
          <w:ilvl w:val="0"/>
          <w:numId w:val="0"/>
        </w:numPr>
        <w:spacing w:before="120" w:line="276" w:lineRule="auto"/>
        <w:rPr>
          <w:rFonts w:ascii="Arial" w:eastAsia="Calibri" w:hAnsi="Arial" w:cs="Arial"/>
          <w:sz w:val="24"/>
          <w:szCs w:val="24"/>
        </w:rPr>
      </w:pPr>
      <w:r w:rsidRPr="0053017D">
        <w:rPr>
          <w:rFonts w:ascii="Arial" w:eastAsia="Calibri" w:hAnsi="Arial" w:cs="Arial"/>
          <w:sz w:val="24"/>
          <w:szCs w:val="24"/>
        </w:rPr>
        <w:lastRenderedPageBreak/>
        <w:t>T</w:t>
      </w:r>
      <w:r w:rsidR="00F45F91" w:rsidRPr="0053017D">
        <w:rPr>
          <w:rFonts w:ascii="Arial" w:eastAsia="Calibri" w:hAnsi="Arial" w:cs="Arial"/>
          <w:sz w:val="24"/>
          <w:szCs w:val="24"/>
        </w:rPr>
        <w:t>he Department</w:t>
      </w:r>
      <w:r w:rsidRPr="0053017D">
        <w:rPr>
          <w:rFonts w:ascii="Arial" w:eastAsia="Calibri" w:hAnsi="Arial" w:cs="Arial"/>
          <w:sz w:val="24"/>
          <w:szCs w:val="24"/>
        </w:rPr>
        <w:t xml:space="preserve"> of Agriculture, Fisheries and Forestry</w:t>
      </w:r>
      <w:r w:rsidR="00F45F91" w:rsidRPr="0053017D">
        <w:rPr>
          <w:rFonts w:ascii="Arial" w:eastAsia="Calibri" w:hAnsi="Arial" w:cs="Arial"/>
          <w:sz w:val="24"/>
          <w:szCs w:val="24"/>
        </w:rPr>
        <w:t>’s Overseas Agriculture Counsellor Network plays a vital role in advancing Australia’s trade and market access priorities by promoting Australia’s agricultural interests and building strong connections with government and industry stakeholders in key international markets. The Department also supports international trade in wine through its engagement in multilateral international wine fora such as the International Organisation of Vine and Wine and the World Wine Trade Group.</w:t>
      </w:r>
    </w:p>
    <w:p w14:paraId="4085CC37" w14:textId="321645F0" w:rsidR="00F45F91" w:rsidRPr="0053017D" w:rsidRDefault="00F45F91" w:rsidP="00F45F91">
      <w:pPr>
        <w:pStyle w:val="ListBullet"/>
        <w:numPr>
          <w:ilvl w:val="0"/>
          <w:numId w:val="0"/>
        </w:numPr>
        <w:spacing w:before="120" w:line="276" w:lineRule="auto"/>
        <w:rPr>
          <w:rFonts w:ascii="Arial" w:eastAsia="Calibri" w:hAnsi="Arial" w:cs="Arial"/>
          <w:sz w:val="24"/>
          <w:szCs w:val="24"/>
        </w:rPr>
      </w:pPr>
      <w:bookmarkStart w:id="0" w:name="_Hlk198718373"/>
      <w:r w:rsidRPr="0053017D">
        <w:rPr>
          <w:rFonts w:ascii="Arial" w:eastAsia="Calibri" w:hAnsi="Arial" w:cs="Arial"/>
          <w:sz w:val="24"/>
          <w:szCs w:val="24"/>
        </w:rPr>
        <w:t>These efforts build on initiatives such as the Wine Tourism and Cellar Door Grant Program, which focus on growing domestic demand by encouraging visitors to wine regions. Since the Program opened in July 2019, over $</w:t>
      </w:r>
      <w:r w:rsidR="00ED437D" w:rsidRPr="0053017D">
        <w:rPr>
          <w:rFonts w:ascii="Arial" w:eastAsia="Calibri" w:hAnsi="Arial" w:cs="Arial"/>
          <w:sz w:val="24"/>
          <w:szCs w:val="24"/>
        </w:rPr>
        <w:t>7</w:t>
      </w:r>
      <w:r w:rsidRPr="0053017D">
        <w:rPr>
          <w:rFonts w:ascii="Arial" w:eastAsia="Calibri" w:hAnsi="Arial" w:cs="Arial"/>
          <w:sz w:val="24"/>
          <w:szCs w:val="24"/>
        </w:rPr>
        <w:t>0 million has been provided to support cellar doors around Australia</w:t>
      </w:r>
      <w:bookmarkEnd w:id="0"/>
      <w:r w:rsidR="00736747" w:rsidRPr="0053017D">
        <w:rPr>
          <w:rFonts w:ascii="Arial" w:eastAsia="Calibri" w:hAnsi="Arial" w:cs="Arial"/>
          <w:sz w:val="24"/>
          <w:szCs w:val="24"/>
        </w:rPr>
        <w:t xml:space="preserve"> with over 1000 grants issued. T</w:t>
      </w:r>
      <w:r w:rsidR="00F53C54" w:rsidRPr="0053017D">
        <w:rPr>
          <w:rFonts w:ascii="Arial" w:eastAsia="Calibri" w:hAnsi="Arial" w:cs="Arial"/>
          <w:sz w:val="24"/>
          <w:szCs w:val="24"/>
        </w:rPr>
        <w:t xml:space="preserve">he Program’s seventh round </w:t>
      </w:r>
      <w:r w:rsidR="00D430DC" w:rsidRPr="0053017D">
        <w:rPr>
          <w:rFonts w:ascii="Arial" w:eastAsia="Calibri" w:hAnsi="Arial" w:cs="Arial"/>
          <w:sz w:val="24"/>
          <w:szCs w:val="24"/>
        </w:rPr>
        <w:t xml:space="preserve">awarded </w:t>
      </w:r>
      <w:r w:rsidR="00375EE3" w:rsidRPr="0053017D">
        <w:rPr>
          <w:rFonts w:ascii="Arial" w:eastAsia="Calibri" w:hAnsi="Arial" w:cs="Arial"/>
          <w:sz w:val="24"/>
          <w:szCs w:val="24"/>
        </w:rPr>
        <w:t xml:space="preserve">$10 million to </w:t>
      </w:r>
      <w:r w:rsidR="005A6B42" w:rsidRPr="0053017D">
        <w:rPr>
          <w:rFonts w:ascii="Arial" w:eastAsia="Calibri" w:hAnsi="Arial" w:cs="Arial"/>
          <w:sz w:val="24"/>
          <w:szCs w:val="24"/>
        </w:rPr>
        <w:t>successful</w:t>
      </w:r>
      <w:r w:rsidR="00D430DC" w:rsidRPr="0053017D">
        <w:rPr>
          <w:rFonts w:ascii="Arial" w:eastAsia="Calibri" w:hAnsi="Arial" w:cs="Arial"/>
          <w:sz w:val="24"/>
          <w:szCs w:val="24"/>
        </w:rPr>
        <w:t xml:space="preserve"> </w:t>
      </w:r>
      <w:r w:rsidR="00F53C54" w:rsidRPr="0053017D">
        <w:rPr>
          <w:rFonts w:ascii="Arial" w:eastAsia="Calibri" w:hAnsi="Arial" w:cs="Arial"/>
          <w:sz w:val="24"/>
          <w:szCs w:val="24"/>
        </w:rPr>
        <w:t xml:space="preserve">applicants </w:t>
      </w:r>
      <w:r w:rsidR="008C5DB3" w:rsidRPr="0053017D">
        <w:rPr>
          <w:rFonts w:ascii="Arial" w:eastAsia="Calibri" w:hAnsi="Arial" w:cs="Arial"/>
          <w:sz w:val="24"/>
          <w:szCs w:val="24"/>
        </w:rPr>
        <w:t xml:space="preserve">in </w:t>
      </w:r>
      <w:r w:rsidR="00D430DC" w:rsidRPr="0053017D">
        <w:rPr>
          <w:rFonts w:ascii="Arial" w:eastAsia="Calibri" w:hAnsi="Arial" w:cs="Arial"/>
          <w:sz w:val="24"/>
          <w:szCs w:val="24"/>
        </w:rPr>
        <w:t>November</w:t>
      </w:r>
      <w:r w:rsidR="00F53C54" w:rsidRPr="0053017D">
        <w:rPr>
          <w:rFonts w:ascii="Arial" w:eastAsia="Calibri" w:hAnsi="Arial" w:cs="Arial"/>
          <w:sz w:val="24"/>
          <w:szCs w:val="24"/>
        </w:rPr>
        <w:t xml:space="preserve"> 2025.</w:t>
      </w:r>
      <w:r w:rsidR="00BC6165" w:rsidRPr="0053017D">
        <w:rPr>
          <w:rFonts w:ascii="Arial" w:eastAsia="Calibri" w:hAnsi="Arial" w:cs="Arial"/>
          <w:sz w:val="24"/>
          <w:szCs w:val="24"/>
        </w:rPr>
        <w:t xml:space="preserve"> </w:t>
      </w:r>
    </w:p>
    <w:p w14:paraId="67F84234" w14:textId="77777777" w:rsidR="00F45F91" w:rsidRPr="0053017D" w:rsidRDefault="00F45F91" w:rsidP="00F45F91">
      <w:pPr>
        <w:spacing w:before="120"/>
        <w:rPr>
          <w:rFonts w:eastAsia="Calibri"/>
          <w:bCs/>
          <w:sz w:val="28"/>
          <w:szCs w:val="28"/>
        </w:rPr>
      </w:pPr>
    </w:p>
    <w:p w14:paraId="5AF0F59E" w14:textId="77777777" w:rsidR="00241F24" w:rsidRPr="0053017D" w:rsidRDefault="00241F24" w:rsidP="00F45F91">
      <w:pPr>
        <w:rPr>
          <w:rFonts w:eastAsia="Calibri"/>
          <w:sz w:val="28"/>
          <w:szCs w:val="28"/>
        </w:rPr>
      </w:pPr>
    </w:p>
    <w:sectPr w:rsidR="00241F24" w:rsidRPr="0053017D" w:rsidSect="0019063B">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07B4" w14:textId="77777777" w:rsidR="008E4B23" w:rsidRDefault="008E4B23" w:rsidP="00DA50B6">
      <w:r>
        <w:separator/>
      </w:r>
    </w:p>
  </w:endnote>
  <w:endnote w:type="continuationSeparator" w:id="0">
    <w:p w14:paraId="252173D6" w14:textId="77777777" w:rsidR="008E4B23" w:rsidRDefault="008E4B23" w:rsidP="00DA50B6">
      <w:r>
        <w:continuationSeparator/>
      </w:r>
    </w:p>
  </w:endnote>
  <w:endnote w:type="continuationNotice" w:id="1">
    <w:p w14:paraId="48A0F0E8" w14:textId="77777777" w:rsidR="008E4B23" w:rsidRDefault="008E4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0F0D" w14:textId="77777777" w:rsidR="00507ED5" w:rsidRDefault="00507ED5">
    <w:pPr>
      <w:pStyle w:val="Footer"/>
    </w:pPr>
    <w:r>
      <w:rPr>
        <w:noProof/>
      </w:rPr>
      <mc:AlternateContent>
        <mc:Choice Requires="wps">
          <w:drawing>
            <wp:anchor distT="0" distB="0" distL="0" distR="0" simplePos="0" relativeHeight="251658244" behindDoc="0" locked="0" layoutInCell="1" allowOverlap="1" wp14:anchorId="21F775AE" wp14:editId="0E2C1D57">
              <wp:simplePos x="635" y="635"/>
              <wp:positionH relativeFrom="page">
                <wp:align>center</wp:align>
              </wp:positionH>
              <wp:positionV relativeFrom="page">
                <wp:align>bottom</wp:align>
              </wp:positionV>
              <wp:extent cx="551815" cy="376555"/>
              <wp:effectExtent l="0" t="0" r="635" b="0"/>
              <wp:wrapNone/>
              <wp:docPr id="14773968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5F4BE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775AE"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95F4BE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940256"/>
      <w:docPartObj>
        <w:docPartGallery w:val="Page Numbers (Bottom of Page)"/>
        <w:docPartUnique/>
      </w:docPartObj>
    </w:sdtPr>
    <w:sdtEndPr>
      <w:rPr>
        <w:noProof/>
      </w:rPr>
    </w:sdtEndPr>
    <w:sdtContent>
      <w:p w14:paraId="33DB189B" w14:textId="231D3351" w:rsidR="00A33026" w:rsidRDefault="00A33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960D3" w14:textId="7FECA0A0" w:rsidR="00507ED5" w:rsidRDefault="00507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FEA" w14:textId="77777777" w:rsidR="00507ED5" w:rsidRDefault="00507ED5">
    <w:pPr>
      <w:pStyle w:val="Footer"/>
    </w:pPr>
    <w:r>
      <w:rPr>
        <w:noProof/>
      </w:rPr>
      <mc:AlternateContent>
        <mc:Choice Requires="wps">
          <w:drawing>
            <wp:anchor distT="0" distB="0" distL="0" distR="0" simplePos="0" relativeHeight="251658243" behindDoc="0" locked="0" layoutInCell="1" allowOverlap="1" wp14:anchorId="6252A9A7" wp14:editId="7700990E">
              <wp:simplePos x="635" y="635"/>
              <wp:positionH relativeFrom="page">
                <wp:align>center</wp:align>
              </wp:positionH>
              <wp:positionV relativeFrom="page">
                <wp:align>bottom</wp:align>
              </wp:positionV>
              <wp:extent cx="551815" cy="376555"/>
              <wp:effectExtent l="0" t="0" r="635" b="0"/>
              <wp:wrapNone/>
              <wp:docPr id="19178518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340EA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2A9A7"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07340EA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DF28" w14:textId="77777777" w:rsidR="008E4B23" w:rsidRDefault="008E4B23" w:rsidP="00DA50B6">
      <w:r>
        <w:separator/>
      </w:r>
    </w:p>
  </w:footnote>
  <w:footnote w:type="continuationSeparator" w:id="0">
    <w:p w14:paraId="59CA1455" w14:textId="77777777" w:rsidR="008E4B23" w:rsidRDefault="008E4B23" w:rsidP="00DA50B6">
      <w:r>
        <w:continuationSeparator/>
      </w:r>
    </w:p>
  </w:footnote>
  <w:footnote w:type="continuationNotice" w:id="1">
    <w:p w14:paraId="5D64A829" w14:textId="77777777" w:rsidR="008E4B23" w:rsidRDefault="008E4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03B" w14:textId="77777777" w:rsidR="00507ED5" w:rsidRDefault="00507ED5">
    <w:pPr>
      <w:pStyle w:val="Header"/>
    </w:pPr>
    <w:r>
      <w:rPr>
        <w:noProof/>
      </w:rPr>
      <mc:AlternateContent>
        <mc:Choice Requires="wps">
          <w:drawing>
            <wp:anchor distT="0" distB="0" distL="0" distR="0" simplePos="0" relativeHeight="251658241" behindDoc="0" locked="0" layoutInCell="1" allowOverlap="1" wp14:anchorId="4DFBB61C" wp14:editId="306A9807">
              <wp:simplePos x="635" y="635"/>
              <wp:positionH relativeFrom="page">
                <wp:align>center</wp:align>
              </wp:positionH>
              <wp:positionV relativeFrom="page">
                <wp:align>top</wp:align>
              </wp:positionV>
              <wp:extent cx="551815" cy="376555"/>
              <wp:effectExtent l="0" t="0" r="635" b="4445"/>
              <wp:wrapNone/>
              <wp:docPr id="1959375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AED5CC"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BB61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CAED5CC"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DFE1" w14:textId="77777777" w:rsidR="00507ED5" w:rsidRDefault="00507ED5">
    <w:pPr>
      <w:pStyle w:val="Header"/>
    </w:pPr>
    <w:r>
      <w:rPr>
        <w:noProof/>
      </w:rPr>
      <mc:AlternateContent>
        <mc:Choice Requires="wps">
          <w:drawing>
            <wp:anchor distT="0" distB="0" distL="0" distR="0" simplePos="0" relativeHeight="251658242" behindDoc="0" locked="0" layoutInCell="1" allowOverlap="1" wp14:anchorId="3ACB947C" wp14:editId="328E810D">
              <wp:simplePos x="914400" y="447675"/>
              <wp:positionH relativeFrom="page">
                <wp:align>center</wp:align>
              </wp:positionH>
              <wp:positionV relativeFrom="page">
                <wp:align>top</wp:align>
              </wp:positionV>
              <wp:extent cx="551815" cy="376555"/>
              <wp:effectExtent l="0" t="0" r="635" b="4445"/>
              <wp:wrapNone/>
              <wp:docPr id="8542487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3A507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B947C"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13A5072"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234D" w14:textId="77777777" w:rsidR="00507ED5" w:rsidRDefault="00507ED5">
    <w:pPr>
      <w:pStyle w:val="Header"/>
    </w:pPr>
    <w:r>
      <w:rPr>
        <w:noProof/>
      </w:rPr>
      <mc:AlternateContent>
        <mc:Choice Requires="wps">
          <w:drawing>
            <wp:anchor distT="0" distB="0" distL="0" distR="0" simplePos="0" relativeHeight="251658240" behindDoc="0" locked="0" layoutInCell="1" allowOverlap="1" wp14:anchorId="489A40FF" wp14:editId="2046FE7A">
              <wp:simplePos x="635" y="635"/>
              <wp:positionH relativeFrom="page">
                <wp:align>center</wp:align>
              </wp:positionH>
              <wp:positionV relativeFrom="page">
                <wp:align>top</wp:align>
              </wp:positionV>
              <wp:extent cx="551815" cy="376555"/>
              <wp:effectExtent l="0" t="0" r="635" b="4445"/>
              <wp:wrapNone/>
              <wp:docPr id="16141783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CF8167"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A40FF"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2CF8167" w14:textId="77777777" w:rsidR="00507ED5" w:rsidRPr="00507ED5" w:rsidRDefault="00507ED5" w:rsidP="00507ED5">
                    <w:pPr>
                      <w:rPr>
                        <w:rFonts w:ascii="Calibri" w:eastAsia="Calibri" w:hAnsi="Calibri" w:cs="Calibri"/>
                        <w:noProof/>
                        <w:color w:val="FF0000"/>
                      </w:rPr>
                    </w:pPr>
                    <w:r w:rsidRPr="00507ED5">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029192D"/>
    <w:multiLevelType w:val="hybridMultilevel"/>
    <w:tmpl w:val="ECAAD3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134AF"/>
    <w:multiLevelType w:val="hybridMultilevel"/>
    <w:tmpl w:val="8C0AC9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C1663"/>
    <w:multiLevelType w:val="hybridMultilevel"/>
    <w:tmpl w:val="A7A01F34"/>
    <w:lvl w:ilvl="0" w:tplc="0C090001">
      <w:start w:val="1"/>
      <w:numFmt w:val="bullet"/>
      <w:lvlText w:val=""/>
      <w:lvlJc w:val="left"/>
      <w:pPr>
        <w:ind w:left="720" w:hanging="360"/>
      </w:pPr>
      <w:rPr>
        <w:rFonts w:ascii="Symbol" w:hAnsi="Symbol" w:hint="default"/>
      </w:rPr>
    </w:lvl>
    <w:lvl w:ilvl="1" w:tplc="D29685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9C3EDD"/>
    <w:multiLevelType w:val="multilevel"/>
    <w:tmpl w:val="C9AA1F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90649D6"/>
    <w:multiLevelType w:val="hybridMultilevel"/>
    <w:tmpl w:val="064CEA9A"/>
    <w:lvl w:ilvl="0" w:tplc="9998E4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D2428"/>
    <w:multiLevelType w:val="hybridMultilevel"/>
    <w:tmpl w:val="23BE99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15E4F5F"/>
    <w:multiLevelType w:val="hybridMultilevel"/>
    <w:tmpl w:val="638C7F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72AA3C97"/>
    <w:multiLevelType w:val="hybridMultilevel"/>
    <w:tmpl w:val="6442A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05609B"/>
    <w:multiLevelType w:val="hybridMultilevel"/>
    <w:tmpl w:val="4BAEA62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6378972">
    <w:abstractNumId w:val="0"/>
  </w:num>
  <w:num w:numId="2" w16cid:durableId="1676611844">
    <w:abstractNumId w:val="4"/>
  </w:num>
  <w:num w:numId="3" w16cid:durableId="1200389892">
    <w:abstractNumId w:val="3"/>
  </w:num>
  <w:num w:numId="4" w16cid:durableId="462161009">
    <w:abstractNumId w:val="1"/>
  </w:num>
  <w:num w:numId="5" w16cid:durableId="1372421606">
    <w:abstractNumId w:val="5"/>
  </w:num>
  <w:num w:numId="6" w16cid:durableId="535777835">
    <w:abstractNumId w:val="8"/>
  </w:num>
  <w:num w:numId="7" w16cid:durableId="818767106">
    <w:abstractNumId w:val="2"/>
  </w:num>
  <w:num w:numId="8" w16cid:durableId="719288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488389">
    <w:abstractNumId w:val="9"/>
  </w:num>
  <w:num w:numId="10" w16cid:durableId="1315641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1377F"/>
    <w:rsid w:val="00030E33"/>
    <w:rsid w:val="00046A8A"/>
    <w:rsid w:val="00046FF6"/>
    <w:rsid w:val="00066D8A"/>
    <w:rsid w:val="00072382"/>
    <w:rsid w:val="00083400"/>
    <w:rsid w:val="000A48E4"/>
    <w:rsid w:val="000B606B"/>
    <w:rsid w:val="00117025"/>
    <w:rsid w:val="00117395"/>
    <w:rsid w:val="00131605"/>
    <w:rsid w:val="0015457F"/>
    <w:rsid w:val="00156A78"/>
    <w:rsid w:val="0017124A"/>
    <w:rsid w:val="001726FD"/>
    <w:rsid w:val="00174106"/>
    <w:rsid w:val="00175207"/>
    <w:rsid w:val="00184AD4"/>
    <w:rsid w:val="0019063B"/>
    <w:rsid w:val="001A76D6"/>
    <w:rsid w:val="001B7C15"/>
    <w:rsid w:val="001C01DD"/>
    <w:rsid w:val="001D104A"/>
    <w:rsid w:val="001E40C9"/>
    <w:rsid w:val="001F3704"/>
    <w:rsid w:val="00206FA6"/>
    <w:rsid w:val="002268DC"/>
    <w:rsid w:val="002279DA"/>
    <w:rsid w:val="00236901"/>
    <w:rsid w:val="00241F24"/>
    <w:rsid w:val="002539D9"/>
    <w:rsid w:val="0025549E"/>
    <w:rsid w:val="00255B83"/>
    <w:rsid w:val="00270530"/>
    <w:rsid w:val="00271F5D"/>
    <w:rsid w:val="00280913"/>
    <w:rsid w:val="002A0F7F"/>
    <w:rsid w:val="002C2F7E"/>
    <w:rsid w:val="002C50D7"/>
    <w:rsid w:val="002E240E"/>
    <w:rsid w:val="002F00D5"/>
    <w:rsid w:val="002F657E"/>
    <w:rsid w:val="00301C54"/>
    <w:rsid w:val="00307E5B"/>
    <w:rsid w:val="0032382A"/>
    <w:rsid w:val="00332422"/>
    <w:rsid w:val="003343A5"/>
    <w:rsid w:val="00340F54"/>
    <w:rsid w:val="003462A4"/>
    <w:rsid w:val="00352A9E"/>
    <w:rsid w:val="00353FD7"/>
    <w:rsid w:val="00370772"/>
    <w:rsid w:val="00372010"/>
    <w:rsid w:val="00375EE3"/>
    <w:rsid w:val="00380554"/>
    <w:rsid w:val="00381639"/>
    <w:rsid w:val="003A420D"/>
    <w:rsid w:val="003D3A1F"/>
    <w:rsid w:val="003F513B"/>
    <w:rsid w:val="00405BFB"/>
    <w:rsid w:val="004063DC"/>
    <w:rsid w:val="00412C9F"/>
    <w:rsid w:val="00421D76"/>
    <w:rsid w:val="004428DC"/>
    <w:rsid w:val="004664A5"/>
    <w:rsid w:val="00467AF3"/>
    <w:rsid w:val="0047089C"/>
    <w:rsid w:val="00471BE1"/>
    <w:rsid w:val="004919B9"/>
    <w:rsid w:val="004934E4"/>
    <w:rsid w:val="00493C77"/>
    <w:rsid w:val="004A038A"/>
    <w:rsid w:val="004B4594"/>
    <w:rsid w:val="004D33FD"/>
    <w:rsid w:val="004D350A"/>
    <w:rsid w:val="004D558B"/>
    <w:rsid w:val="004F79E0"/>
    <w:rsid w:val="00507784"/>
    <w:rsid w:val="00507D1D"/>
    <w:rsid w:val="00507ED5"/>
    <w:rsid w:val="00510BCE"/>
    <w:rsid w:val="00526FB3"/>
    <w:rsid w:val="00527E41"/>
    <w:rsid w:val="0053017D"/>
    <w:rsid w:val="00544A6A"/>
    <w:rsid w:val="005516E4"/>
    <w:rsid w:val="00553DD0"/>
    <w:rsid w:val="005701D6"/>
    <w:rsid w:val="00584D6B"/>
    <w:rsid w:val="00593AB3"/>
    <w:rsid w:val="00594C82"/>
    <w:rsid w:val="0059538D"/>
    <w:rsid w:val="00597669"/>
    <w:rsid w:val="005A37F6"/>
    <w:rsid w:val="005A6B42"/>
    <w:rsid w:val="005A72FA"/>
    <w:rsid w:val="005B4AAB"/>
    <w:rsid w:val="005D3AB1"/>
    <w:rsid w:val="005D6757"/>
    <w:rsid w:val="005E6B43"/>
    <w:rsid w:val="005F0232"/>
    <w:rsid w:val="00611A5C"/>
    <w:rsid w:val="006129E4"/>
    <w:rsid w:val="00613B96"/>
    <w:rsid w:val="006416CF"/>
    <w:rsid w:val="0064533F"/>
    <w:rsid w:val="0065718A"/>
    <w:rsid w:val="00673913"/>
    <w:rsid w:val="006B4107"/>
    <w:rsid w:val="006C2E36"/>
    <w:rsid w:val="006E02C5"/>
    <w:rsid w:val="006F734B"/>
    <w:rsid w:val="00702573"/>
    <w:rsid w:val="00714FA1"/>
    <w:rsid w:val="00717C4A"/>
    <w:rsid w:val="00720CF9"/>
    <w:rsid w:val="007211CC"/>
    <w:rsid w:val="00734634"/>
    <w:rsid w:val="00736747"/>
    <w:rsid w:val="007406D5"/>
    <w:rsid w:val="00752B58"/>
    <w:rsid w:val="00756F0B"/>
    <w:rsid w:val="00760547"/>
    <w:rsid w:val="0076133E"/>
    <w:rsid w:val="007617D9"/>
    <w:rsid w:val="007738E5"/>
    <w:rsid w:val="0078019D"/>
    <w:rsid w:val="007820EC"/>
    <w:rsid w:val="00782508"/>
    <w:rsid w:val="007848B9"/>
    <w:rsid w:val="007A695B"/>
    <w:rsid w:val="007B60F4"/>
    <w:rsid w:val="007C5B8E"/>
    <w:rsid w:val="007E301A"/>
    <w:rsid w:val="007E510D"/>
    <w:rsid w:val="007E6746"/>
    <w:rsid w:val="00822B2B"/>
    <w:rsid w:val="008232E8"/>
    <w:rsid w:val="00854626"/>
    <w:rsid w:val="0086408E"/>
    <w:rsid w:val="00871121"/>
    <w:rsid w:val="008836E2"/>
    <w:rsid w:val="0088697F"/>
    <w:rsid w:val="00891526"/>
    <w:rsid w:val="0089291C"/>
    <w:rsid w:val="008961E5"/>
    <w:rsid w:val="008A42F7"/>
    <w:rsid w:val="008C5DB3"/>
    <w:rsid w:val="008C7648"/>
    <w:rsid w:val="008D49D9"/>
    <w:rsid w:val="008E0689"/>
    <w:rsid w:val="008E4B23"/>
    <w:rsid w:val="00923343"/>
    <w:rsid w:val="00937749"/>
    <w:rsid w:val="00937C33"/>
    <w:rsid w:val="00952F2B"/>
    <w:rsid w:val="00953B07"/>
    <w:rsid w:val="00973427"/>
    <w:rsid w:val="00974DCF"/>
    <w:rsid w:val="0098099B"/>
    <w:rsid w:val="009A2D00"/>
    <w:rsid w:val="009E0FBB"/>
    <w:rsid w:val="009E6172"/>
    <w:rsid w:val="009F36C7"/>
    <w:rsid w:val="009F4C3E"/>
    <w:rsid w:val="00A13A86"/>
    <w:rsid w:val="00A16FAC"/>
    <w:rsid w:val="00A17FF0"/>
    <w:rsid w:val="00A212E0"/>
    <w:rsid w:val="00A33026"/>
    <w:rsid w:val="00A4268D"/>
    <w:rsid w:val="00A5263B"/>
    <w:rsid w:val="00A6074C"/>
    <w:rsid w:val="00A67CFB"/>
    <w:rsid w:val="00A70884"/>
    <w:rsid w:val="00A7212C"/>
    <w:rsid w:val="00A82F98"/>
    <w:rsid w:val="00AB011D"/>
    <w:rsid w:val="00AC29AA"/>
    <w:rsid w:val="00AD5E0D"/>
    <w:rsid w:val="00AE1678"/>
    <w:rsid w:val="00AE7977"/>
    <w:rsid w:val="00B12371"/>
    <w:rsid w:val="00B1272C"/>
    <w:rsid w:val="00B12A51"/>
    <w:rsid w:val="00B13EB8"/>
    <w:rsid w:val="00B16F19"/>
    <w:rsid w:val="00B32289"/>
    <w:rsid w:val="00B67313"/>
    <w:rsid w:val="00B81CAF"/>
    <w:rsid w:val="00BB0695"/>
    <w:rsid w:val="00BC0A71"/>
    <w:rsid w:val="00BC6165"/>
    <w:rsid w:val="00BD700C"/>
    <w:rsid w:val="00BE64F3"/>
    <w:rsid w:val="00BE7A55"/>
    <w:rsid w:val="00BF5448"/>
    <w:rsid w:val="00C06E69"/>
    <w:rsid w:val="00C26ED8"/>
    <w:rsid w:val="00C305EA"/>
    <w:rsid w:val="00C326B6"/>
    <w:rsid w:val="00C36EB2"/>
    <w:rsid w:val="00C41F9B"/>
    <w:rsid w:val="00C4235A"/>
    <w:rsid w:val="00C45BA7"/>
    <w:rsid w:val="00C53491"/>
    <w:rsid w:val="00C537C2"/>
    <w:rsid w:val="00C553C7"/>
    <w:rsid w:val="00C561D4"/>
    <w:rsid w:val="00C647CF"/>
    <w:rsid w:val="00C70F09"/>
    <w:rsid w:val="00C73149"/>
    <w:rsid w:val="00C952A4"/>
    <w:rsid w:val="00CA084B"/>
    <w:rsid w:val="00CA32C0"/>
    <w:rsid w:val="00CC3E79"/>
    <w:rsid w:val="00CC579E"/>
    <w:rsid w:val="00CD29CA"/>
    <w:rsid w:val="00CD54A3"/>
    <w:rsid w:val="00D02682"/>
    <w:rsid w:val="00D03243"/>
    <w:rsid w:val="00D04818"/>
    <w:rsid w:val="00D06E5D"/>
    <w:rsid w:val="00D13916"/>
    <w:rsid w:val="00D179B8"/>
    <w:rsid w:val="00D354BD"/>
    <w:rsid w:val="00D430DC"/>
    <w:rsid w:val="00D6171F"/>
    <w:rsid w:val="00D6552F"/>
    <w:rsid w:val="00D830E6"/>
    <w:rsid w:val="00D8681C"/>
    <w:rsid w:val="00D908BF"/>
    <w:rsid w:val="00DA50B6"/>
    <w:rsid w:val="00DA5AB3"/>
    <w:rsid w:val="00DC1C21"/>
    <w:rsid w:val="00DC6EC6"/>
    <w:rsid w:val="00DE12D8"/>
    <w:rsid w:val="00DF03A0"/>
    <w:rsid w:val="00E01707"/>
    <w:rsid w:val="00E131DF"/>
    <w:rsid w:val="00E24EF6"/>
    <w:rsid w:val="00E2584A"/>
    <w:rsid w:val="00E269C8"/>
    <w:rsid w:val="00E4155F"/>
    <w:rsid w:val="00E4673B"/>
    <w:rsid w:val="00E52E96"/>
    <w:rsid w:val="00E65693"/>
    <w:rsid w:val="00E74369"/>
    <w:rsid w:val="00E842CB"/>
    <w:rsid w:val="00E9787B"/>
    <w:rsid w:val="00EA6D5F"/>
    <w:rsid w:val="00EB249C"/>
    <w:rsid w:val="00EC7701"/>
    <w:rsid w:val="00ED1C40"/>
    <w:rsid w:val="00ED437D"/>
    <w:rsid w:val="00EE3F7C"/>
    <w:rsid w:val="00EF7AC5"/>
    <w:rsid w:val="00F03AA3"/>
    <w:rsid w:val="00F45F91"/>
    <w:rsid w:val="00F53754"/>
    <w:rsid w:val="00F53C54"/>
    <w:rsid w:val="00F727C4"/>
    <w:rsid w:val="00F74C1D"/>
    <w:rsid w:val="00F90F9D"/>
    <w:rsid w:val="00F92DD0"/>
    <w:rsid w:val="00F96405"/>
    <w:rsid w:val="00F964F0"/>
    <w:rsid w:val="00FA55B7"/>
    <w:rsid w:val="00FA5B88"/>
    <w:rsid w:val="00FB39A6"/>
    <w:rsid w:val="00FC15D3"/>
    <w:rsid w:val="00FD307F"/>
    <w:rsid w:val="00FE045B"/>
    <w:rsid w:val="00FE464E"/>
    <w:rsid w:val="00FF7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5B9D"/>
  <w15:chartTrackingRefBased/>
  <w15:docId w15:val="{2C3BAAE3-AC54-48FD-9422-95FA7201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rsid w:val="0019063B"/>
    <w:pPr>
      <w:numPr>
        <w:numId w:val="1"/>
      </w:numPr>
    </w:pPr>
  </w:style>
  <w:style w:type="paragraph" w:styleId="ListBullet">
    <w:name w:val="List Bullet"/>
    <w:basedOn w:val="Normal"/>
    <w:uiPriority w:val="99"/>
    <w:unhideWhenUsed/>
    <w:qFormat/>
    <w:rsid w:val="0019063B"/>
    <w:pPr>
      <w:numPr>
        <w:numId w:val="1"/>
      </w:numPr>
      <w:spacing w:after="120"/>
    </w:pPr>
    <w:rPr>
      <w:rFonts w:asciiTheme="minorHAnsi" w:eastAsiaTheme="minorHAnsi" w:hAnsiTheme="minorHAnsi" w:cstheme="minorBidi"/>
      <w:sz w:val="22"/>
      <w:szCs w:val="22"/>
    </w:rPr>
  </w:style>
  <w:style w:type="paragraph" w:styleId="ListBullet2">
    <w:name w:val="List Bullet 2"/>
    <w:basedOn w:val="Normal"/>
    <w:uiPriority w:val="99"/>
    <w:unhideWhenUsed/>
    <w:rsid w:val="0019063B"/>
    <w:pPr>
      <w:numPr>
        <w:ilvl w:val="1"/>
        <w:numId w:val="1"/>
      </w:numPr>
      <w:spacing w:after="120"/>
    </w:pPr>
    <w:rPr>
      <w:rFonts w:asciiTheme="minorHAnsi" w:eastAsiaTheme="minorHAnsi" w:hAnsiTheme="minorHAnsi" w:cstheme="minorBidi"/>
      <w:sz w:val="22"/>
      <w:szCs w:val="22"/>
    </w:rPr>
  </w:style>
  <w:style w:type="paragraph" w:styleId="ListBullet3">
    <w:name w:val="List Bullet 3"/>
    <w:basedOn w:val="Normal"/>
    <w:uiPriority w:val="99"/>
    <w:unhideWhenUsed/>
    <w:rsid w:val="0019063B"/>
    <w:pPr>
      <w:numPr>
        <w:ilvl w:val="2"/>
        <w:numId w:val="1"/>
      </w:numPr>
      <w:spacing w:after="120"/>
    </w:pPr>
    <w:rPr>
      <w:rFonts w:asciiTheme="minorHAnsi" w:eastAsiaTheme="minorHAnsi" w:hAnsiTheme="minorHAnsi" w:cstheme="minorBidi"/>
      <w:sz w:val="22"/>
      <w:szCs w:val="22"/>
    </w:rPr>
  </w:style>
  <w:style w:type="paragraph" w:styleId="ListBullet4">
    <w:name w:val="List Bullet 4"/>
    <w:basedOn w:val="Normal"/>
    <w:uiPriority w:val="99"/>
    <w:unhideWhenUsed/>
    <w:rsid w:val="0019063B"/>
    <w:pPr>
      <w:numPr>
        <w:ilvl w:val="3"/>
        <w:numId w:val="1"/>
      </w:numPr>
      <w:spacing w:after="120"/>
    </w:pPr>
    <w:rPr>
      <w:rFonts w:asciiTheme="minorHAnsi" w:eastAsiaTheme="minorHAnsi" w:hAnsiTheme="minorHAnsi" w:cstheme="minorBidi"/>
      <w:sz w:val="22"/>
      <w:szCs w:val="22"/>
    </w:rPr>
  </w:style>
  <w:style w:type="paragraph" w:styleId="ListBullet5">
    <w:name w:val="List Bullet 5"/>
    <w:basedOn w:val="Normal"/>
    <w:uiPriority w:val="99"/>
    <w:unhideWhenUsed/>
    <w:rsid w:val="0019063B"/>
    <w:pPr>
      <w:numPr>
        <w:ilvl w:val="4"/>
        <w:numId w:val="1"/>
      </w:numPr>
      <w:spacing w:after="120"/>
    </w:pPr>
    <w:rPr>
      <w:rFonts w:asciiTheme="minorHAnsi" w:eastAsiaTheme="minorHAnsi" w:hAnsiTheme="minorHAnsi" w:cstheme="minorBidi"/>
      <w:sz w:val="22"/>
      <w:szCs w:val="22"/>
    </w:rPr>
  </w:style>
  <w:style w:type="table" w:styleId="TableGrid">
    <w:name w:val="Table Grid"/>
    <w:basedOn w:val="TableNormal"/>
    <w:uiPriority w:val="59"/>
    <w:rsid w:val="0019063B"/>
    <w:pPr>
      <w:spacing w:after="0" w:line="240" w:lineRule="auto"/>
    </w:pPr>
    <w:rPr>
      <w:rFonts w:ascii="Arial" w:eastAsia="Calibri" w:hAnsi="Arial"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styleId="NormalWeb">
    <w:name w:val="Normal (Web)"/>
    <w:basedOn w:val="Normal"/>
    <w:uiPriority w:val="99"/>
    <w:unhideWhenUsed/>
    <w:rsid w:val="0019063B"/>
    <w:pPr>
      <w:spacing w:before="100" w:beforeAutospacing="1" w:after="100" w:afterAutospacing="1"/>
    </w:pPr>
    <w:rPr>
      <w:rFonts w:eastAsiaTheme="minorHAnsi"/>
      <w:lang w:eastAsia="en-AU"/>
    </w:rPr>
  </w:style>
  <w:style w:type="character" w:styleId="Strong">
    <w:name w:val="Strong"/>
    <w:basedOn w:val="DefaultParagraphFont"/>
    <w:uiPriority w:val="22"/>
    <w:qFormat/>
    <w:rsid w:val="0019063B"/>
    <w:rPr>
      <w:b/>
      <w:bCs/>
    </w:rPr>
  </w:style>
  <w:style w:type="character" w:styleId="Hyperlink">
    <w:name w:val="Hyperlink"/>
    <w:basedOn w:val="DefaultParagraphFont"/>
    <w:uiPriority w:val="99"/>
    <w:unhideWhenUsed/>
    <w:rsid w:val="00752B58"/>
    <w:rPr>
      <w:color w:val="0563C1" w:themeColor="hyperlink"/>
      <w:u w:val="single"/>
    </w:rPr>
  </w:style>
  <w:style w:type="paragraph" w:styleId="ListParagraph">
    <w:name w:val="List Paragraph"/>
    <w:basedOn w:val="Normal"/>
    <w:uiPriority w:val="34"/>
    <w:qFormat/>
    <w:rsid w:val="00D6171F"/>
    <w:pPr>
      <w:ind w:left="720"/>
      <w:contextualSpacing/>
    </w:pPr>
  </w:style>
  <w:style w:type="paragraph" w:styleId="Header">
    <w:name w:val="header"/>
    <w:basedOn w:val="Normal"/>
    <w:link w:val="HeaderChar"/>
    <w:uiPriority w:val="99"/>
    <w:unhideWhenUsed/>
    <w:rsid w:val="00DA50B6"/>
    <w:pPr>
      <w:tabs>
        <w:tab w:val="center" w:pos="4513"/>
        <w:tab w:val="right" w:pos="9026"/>
      </w:tabs>
    </w:pPr>
  </w:style>
  <w:style w:type="character" w:customStyle="1" w:styleId="HeaderChar">
    <w:name w:val="Header Char"/>
    <w:basedOn w:val="DefaultParagraphFont"/>
    <w:link w:val="Header"/>
    <w:uiPriority w:val="99"/>
    <w:rsid w:val="00DA50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50B6"/>
    <w:pPr>
      <w:tabs>
        <w:tab w:val="center" w:pos="4513"/>
        <w:tab w:val="right" w:pos="9026"/>
      </w:tabs>
    </w:pPr>
  </w:style>
  <w:style w:type="character" w:customStyle="1" w:styleId="FooterChar">
    <w:name w:val="Footer Char"/>
    <w:basedOn w:val="DefaultParagraphFont"/>
    <w:link w:val="Footer"/>
    <w:uiPriority w:val="99"/>
    <w:rsid w:val="00DA50B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6405"/>
    <w:rPr>
      <w:sz w:val="16"/>
      <w:szCs w:val="16"/>
    </w:rPr>
  </w:style>
  <w:style w:type="paragraph" w:styleId="CommentText">
    <w:name w:val="annotation text"/>
    <w:basedOn w:val="Normal"/>
    <w:link w:val="CommentTextChar"/>
    <w:uiPriority w:val="99"/>
    <w:unhideWhenUsed/>
    <w:rsid w:val="00F96405"/>
    <w:rPr>
      <w:sz w:val="20"/>
      <w:szCs w:val="20"/>
    </w:rPr>
  </w:style>
  <w:style w:type="character" w:customStyle="1" w:styleId="CommentTextChar">
    <w:name w:val="Comment Text Char"/>
    <w:basedOn w:val="DefaultParagraphFont"/>
    <w:link w:val="CommentText"/>
    <w:uiPriority w:val="99"/>
    <w:rsid w:val="00F964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405"/>
    <w:rPr>
      <w:b/>
      <w:bCs/>
    </w:rPr>
  </w:style>
  <w:style w:type="character" w:customStyle="1" w:styleId="CommentSubjectChar">
    <w:name w:val="Comment Subject Char"/>
    <w:basedOn w:val="CommentTextChar"/>
    <w:link w:val="CommentSubject"/>
    <w:uiPriority w:val="99"/>
    <w:semiHidden/>
    <w:rsid w:val="00F964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0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01707"/>
    <w:rPr>
      <w:color w:val="605E5C"/>
      <w:shd w:val="clear" w:color="auto" w:fill="E1DFDD"/>
    </w:rPr>
  </w:style>
  <w:style w:type="paragraph" w:styleId="Revision">
    <w:name w:val="Revision"/>
    <w:hidden/>
    <w:uiPriority w:val="99"/>
    <w:semiHidden/>
    <w:rsid w:val="002F00D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09756">
      <w:bodyDiv w:val="1"/>
      <w:marLeft w:val="0"/>
      <w:marRight w:val="0"/>
      <w:marTop w:val="0"/>
      <w:marBottom w:val="0"/>
      <w:divBdr>
        <w:top w:val="none" w:sz="0" w:space="0" w:color="auto"/>
        <w:left w:val="none" w:sz="0" w:space="0" w:color="auto"/>
        <w:bottom w:val="none" w:sz="0" w:space="0" w:color="auto"/>
        <w:right w:val="none" w:sz="0" w:space="0" w:color="auto"/>
      </w:divBdr>
    </w:div>
    <w:div w:id="136260316">
      <w:bodyDiv w:val="1"/>
      <w:marLeft w:val="0"/>
      <w:marRight w:val="0"/>
      <w:marTop w:val="0"/>
      <w:marBottom w:val="0"/>
      <w:divBdr>
        <w:top w:val="none" w:sz="0" w:space="0" w:color="auto"/>
        <w:left w:val="none" w:sz="0" w:space="0" w:color="auto"/>
        <w:bottom w:val="none" w:sz="0" w:space="0" w:color="auto"/>
        <w:right w:val="none" w:sz="0" w:space="0" w:color="auto"/>
      </w:divBdr>
    </w:div>
    <w:div w:id="206338753">
      <w:bodyDiv w:val="1"/>
      <w:marLeft w:val="0"/>
      <w:marRight w:val="0"/>
      <w:marTop w:val="0"/>
      <w:marBottom w:val="0"/>
      <w:divBdr>
        <w:top w:val="none" w:sz="0" w:space="0" w:color="auto"/>
        <w:left w:val="none" w:sz="0" w:space="0" w:color="auto"/>
        <w:bottom w:val="none" w:sz="0" w:space="0" w:color="auto"/>
        <w:right w:val="none" w:sz="0" w:space="0" w:color="auto"/>
      </w:divBdr>
    </w:div>
    <w:div w:id="285701060">
      <w:bodyDiv w:val="1"/>
      <w:marLeft w:val="0"/>
      <w:marRight w:val="0"/>
      <w:marTop w:val="0"/>
      <w:marBottom w:val="0"/>
      <w:divBdr>
        <w:top w:val="none" w:sz="0" w:space="0" w:color="auto"/>
        <w:left w:val="none" w:sz="0" w:space="0" w:color="auto"/>
        <w:bottom w:val="none" w:sz="0" w:space="0" w:color="auto"/>
        <w:right w:val="none" w:sz="0" w:space="0" w:color="auto"/>
      </w:divBdr>
    </w:div>
    <w:div w:id="286589587">
      <w:bodyDiv w:val="1"/>
      <w:marLeft w:val="0"/>
      <w:marRight w:val="0"/>
      <w:marTop w:val="0"/>
      <w:marBottom w:val="0"/>
      <w:divBdr>
        <w:top w:val="none" w:sz="0" w:space="0" w:color="auto"/>
        <w:left w:val="none" w:sz="0" w:space="0" w:color="auto"/>
        <w:bottom w:val="none" w:sz="0" w:space="0" w:color="auto"/>
        <w:right w:val="none" w:sz="0" w:space="0" w:color="auto"/>
      </w:divBdr>
    </w:div>
    <w:div w:id="814377417">
      <w:bodyDiv w:val="1"/>
      <w:marLeft w:val="0"/>
      <w:marRight w:val="0"/>
      <w:marTop w:val="0"/>
      <w:marBottom w:val="0"/>
      <w:divBdr>
        <w:top w:val="none" w:sz="0" w:space="0" w:color="auto"/>
        <w:left w:val="none" w:sz="0" w:space="0" w:color="auto"/>
        <w:bottom w:val="none" w:sz="0" w:space="0" w:color="auto"/>
        <w:right w:val="none" w:sz="0" w:space="0" w:color="auto"/>
      </w:divBdr>
    </w:div>
    <w:div w:id="1196574096">
      <w:bodyDiv w:val="1"/>
      <w:marLeft w:val="0"/>
      <w:marRight w:val="0"/>
      <w:marTop w:val="0"/>
      <w:marBottom w:val="0"/>
      <w:divBdr>
        <w:top w:val="none" w:sz="0" w:space="0" w:color="auto"/>
        <w:left w:val="none" w:sz="0" w:space="0" w:color="auto"/>
        <w:bottom w:val="none" w:sz="0" w:space="0" w:color="auto"/>
        <w:right w:val="none" w:sz="0" w:space="0" w:color="auto"/>
      </w:divBdr>
    </w:div>
    <w:div w:id="1482498369">
      <w:bodyDiv w:val="1"/>
      <w:marLeft w:val="0"/>
      <w:marRight w:val="0"/>
      <w:marTop w:val="0"/>
      <w:marBottom w:val="0"/>
      <w:divBdr>
        <w:top w:val="none" w:sz="0" w:space="0" w:color="auto"/>
        <w:left w:val="none" w:sz="0" w:space="0" w:color="auto"/>
        <w:bottom w:val="none" w:sz="0" w:space="0" w:color="auto"/>
        <w:right w:val="none" w:sz="0" w:space="0" w:color="auto"/>
      </w:divBdr>
    </w:div>
    <w:div w:id="1609697491">
      <w:bodyDiv w:val="1"/>
      <w:marLeft w:val="0"/>
      <w:marRight w:val="0"/>
      <w:marTop w:val="0"/>
      <w:marBottom w:val="0"/>
      <w:divBdr>
        <w:top w:val="none" w:sz="0" w:space="0" w:color="auto"/>
        <w:left w:val="none" w:sz="0" w:space="0" w:color="auto"/>
        <w:bottom w:val="none" w:sz="0" w:space="0" w:color="auto"/>
        <w:right w:val="none" w:sz="0" w:space="0" w:color="auto"/>
      </w:divBdr>
    </w:div>
    <w:div w:id="1708018926">
      <w:bodyDiv w:val="1"/>
      <w:marLeft w:val="0"/>
      <w:marRight w:val="0"/>
      <w:marTop w:val="0"/>
      <w:marBottom w:val="0"/>
      <w:divBdr>
        <w:top w:val="none" w:sz="0" w:space="0" w:color="auto"/>
        <w:left w:val="none" w:sz="0" w:space="0" w:color="auto"/>
        <w:bottom w:val="none" w:sz="0" w:space="0" w:color="auto"/>
        <w:right w:val="none" w:sz="0" w:space="0" w:color="auto"/>
      </w:divBdr>
    </w:div>
    <w:div w:id="1754661173">
      <w:bodyDiv w:val="1"/>
      <w:marLeft w:val="0"/>
      <w:marRight w:val="0"/>
      <w:marTop w:val="0"/>
      <w:marBottom w:val="0"/>
      <w:divBdr>
        <w:top w:val="none" w:sz="0" w:space="0" w:color="auto"/>
        <w:left w:val="none" w:sz="0" w:space="0" w:color="auto"/>
        <w:bottom w:val="none" w:sz="0" w:space="0" w:color="auto"/>
        <w:right w:val="none" w:sz="0" w:space="0" w:color="auto"/>
      </w:divBdr>
    </w:div>
    <w:div w:id="18280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DDE6-5D41-4767-BC2E-D7BB6539D6F5}">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1c01dc6-2c49-4730-b140-874c95cac377"/>
    <ds:schemaRef ds:uri="http://purl.org/dc/dcmitype/"/>
    <ds:schemaRef ds:uri="c95b51c2-b2ac-4224-a5b5-069909057829"/>
    <ds:schemaRef ds:uri="2b53c995-2120-4bc0-8922-c25044d37f6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8F30CF6-BEC3-457B-B54D-9055FA28E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2325E-3071-46B8-B886-27A85734C535}">
  <ds:schemaRefs>
    <ds:schemaRef ds:uri="http://schemas.microsoft.com/sharepoint/v3/contenttype/forms"/>
  </ds:schemaRefs>
</ds:datastoreItem>
</file>

<file path=customXml/itemProps4.xml><?xml version="1.0" encoding="utf-8"?>
<ds:datastoreItem xmlns:ds="http://schemas.openxmlformats.org/officeDocument/2006/customXml" ds:itemID="{D64D57EC-68A2-49EC-8D36-DEE75DD0A7A9}">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Government response to Australian winegrape purchases code of conduct</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Australian winegrape purchases code of conduct</dc:title>
  <dc:subject/>
  <dc:creator>Australian Government</dc:creator>
  <cp:keywords/>
  <dc:description/>
  <cp:revision>4</cp:revision>
  <cp:lastPrinted>2026-03-04T00:34:00Z</cp:lastPrinted>
  <dcterms:created xsi:type="dcterms:W3CDTF">2026-04-15T01:55:00Z</dcterms:created>
  <dcterms:modified xsi:type="dcterms:W3CDTF">2026-04-23T08:59:00Z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1;#UNCLASSIFIED|9c49a7c7-17c7-412f-8077-62dec89b9196</vt:lpwstr>
  </property>
  <property fmtid="{D5CDD505-2E9C-101B-9397-08002B2CF9AE}" pid="3" name="ContentTypeId">
    <vt:lpwstr>0x0101008991DB94C8E2E14F9D69CDF9B52A3286</vt:lpwstr>
  </property>
  <property fmtid="{D5CDD505-2E9C-101B-9397-08002B2CF9AE}" pid="4" name="ESearchTags">
    <vt:lpwstr/>
  </property>
  <property fmtid="{D5CDD505-2E9C-101B-9397-08002B2CF9AE}" pid="5" name="PMC.ESearch.TagGeneratedTime">
    <vt:lpwstr>2019-06-04T13:52:36</vt:lpwstr>
  </property>
  <property fmtid="{D5CDD505-2E9C-101B-9397-08002B2CF9AE}" pid="6" name="HPRMSecurityCaveat">
    <vt:lpwstr/>
  </property>
  <property fmtid="{D5CDD505-2E9C-101B-9397-08002B2CF9AE}" pid="7" name="RecordPoint_WorkflowType">
    <vt:lpwstr>ActiveSubmitStub</vt:lpwstr>
  </property>
  <property fmtid="{D5CDD505-2E9C-101B-9397-08002B2CF9AE}" pid="8" name="RecordPoint_ActiveItemSiteId">
    <vt:lpwstr>{5de2fa14-5cd9-4f3d-a0bc-2dab554b1fc6}</vt:lpwstr>
  </property>
  <property fmtid="{D5CDD505-2E9C-101B-9397-08002B2CF9AE}" pid="9" name="RecordPoint_ActiveItemListId">
    <vt:lpwstr>{ac88113b-9f26-4618-a969-a6296ec03b08}</vt:lpwstr>
  </property>
  <property fmtid="{D5CDD505-2E9C-101B-9397-08002B2CF9AE}" pid="10" name="RecordPoint_ActiveItemUniqueId">
    <vt:lpwstr>{3511760d-100f-4c56-adea-415be788f35f}</vt:lpwstr>
  </property>
  <property fmtid="{D5CDD505-2E9C-101B-9397-08002B2CF9AE}" pid="11" name="RecordPoint_ActiveItemWebId">
    <vt:lpwstr>{8f77d035-eb8b-4475-96eb-c860be21f07c}</vt:lpwstr>
  </property>
  <property fmtid="{D5CDD505-2E9C-101B-9397-08002B2CF9AE}" pid="12" name="ClassificationContentMarkingHeaderShapeIds">
    <vt:lpwstr>6036684e,74c9b0c6,32eacd3c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725018a4,580f498c,7aac4efb</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2024-09-04T01:16:51Z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833885e4-ed8e-4323-994d-d2e7d56ee052</vt:lpwstr>
  </property>
  <property fmtid="{D5CDD505-2E9C-101B-9397-08002B2CF9AE}" pid="24" name="MSIP_Label_933d8be6-3c40-4052-87a2-9c2adcba8759_ContentBits">
    <vt:lpwstr>3</vt:lpwstr>
  </property>
  <property fmtid="{D5CDD505-2E9C-101B-9397-08002B2CF9AE}" pid="25" name="MediaServiceImageTags">
    <vt:lpwstr/>
  </property>
</Properties>
</file>