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342" w:rsidRDefault="00EC6342" w:rsidP="00EC6342">
      <w:pPr>
        <w:spacing w:before="100" w:beforeAutospacing="1" w:after="100" w:afterAutospacing="1" w:line="276" w:lineRule="auto"/>
        <w:jc w:val="center"/>
        <w:rPr>
          <w:rFonts w:ascii="Arial" w:eastAsia="Calibri" w:hAnsi="Arial" w:cs="Arial"/>
          <w:b/>
        </w:rPr>
      </w:pPr>
    </w:p>
    <w:p w:rsidR="00EC6342" w:rsidRDefault="00EC6342" w:rsidP="00EC6342">
      <w:pPr>
        <w:spacing w:before="100" w:beforeAutospacing="1" w:after="100" w:afterAutospacing="1" w:line="276" w:lineRule="auto"/>
        <w:jc w:val="center"/>
        <w:rPr>
          <w:rFonts w:ascii="Arial" w:eastAsia="Calibri" w:hAnsi="Arial" w:cs="Arial"/>
          <w:b/>
        </w:rPr>
      </w:pPr>
      <w:r>
        <w:rPr>
          <w:noProof/>
          <w:lang w:eastAsia="en-AU"/>
        </w:rPr>
        <w:drawing>
          <wp:inline distT="0" distB="0" distL="0" distR="0" wp14:anchorId="2A6B2674" wp14:editId="6BAF034F">
            <wp:extent cx="2439035" cy="135382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7" cstate="print"/>
                    <a:stretch>
                      <a:fillRect/>
                    </a:stretch>
                  </pic:blipFill>
                  <pic:spPr bwMode="auto">
                    <a:xfrm>
                      <a:off x="0" y="0"/>
                      <a:ext cx="2439035" cy="1353820"/>
                    </a:xfrm>
                    <a:prstGeom prst="rect">
                      <a:avLst/>
                    </a:prstGeom>
                    <a:noFill/>
                    <a:ln w="9525">
                      <a:noFill/>
                      <a:miter lim="800000"/>
                      <a:headEnd/>
                      <a:tailEnd/>
                    </a:ln>
                  </pic:spPr>
                </pic:pic>
              </a:graphicData>
            </a:graphic>
          </wp:inline>
        </w:drawing>
      </w:r>
    </w:p>
    <w:p w:rsidR="00EC6342" w:rsidRDefault="00EC6342" w:rsidP="00EC6342">
      <w:pPr>
        <w:spacing w:before="100" w:beforeAutospacing="1" w:after="100" w:afterAutospacing="1" w:line="276" w:lineRule="auto"/>
        <w:rPr>
          <w:rFonts w:ascii="Arial" w:eastAsia="Calibri" w:hAnsi="Arial" w:cs="Arial"/>
          <w:b/>
        </w:rPr>
      </w:pPr>
      <w:bookmarkStart w:id="0" w:name="_GoBack"/>
      <w:bookmarkEnd w:id="0"/>
    </w:p>
    <w:p w:rsidR="00EC6342" w:rsidRDefault="00EC6342" w:rsidP="00EC6342">
      <w:pPr>
        <w:spacing w:before="100" w:beforeAutospacing="1" w:after="100" w:afterAutospacing="1" w:line="276" w:lineRule="auto"/>
        <w:rPr>
          <w:rFonts w:ascii="Arial" w:eastAsia="Calibri" w:hAnsi="Arial" w:cs="Arial"/>
          <w:b/>
        </w:rPr>
      </w:pPr>
    </w:p>
    <w:p w:rsidR="00EC6342" w:rsidRDefault="00EC6342" w:rsidP="00EC6342">
      <w:pPr>
        <w:spacing w:before="100" w:beforeAutospacing="1" w:after="100" w:afterAutospacing="1" w:line="276" w:lineRule="auto"/>
        <w:jc w:val="center"/>
        <w:rPr>
          <w:rFonts w:ascii="Arial" w:eastAsia="Calibri" w:hAnsi="Arial" w:cs="Arial"/>
          <w:b/>
        </w:rPr>
      </w:pPr>
    </w:p>
    <w:p w:rsidR="00EC6342" w:rsidRDefault="00EC6342" w:rsidP="00EC6342">
      <w:pPr>
        <w:spacing w:before="100" w:beforeAutospacing="1" w:after="100" w:afterAutospacing="1" w:line="276" w:lineRule="auto"/>
        <w:jc w:val="center"/>
        <w:rPr>
          <w:rFonts w:ascii="Times New Roman" w:eastAsia="Calibri" w:hAnsi="Times New Roman" w:cs="Times New Roman"/>
          <w:sz w:val="40"/>
          <w:szCs w:val="40"/>
        </w:rPr>
      </w:pPr>
      <w:r>
        <w:rPr>
          <w:rFonts w:ascii="Times New Roman" w:eastAsia="Calibri" w:hAnsi="Times New Roman" w:cs="Times New Roman"/>
          <w:sz w:val="40"/>
          <w:szCs w:val="40"/>
        </w:rPr>
        <w:t xml:space="preserve">Australian Government response to the Climate Change Authority’s Review of the </w:t>
      </w:r>
      <w:r w:rsidR="003C7F55" w:rsidRPr="003C7F55">
        <w:rPr>
          <w:rFonts w:ascii="Times New Roman" w:eastAsia="Calibri" w:hAnsi="Times New Roman" w:cs="Times New Roman"/>
          <w:sz w:val="40"/>
          <w:szCs w:val="40"/>
        </w:rPr>
        <w:t>National Greenhouse and Energy Reporting</w:t>
      </w:r>
      <w:r w:rsidR="003C7F55">
        <w:rPr>
          <w:rFonts w:ascii="Times New Roman" w:eastAsia="Calibri" w:hAnsi="Times New Roman" w:cs="Times New Roman"/>
          <w:sz w:val="40"/>
          <w:szCs w:val="40"/>
        </w:rPr>
        <w:t xml:space="preserve"> Legislation</w:t>
      </w:r>
    </w:p>
    <w:p w:rsidR="00EC6342" w:rsidRDefault="00EC6342" w:rsidP="00932861"/>
    <w:p w:rsidR="00EC6342" w:rsidRPr="00EC6342" w:rsidRDefault="00EC6342" w:rsidP="00EC6342"/>
    <w:p w:rsidR="00EC6342" w:rsidRPr="00EC6342" w:rsidRDefault="00EC6342" w:rsidP="00EC6342"/>
    <w:p w:rsidR="00EC6342" w:rsidRPr="00EC6342" w:rsidRDefault="00EC6342" w:rsidP="00EC6342"/>
    <w:p w:rsidR="00EC6342" w:rsidRPr="00EC6342" w:rsidRDefault="00EC6342" w:rsidP="00EC6342"/>
    <w:p w:rsidR="00EC6342" w:rsidRPr="00EC6342" w:rsidRDefault="00EC6342" w:rsidP="00EC6342"/>
    <w:p w:rsidR="00EC6342" w:rsidRPr="00EC6342" w:rsidRDefault="00EC6342" w:rsidP="00EC6342"/>
    <w:p w:rsidR="00EC6342" w:rsidRPr="00EC6342" w:rsidRDefault="00EC6342" w:rsidP="00EC6342"/>
    <w:p w:rsidR="00EC6342" w:rsidRPr="00EC6342" w:rsidRDefault="00EC6342" w:rsidP="00EC6342"/>
    <w:p w:rsidR="00EC6342" w:rsidRPr="00EC6342" w:rsidRDefault="00EC6342" w:rsidP="00EC6342"/>
    <w:p w:rsidR="00EC6342" w:rsidRPr="00EC6342" w:rsidRDefault="00EC6342" w:rsidP="00EC6342"/>
    <w:p w:rsidR="00EC6342" w:rsidRPr="00EC6342" w:rsidRDefault="00EC6342" w:rsidP="00EC6342"/>
    <w:p w:rsidR="00EC6342" w:rsidRDefault="00EC6342" w:rsidP="00EC6342"/>
    <w:p w:rsidR="006B14DB" w:rsidRDefault="00D33949" w:rsidP="00EC6342">
      <w:pPr>
        <w:tabs>
          <w:tab w:val="left" w:pos="8445"/>
        </w:tabs>
        <w:jc w:val="right"/>
        <w:rPr>
          <w:rFonts w:ascii="Arial" w:hAnsi="Arial" w:cs="Arial"/>
        </w:rPr>
      </w:pPr>
      <w:r>
        <w:rPr>
          <w:rFonts w:ascii="Arial" w:hAnsi="Arial" w:cs="Arial"/>
        </w:rPr>
        <w:t xml:space="preserve">August </w:t>
      </w:r>
      <w:r w:rsidR="0020011C">
        <w:rPr>
          <w:rFonts w:ascii="Arial" w:hAnsi="Arial" w:cs="Arial"/>
        </w:rPr>
        <w:t>2019</w:t>
      </w:r>
    </w:p>
    <w:p w:rsidR="00EC6342" w:rsidRDefault="00EC6342">
      <w:pPr>
        <w:spacing w:after="0" w:line="240" w:lineRule="auto"/>
        <w:rPr>
          <w:rFonts w:ascii="Arial" w:hAnsi="Arial" w:cs="Arial"/>
        </w:rPr>
      </w:pPr>
      <w:r>
        <w:rPr>
          <w:rFonts w:ascii="Arial" w:hAnsi="Arial" w:cs="Arial"/>
        </w:rPr>
        <w:br w:type="page"/>
      </w:r>
    </w:p>
    <w:p w:rsidR="00F40614" w:rsidRPr="00F40614" w:rsidRDefault="00F40614" w:rsidP="00F40614">
      <w:pPr>
        <w:tabs>
          <w:tab w:val="left" w:pos="8445"/>
        </w:tabs>
        <w:rPr>
          <w:rFonts w:ascii="Arial" w:hAnsi="Arial" w:cs="Arial"/>
          <w:b/>
        </w:rPr>
      </w:pPr>
      <w:r w:rsidRPr="00F40614">
        <w:rPr>
          <w:rFonts w:ascii="Arial" w:hAnsi="Arial" w:cs="Arial"/>
          <w:b/>
        </w:rPr>
        <w:lastRenderedPageBreak/>
        <w:t>Introduction</w:t>
      </w:r>
    </w:p>
    <w:p w:rsidR="00CC77F0" w:rsidRDefault="00F40614" w:rsidP="00F40614">
      <w:pPr>
        <w:tabs>
          <w:tab w:val="left" w:pos="8445"/>
        </w:tabs>
        <w:rPr>
          <w:rFonts w:ascii="Arial" w:hAnsi="Arial" w:cs="Arial"/>
        </w:rPr>
      </w:pPr>
      <w:r>
        <w:rPr>
          <w:rFonts w:ascii="Arial" w:hAnsi="Arial" w:cs="Arial"/>
        </w:rPr>
        <w:t xml:space="preserve">The Government welcomes the findings of the Climate Change Authority’s </w:t>
      </w:r>
      <w:r w:rsidR="00DB54D3">
        <w:rPr>
          <w:rFonts w:ascii="Arial" w:hAnsi="Arial" w:cs="Arial"/>
        </w:rPr>
        <w:t xml:space="preserve">(the Authority) </w:t>
      </w:r>
      <w:r>
        <w:rPr>
          <w:rFonts w:ascii="Arial" w:hAnsi="Arial" w:cs="Arial"/>
        </w:rPr>
        <w:t xml:space="preserve">review of the operation of the </w:t>
      </w:r>
      <w:r w:rsidR="00512838" w:rsidRPr="00CC77F0">
        <w:rPr>
          <w:rFonts w:ascii="Arial" w:hAnsi="Arial" w:cs="Arial"/>
        </w:rPr>
        <w:t xml:space="preserve">National Greenhouse and Energy Reporting </w:t>
      </w:r>
      <w:r w:rsidR="00DB54D3">
        <w:rPr>
          <w:rFonts w:ascii="Arial" w:hAnsi="Arial" w:cs="Arial"/>
        </w:rPr>
        <w:t>(NGER)</w:t>
      </w:r>
      <w:r w:rsidR="00512838" w:rsidRPr="00CC77F0">
        <w:rPr>
          <w:rFonts w:ascii="Arial" w:hAnsi="Arial" w:cs="Arial"/>
        </w:rPr>
        <w:t xml:space="preserve"> </w:t>
      </w:r>
      <w:r w:rsidR="00CC77F0" w:rsidRPr="00CC77F0">
        <w:rPr>
          <w:rFonts w:ascii="Arial" w:hAnsi="Arial" w:cs="Arial"/>
        </w:rPr>
        <w:t>legislation</w:t>
      </w:r>
      <w:r w:rsidR="005C3743">
        <w:rPr>
          <w:rFonts w:ascii="Arial" w:hAnsi="Arial" w:cs="Arial"/>
        </w:rPr>
        <w:t xml:space="preserve">, which </w:t>
      </w:r>
      <w:r w:rsidR="00CC77F0">
        <w:rPr>
          <w:rFonts w:ascii="Arial" w:hAnsi="Arial" w:cs="Arial"/>
        </w:rPr>
        <w:t xml:space="preserve">establishes: </w:t>
      </w:r>
    </w:p>
    <w:p w:rsidR="00E03E8F" w:rsidRPr="00CC77F0" w:rsidRDefault="00E03E8F" w:rsidP="00E03E8F">
      <w:pPr>
        <w:pStyle w:val="ListBullet"/>
        <w:rPr>
          <w:rFonts w:ascii="Arial" w:hAnsi="Arial" w:cs="Arial"/>
        </w:rPr>
      </w:pPr>
      <w:r w:rsidRPr="00F738B3">
        <w:rPr>
          <w:rFonts w:ascii="Arial" w:hAnsi="Arial" w:cs="Arial"/>
        </w:rPr>
        <w:t>a national framework for reporting and disseminating company information about greenhouse gas emissions, energy production, energy consumption</w:t>
      </w:r>
    </w:p>
    <w:p w:rsidR="00CC77F0" w:rsidRPr="00CC77F0" w:rsidRDefault="00CC77F0" w:rsidP="00CC77F0">
      <w:pPr>
        <w:pStyle w:val="ListBullet"/>
        <w:rPr>
          <w:rFonts w:ascii="Arial" w:hAnsi="Arial" w:cs="Arial"/>
        </w:rPr>
      </w:pPr>
      <w:r w:rsidRPr="00CC77F0">
        <w:rPr>
          <w:rFonts w:ascii="Arial" w:hAnsi="Arial" w:cs="Arial"/>
        </w:rPr>
        <w:t xml:space="preserve">the safeguard mechanism, which places emissions limits on large industrial facilities </w:t>
      </w:r>
    </w:p>
    <w:p w:rsidR="00CC77F0" w:rsidRPr="00CC77F0" w:rsidRDefault="00CC77F0" w:rsidP="00CC77F0">
      <w:pPr>
        <w:pStyle w:val="ListBullet"/>
        <w:rPr>
          <w:rFonts w:ascii="Arial" w:hAnsi="Arial" w:cs="Arial"/>
        </w:rPr>
      </w:pPr>
      <w:r w:rsidRPr="00CC77F0">
        <w:rPr>
          <w:rFonts w:ascii="Arial" w:hAnsi="Arial" w:cs="Arial"/>
        </w:rPr>
        <w:t xml:space="preserve">the framework for administration and compliance, including auditing requirements for these and other climate change policies. </w:t>
      </w:r>
    </w:p>
    <w:p w:rsidR="00F40614" w:rsidRDefault="00F05AE0" w:rsidP="00F40614">
      <w:pPr>
        <w:tabs>
          <w:tab w:val="left" w:pos="8445"/>
        </w:tabs>
        <w:rPr>
          <w:rFonts w:ascii="Arial" w:hAnsi="Arial" w:cs="Arial"/>
        </w:rPr>
      </w:pPr>
      <w:r>
        <w:rPr>
          <w:rFonts w:ascii="Arial" w:hAnsi="Arial" w:cs="Arial"/>
        </w:rPr>
        <w:t>The </w:t>
      </w:r>
      <w:r w:rsidR="00F40614">
        <w:rPr>
          <w:rFonts w:ascii="Arial" w:hAnsi="Arial" w:cs="Arial"/>
        </w:rPr>
        <w:t>independent Authorit</w:t>
      </w:r>
      <w:r w:rsidR="005C3743">
        <w:rPr>
          <w:rFonts w:ascii="Arial" w:hAnsi="Arial" w:cs="Arial"/>
        </w:rPr>
        <w:t xml:space="preserve">y found the </w:t>
      </w:r>
      <w:r w:rsidR="00CC77F0">
        <w:rPr>
          <w:rFonts w:ascii="Arial" w:hAnsi="Arial" w:cs="Arial"/>
        </w:rPr>
        <w:t xml:space="preserve">legislation </w:t>
      </w:r>
      <w:r w:rsidR="00F40614">
        <w:rPr>
          <w:rFonts w:ascii="Arial" w:hAnsi="Arial" w:cs="Arial"/>
        </w:rPr>
        <w:t xml:space="preserve">is </w:t>
      </w:r>
      <w:r w:rsidR="00CC77F0">
        <w:rPr>
          <w:rFonts w:ascii="Arial" w:hAnsi="Arial" w:cs="Arial"/>
        </w:rPr>
        <w:t>“operating</w:t>
      </w:r>
      <w:r w:rsidR="00F40614">
        <w:rPr>
          <w:rFonts w:ascii="Arial" w:hAnsi="Arial" w:cs="Arial"/>
        </w:rPr>
        <w:t xml:space="preserve"> well</w:t>
      </w:r>
      <w:r w:rsidR="00CC77F0" w:rsidRPr="00CC77F0">
        <w:rPr>
          <w:rFonts w:ascii="Arial" w:hAnsi="Arial" w:cs="Arial"/>
        </w:rPr>
        <w:t>, is meeting its objectives and is generally fit for purpose.</w:t>
      </w:r>
      <w:r w:rsidR="00CC77F0">
        <w:rPr>
          <w:rFonts w:ascii="Arial" w:hAnsi="Arial" w:cs="Arial"/>
        </w:rPr>
        <w:t>”</w:t>
      </w:r>
    </w:p>
    <w:p w:rsidR="00FD764D" w:rsidRDefault="00FD764D" w:rsidP="00FD764D">
      <w:pPr>
        <w:tabs>
          <w:tab w:val="left" w:pos="8445"/>
        </w:tabs>
        <w:rPr>
          <w:rFonts w:ascii="Arial" w:hAnsi="Arial" w:cs="Arial"/>
        </w:rPr>
      </w:pPr>
      <w:r>
        <w:rPr>
          <w:rFonts w:ascii="Arial" w:hAnsi="Arial" w:cs="Arial"/>
        </w:rPr>
        <w:t xml:space="preserve">The Authority made </w:t>
      </w:r>
      <w:r w:rsidR="00512838">
        <w:rPr>
          <w:rFonts w:ascii="Arial" w:hAnsi="Arial" w:cs="Arial"/>
        </w:rPr>
        <w:t>20</w:t>
      </w:r>
      <w:r>
        <w:rPr>
          <w:rFonts w:ascii="Arial" w:hAnsi="Arial" w:cs="Arial"/>
        </w:rPr>
        <w:t xml:space="preserve"> detailed and technical recommendations. The Government’s response to these recommendations </w:t>
      </w:r>
      <w:r w:rsidR="002E69C3">
        <w:rPr>
          <w:rFonts w:ascii="Arial" w:hAnsi="Arial" w:cs="Arial"/>
        </w:rPr>
        <w:t>is</w:t>
      </w:r>
      <w:r>
        <w:rPr>
          <w:rFonts w:ascii="Arial" w:hAnsi="Arial" w:cs="Arial"/>
        </w:rPr>
        <w:t xml:space="preserve"> set out below</w:t>
      </w:r>
      <w:r w:rsidR="008F40B0">
        <w:rPr>
          <w:rFonts w:ascii="Arial" w:hAnsi="Arial" w:cs="Arial"/>
        </w:rPr>
        <w:t>. Before implementing any substantive amendments</w:t>
      </w:r>
      <w:r w:rsidR="00514E47">
        <w:rPr>
          <w:rFonts w:ascii="Arial" w:hAnsi="Arial" w:cs="Arial"/>
        </w:rPr>
        <w:t xml:space="preserve"> to legislation</w:t>
      </w:r>
      <w:r w:rsidR="008F40B0">
        <w:rPr>
          <w:rFonts w:ascii="Arial" w:hAnsi="Arial" w:cs="Arial"/>
        </w:rPr>
        <w:t xml:space="preserve"> described in the response,</w:t>
      </w:r>
      <w:r>
        <w:rPr>
          <w:rFonts w:ascii="Arial" w:hAnsi="Arial" w:cs="Arial"/>
        </w:rPr>
        <w:t xml:space="preserve"> the Government will </w:t>
      </w:r>
      <w:r w:rsidR="0073660F">
        <w:rPr>
          <w:rFonts w:ascii="Arial" w:hAnsi="Arial" w:cs="Arial"/>
        </w:rPr>
        <w:t xml:space="preserve">undertake stakeholder </w:t>
      </w:r>
      <w:r>
        <w:rPr>
          <w:rFonts w:ascii="Arial" w:hAnsi="Arial" w:cs="Arial"/>
        </w:rPr>
        <w:t>consult</w:t>
      </w:r>
      <w:r w:rsidR="0073660F">
        <w:rPr>
          <w:rFonts w:ascii="Arial" w:hAnsi="Arial" w:cs="Arial"/>
        </w:rPr>
        <w:t>ation</w:t>
      </w:r>
      <w:r w:rsidR="00E71FD4">
        <w:rPr>
          <w:rFonts w:ascii="Arial" w:hAnsi="Arial" w:cs="Arial"/>
        </w:rPr>
        <w:t>.</w:t>
      </w:r>
      <w:r>
        <w:rPr>
          <w:rFonts w:ascii="Arial" w:hAnsi="Arial" w:cs="Arial"/>
        </w:rPr>
        <w:t xml:space="preserve"> </w:t>
      </w:r>
    </w:p>
    <w:p w:rsidR="005C3743" w:rsidRPr="00F40614" w:rsidRDefault="005C3743" w:rsidP="001E4B44">
      <w:pPr>
        <w:tabs>
          <w:tab w:val="left" w:pos="8445"/>
        </w:tabs>
        <w:spacing w:after="0"/>
        <w:rPr>
          <w:rFonts w:ascii="Arial" w:hAnsi="Arial" w:cs="Arial"/>
        </w:rPr>
      </w:pPr>
    </w:p>
    <w:p w:rsidR="00EC6342" w:rsidRDefault="00EC6342" w:rsidP="00412FCE">
      <w:pPr>
        <w:pBdr>
          <w:top w:val="single" w:sz="4" w:space="0"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1</w:t>
      </w:r>
    </w:p>
    <w:p w:rsidR="00512838" w:rsidRPr="00512838" w:rsidRDefault="00512838" w:rsidP="00412FCE">
      <w:pPr>
        <w:pBdr>
          <w:top w:val="single" w:sz="4" w:space="0" w:color="auto"/>
          <w:left w:val="single" w:sz="4" w:space="4" w:color="auto"/>
          <w:bottom w:val="single" w:sz="4" w:space="1" w:color="auto"/>
          <w:right w:val="single" w:sz="4" w:space="4" w:color="auto"/>
        </w:pBdr>
        <w:rPr>
          <w:rFonts w:ascii="Arial" w:hAnsi="Arial" w:cs="Arial"/>
        </w:rPr>
      </w:pPr>
      <w:r w:rsidRPr="00512838">
        <w:rPr>
          <w:rFonts w:ascii="Arial" w:hAnsi="Arial" w:cs="Arial"/>
        </w:rPr>
        <w:t>The Department and Regulator analyse opportunities for data sharing between the reporting scheme and the National Pollutant Inventory and the Petroleum and Other Fuels Reporting program, and work with the Australian Bureau of Statistics on opportunities to share data with the Energy, Water and Environment Survey.</w:t>
      </w:r>
    </w:p>
    <w:p w:rsidR="00EC6342" w:rsidRDefault="00EC6342" w:rsidP="00412FCE">
      <w:pPr>
        <w:spacing w:after="120"/>
        <w:rPr>
          <w:rFonts w:ascii="Arial" w:hAnsi="Arial" w:cs="Arial"/>
        </w:rPr>
      </w:pPr>
      <w:r w:rsidRPr="00C53EE6">
        <w:rPr>
          <w:rFonts w:ascii="Arial" w:hAnsi="Arial" w:cs="Arial"/>
          <w:b/>
        </w:rPr>
        <w:t xml:space="preserve">Response: </w:t>
      </w:r>
      <w:r w:rsidRPr="00C53EE6">
        <w:rPr>
          <w:rFonts w:ascii="Arial" w:hAnsi="Arial" w:cs="Arial"/>
        </w:rPr>
        <w:t xml:space="preserve">The Government </w:t>
      </w:r>
      <w:r w:rsidR="009A031D">
        <w:rPr>
          <w:rFonts w:ascii="Arial" w:hAnsi="Arial" w:cs="Arial"/>
          <w:i/>
        </w:rPr>
        <w:t>accepts</w:t>
      </w:r>
      <w:r w:rsidR="00175B02">
        <w:rPr>
          <w:rFonts w:ascii="Arial" w:hAnsi="Arial" w:cs="Arial"/>
        </w:rPr>
        <w:t xml:space="preserve"> this</w:t>
      </w:r>
      <w:r w:rsidR="00175B02" w:rsidRPr="00175B02">
        <w:rPr>
          <w:rFonts w:ascii="Arial" w:hAnsi="Arial" w:cs="Arial"/>
        </w:rPr>
        <w:t xml:space="preserve"> </w:t>
      </w:r>
      <w:r w:rsidR="00175B02" w:rsidRPr="00C53EE6">
        <w:rPr>
          <w:rFonts w:ascii="Arial" w:hAnsi="Arial" w:cs="Arial"/>
        </w:rPr>
        <w:t>recommendation</w:t>
      </w:r>
      <w:r w:rsidR="00175B02">
        <w:rPr>
          <w:rFonts w:ascii="Arial" w:hAnsi="Arial" w:cs="Arial"/>
        </w:rPr>
        <w:t>.</w:t>
      </w:r>
    </w:p>
    <w:p w:rsidR="003C7F55" w:rsidRPr="003C7F55" w:rsidRDefault="003C7F55" w:rsidP="003C7F55">
      <w:pPr>
        <w:spacing w:after="120"/>
        <w:rPr>
          <w:rFonts w:ascii="Arial" w:hAnsi="Arial" w:cs="Arial"/>
        </w:rPr>
      </w:pPr>
      <w:r>
        <w:rPr>
          <w:rFonts w:ascii="Arial" w:hAnsi="Arial" w:cs="Arial"/>
        </w:rPr>
        <w:t>T</w:t>
      </w:r>
      <w:r w:rsidRPr="003C7F55">
        <w:rPr>
          <w:rFonts w:ascii="Arial" w:hAnsi="Arial" w:cs="Arial"/>
        </w:rPr>
        <w:t xml:space="preserve">he </w:t>
      </w:r>
      <w:r w:rsidR="00E910A8">
        <w:rPr>
          <w:rFonts w:ascii="Arial" w:hAnsi="Arial" w:cs="Arial"/>
        </w:rPr>
        <w:t xml:space="preserve">Clean Energy Regulator </w:t>
      </w:r>
      <w:r w:rsidR="00DB54D3">
        <w:rPr>
          <w:rFonts w:ascii="Arial" w:hAnsi="Arial" w:cs="Arial"/>
        </w:rPr>
        <w:t xml:space="preserve">will work with the </w:t>
      </w:r>
      <w:r w:rsidR="00DB54D3" w:rsidRPr="003C7F55">
        <w:rPr>
          <w:rFonts w:ascii="Arial" w:hAnsi="Arial" w:cs="Arial"/>
        </w:rPr>
        <w:t xml:space="preserve">Department </w:t>
      </w:r>
      <w:r w:rsidR="00DB54D3">
        <w:rPr>
          <w:rFonts w:ascii="Arial" w:hAnsi="Arial" w:cs="Arial"/>
        </w:rPr>
        <w:t>of the Environment and Energy</w:t>
      </w:r>
      <w:r w:rsidR="00DB54D3" w:rsidRPr="003C7F55">
        <w:rPr>
          <w:rFonts w:ascii="Arial" w:hAnsi="Arial" w:cs="Arial"/>
        </w:rPr>
        <w:t xml:space="preserve"> </w:t>
      </w:r>
      <w:r w:rsidRPr="003C7F55">
        <w:rPr>
          <w:rFonts w:ascii="Arial" w:hAnsi="Arial" w:cs="Arial"/>
        </w:rPr>
        <w:t xml:space="preserve">to analyse data sharing opportunities to reduce duplicated data being reported under both the National Pollutant Inventory and the Petroleum and Other Fuels Reporting </w:t>
      </w:r>
      <w:r w:rsidR="0055749D">
        <w:rPr>
          <w:rFonts w:ascii="Arial" w:hAnsi="Arial" w:cs="Arial"/>
        </w:rPr>
        <w:t xml:space="preserve">program </w:t>
      </w:r>
      <w:r w:rsidRPr="003C7F55">
        <w:rPr>
          <w:rFonts w:ascii="Arial" w:hAnsi="Arial" w:cs="Arial"/>
        </w:rPr>
        <w:t xml:space="preserve">and NGERs. </w:t>
      </w:r>
    </w:p>
    <w:p w:rsidR="003C7F55" w:rsidRPr="00C53EE6" w:rsidRDefault="003C7F55" w:rsidP="003C7F55">
      <w:pPr>
        <w:spacing w:after="120"/>
        <w:rPr>
          <w:rFonts w:ascii="Arial" w:hAnsi="Arial" w:cs="Arial"/>
        </w:rPr>
      </w:pPr>
      <w:r w:rsidRPr="003C7F55">
        <w:rPr>
          <w:rFonts w:ascii="Arial" w:hAnsi="Arial" w:cs="Arial"/>
        </w:rPr>
        <w:t xml:space="preserve">The </w:t>
      </w:r>
      <w:r w:rsidR="00DB54D3">
        <w:rPr>
          <w:rFonts w:ascii="Arial" w:hAnsi="Arial" w:cs="Arial"/>
        </w:rPr>
        <w:t>Regulator</w:t>
      </w:r>
      <w:r w:rsidRPr="003C7F55">
        <w:rPr>
          <w:rFonts w:ascii="Arial" w:hAnsi="Arial" w:cs="Arial"/>
        </w:rPr>
        <w:t xml:space="preserve"> has an arrangement in place to share NGER data with the Australian Bureau of Statistics, and is exploring other opportunities that could lower the burden for businesses who report to both agencies.</w:t>
      </w:r>
    </w:p>
    <w:p w:rsidR="008C57C7" w:rsidRPr="00C53EE6" w:rsidRDefault="008C57C7" w:rsidP="001E4B44">
      <w:pPr>
        <w:tabs>
          <w:tab w:val="left" w:pos="8445"/>
        </w:tabs>
        <w:spacing w:after="0"/>
        <w:rPr>
          <w:rFonts w:ascii="Arial" w:hAnsi="Arial" w:cs="Arial"/>
        </w:rPr>
      </w:pPr>
    </w:p>
    <w:p w:rsidR="00EC6342" w:rsidRPr="00C53EE6" w:rsidRDefault="00EC6342" w:rsidP="00412FCE">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2</w:t>
      </w:r>
    </w:p>
    <w:p w:rsidR="00EC6342" w:rsidRPr="00C53EE6" w:rsidRDefault="00512838" w:rsidP="00412FCE">
      <w:pPr>
        <w:pBdr>
          <w:top w:val="single" w:sz="4" w:space="1" w:color="auto"/>
          <w:left w:val="single" w:sz="4" w:space="4" w:color="auto"/>
          <w:bottom w:val="single" w:sz="4" w:space="1" w:color="auto"/>
          <w:right w:val="single" w:sz="4" w:space="4" w:color="auto"/>
        </w:pBdr>
        <w:rPr>
          <w:rFonts w:ascii="Arial" w:hAnsi="Arial" w:cs="Arial"/>
          <w:b/>
        </w:rPr>
      </w:pPr>
      <w:r w:rsidRPr="00512838">
        <w:rPr>
          <w:rFonts w:ascii="Arial" w:hAnsi="Arial" w:cs="Arial"/>
        </w:rPr>
        <w:t>The Department examine whether there are efficiency gains in having the Regulator administer the reporting for carbon neutral certification against the National Carbon Offset Standard.</w:t>
      </w:r>
    </w:p>
    <w:p w:rsidR="008C57C7" w:rsidRDefault="008C57C7" w:rsidP="008C57C7">
      <w:pPr>
        <w:spacing w:after="120"/>
        <w:rPr>
          <w:rFonts w:ascii="Arial" w:hAnsi="Arial" w:cs="Arial"/>
        </w:rPr>
      </w:pPr>
      <w:r w:rsidRPr="00C53EE6">
        <w:rPr>
          <w:rFonts w:ascii="Arial" w:hAnsi="Arial" w:cs="Arial"/>
          <w:b/>
        </w:rPr>
        <w:t xml:space="preserve">Response: </w:t>
      </w:r>
      <w:r w:rsidR="00C2616D">
        <w:rPr>
          <w:rFonts w:ascii="Arial" w:hAnsi="Arial" w:cs="Arial"/>
        </w:rPr>
        <w:t xml:space="preserve">The Government </w:t>
      </w:r>
      <w:r w:rsidR="007D32EB">
        <w:rPr>
          <w:rFonts w:ascii="Arial" w:hAnsi="Arial" w:cs="Arial"/>
          <w:i/>
        </w:rPr>
        <w:t>notes</w:t>
      </w:r>
      <w:r w:rsidRPr="00C53EE6">
        <w:rPr>
          <w:rFonts w:ascii="Arial" w:hAnsi="Arial" w:cs="Arial"/>
        </w:rPr>
        <w:t xml:space="preserve"> this </w:t>
      </w:r>
      <w:r w:rsidR="00FA0E88" w:rsidRPr="00C53EE6">
        <w:rPr>
          <w:rFonts w:ascii="Arial" w:hAnsi="Arial" w:cs="Arial"/>
        </w:rPr>
        <w:t>recommendation</w:t>
      </w:r>
      <w:r w:rsidRPr="00C53EE6">
        <w:rPr>
          <w:rFonts w:ascii="Arial" w:hAnsi="Arial" w:cs="Arial"/>
        </w:rPr>
        <w:t>.</w:t>
      </w:r>
    </w:p>
    <w:p w:rsidR="00DB54D3" w:rsidRDefault="00041C29" w:rsidP="008C57C7">
      <w:pPr>
        <w:spacing w:after="120"/>
        <w:rPr>
          <w:rFonts w:ascii="Arial" w:hAnsi="Arial" w:cs="Arial"/>
        </w:rPr>
      </w:pPr>
      <w:r w:rsidRPr="00041C29">
        <w:rPr>
          <w:rFonts w:ascii="Arial" w:hAnsi="Arial" w:cs="Arial"/>
        </w:rPr>
        <w:t>Voluntary certifications against the Australian Government’s National Carbon Offset Standard are increasing and the Department of the Environment and Energy is streamlining the reporting and administrative requirements</w:t>
      </w:r>
      <w:r w:rsidR="00B84F59">
        <w:rPr>
          <w:rFonts w:ascii="Arial" w:hAnsi="Arial" w:cs="Arial"/>
        </w:rPr>
        <w:t xml:space="preserve"> for carbon neutral certified entities</w:t>
      </w:r>
      <w:r w:rsidRPr="00041C29">
        <w:rPr>
          <w:rFonts w:ascii="Arial" w:hAnsi="Arial" w:cs="Arial"/>
        </w:rPr>
        <w:t xml:space="preserve">. The Department will consider whether there could be </w:t>
      </w:r>
      <w:r w:rsidR="00202630">
        <w:rPr>
          <w:rFonts w:ascii="Arial" w:hAnsi="Arial" w:cs="Arial"/>
        </w:rPr>
        <w:t>a</w:t>
      </w:r>
      <w:r w:rsidRPr="00041C29">
        <w:rPr>
          <w:rFonts w:ascii="Arial" w:hAnsi="Arial" w:cs="Arial"/>
        </w:rPr>
        <w:t xml:space="preserve"> role for the Clean Energy Regulator to support reporting for carbon neutral certification. </w:t>
      </w:r>
    </w:p>
    <w:p w:rsidR="00041C29" w:rsidRDefault="00041C29" w:rsidP="001E4B44">
      <w:pPr>
        <w:spacing w:after="0"/>
        <w:rPr>
          <w:rFonts w:ascii="Arial" w:hAnsi="Arial" w:cs="Arial"/>
        </w:rPr>
      </w:pPr>
    </w:p>
    <w:p w:rsidR="001E4B44" w:rsidRDefault="001E4B44" w:rsidP="001E4B44">
      <w:pPr>
        <w:spacing w:after="0"/>
        <w:rPr>
          <w:rFonts w:ascii="Arial" w:hAnsi="Arial" w:cs="Arial"/>
        </w:rPr>
      </w:pPr>
    </w:p>
    <w:p w:rsidR="00041C29" w:rsidRPr="00C53EE6" w:rsidRDefault="00041C29" w:rsidP="008C57C7">
      <w:pPr>
        <w:spacing w:after="120"/>
        <w:rPr>
          <w:rFonts w:ascii="Arial" w:hAnsi="Arial" w:cs="Arial"/>
        </w:rPr>
      </w:pPr>
    </w:p>
    <w:p w:rsidR="00EC6342" w:rsidRPr="00C53EE6" w:rsidRDefault="00EC6342" w:rsidP="00412FCE">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lastRenderedPageBreak/>
        <w:t>Recommendation 3</w:t>
      </w:r>
    </w:p>
    <w:p w:rsidR="00EC6342" w:rsidRPr="00C53EE6" w:rsidRDefault="00512838" w:rsidP="00412FCE">
      <w:pPr>
        <w:pBdr>
          <w:top w:val="single" w:sz="4" w:space="1" w:color="auto"/>
          <w:left w:val="single" w:sz="4" w:space="4" w:color="auto"/>
          <w:bottom w:val="single" w:sz="4" w:space="1" w:color="auto"/>
          <w:right w:val="single" w:sz="4" w:space="4" w:color="auto"/>
        </w:pBdr>
        <w:rPr>
          <w:rFonts w:ascii="Arial" w:hAnsi="Arial" w:cs="Arial"/>
          <w:b/>
        </w:rPr>
      </w:pPr>
      <w:r w:rsidRPr="00512838">
        <w:rPr>
          <w:rFonts w:ascii="Arial" w:hAnsi="Arial" w:cs="Arial"/>
        </w:rPr>
        <w:t xml:space="preserve">To the extent possible, the Government align the compliance framework and administrative arrangements for the Carbon Offsetting and Reduction Scheme for International Aviation </w:t>
      </w:r>
      <w:r w:rsidR="00982348">
        <w:rPr>
          <w:rFonts w:ascii="Arial" w:hAnsi="Arial" w:cs="Arial"/>
        </w:rPr>
        <w:t xml:space="preserve">(CORSIA) </w:t>
      </w:r>
      <w:r w:rsidRPr="00512838">
        <w:rPr>
          <w:rFonts w:ascii="Arial" w:hAnsi="Arial" w:cs="Arial"/>
        </w:rPr>
        <w:t xml:space="preserve">with those established under the National Greenhouse and </w:t>
      </w:r>
      <w:r>
        <w:rPr>
          <w:rFonts w:ascii="Arial" w:hAnsi="Arial" w:cs="Arial"/>
        </w:rPr>
        <w:t>Energy Reporting legislation</w:t>
      </w:r>
      <w:r w:rsidR="00DB1121" w:rsidRPr="00C53EE6">
        <w:rPr>
          <w:rFonts w:ascii="Arial" w:hAnsi="Arial" w:cs="Arial"/>
        </w:rPr>
        <w:t>.</w:t>
      </w:r>
    </w:p>
    <w:p w:rsidR="00E910A8" w:rsidRPr="00DB54D3" w:rsidRDefault="008C57C7" w:rsidP="00DB54D3">
      <w:pPr>
        <w:rPr>
          <w:rFonts w:ascii="Arial" w:hAnsi="Arial" w:cs="Arial"/>
          <w:i/>
          <w:iCs/>
        </w:rPr>
      </w:pPr>
      <w:r w:rsidRPr="00C53EE6">
        <w:rPr>
          <w:rFonts w:ascii="Arial" w:hAnsi="Arial" w:cs="Arial"/>
          <w:b/>
        </w:rPr>
        <w:t xml:space="preserve">Response: </w:t>
      </w:r>
      <w:r w:rsidR="00D92C56" w:rsidRPr="0072546F">
        <w:rPr>
          <w:rFonts w:ascii="Arial" w:hAnsi="Arial" w:cs="Arial"/>
          <w:iCs/>
        </w:rPr>
        <w:t xml:space="preserve">The Government </w:t>
      </w:r>
      <w:r w:rsidR="00D92C56" w:rsidRPr="0072546F">
        <w:rPr>
          <w:rFonts w:ascii="Arial" w:hAnsi="Arial" w:cs="Arial"/>
          <w:i/>
          <w:iCs/>
        </w:rPr>
        <w:t>notes</w:t>
      </w:r>
      <w:r w:rsidR="00D92C56" w:rsidRPr="0072546F">
        <w:rPr>
          <w:rFonts w:ascii="Arial" w:hAnsi="Arial" w:cs="Arial"/>
          <w:iCs/>
        </w:rPr>
        <w:t xml:space="preserve"> this recommendation</w:t>
      </w:r>
      <w:r w:rsidR="00D92C56" w:rsidRPr="00DB54D3">
        <w:rPr>
          <w:rFonts w:ascii="Arial" w:hAnsi="Arial" w:cs="Arial"/>
          <w:i/>
          <w:iCs/>
        </w:rPr>
        <w:t xml:space="preserve">. </w:t>
      </w:r>
    </w:p>
    <w:p w:rsidR="00982348" w:rsidRPr="00DB54D3" w:rsidRDefault="00982348" w:rsidP="00DB54D3">
      <w:pPr>
        <w:rPr>
          <w:rFonts w:ascii="Arial" w:hAnsi="Arial" w:cs="Arial"/>
          <w:iCs/>
        </w:rPr>
      </w:pPr>
      <w:r w:rsidRPr="00982348">
        <w:rPr>
          <w:rFonts w:ascii="Arial" w:hAnsi="Arial" w:cs="Arial"/>
        </w:rPr>
        <w:t xml:space="preserve">The Government is currently using existing Australian aviation legislation to require eligible Australian international airlines to satisfy the most immediate needs of CORSIA, including monitoring, reporting and </w:t>
      </w:r>
      <w:r>
        <w:rPr>
          <w:rFonts w:ascii="Arial" w:hAnsi="Arial" w:cs="Arial"/>
        </w:rPr>
        <w:t>verification of emissions data.</w:t>
      </w:r>
      <w:r w:rsidRPr="00982348">
        <w:rPr>
          <w:rFonts w:ascii="Arial" w:hAnsi="Arial" w:cs="Arial"/>
        </w:rPr>
        <w:t xml:space="preserve"> The Department of Infrastructure, Transport, Cities and Regional Development continues to work in consultation with the Department</w:t>
      </w:r>
      <w:r>
        <w:rPr>
          <w:rFonts w:ascii="Arial" w:hAnsi="Arial" w:cs="Arial"/>
        </w:rPr>
        <w:t xml:space="preserve"> of the Environment and Energy</w:t>
      </w:r>
      <w:r w:rsidRPr="00982348">
        <w:rPr>
          <w:rFonts w:ascii="Arial" w:hAnsi="Arial" w:cs="Arial"/>
        </w:rPr>
        <w:t>, the Clean Energy Regulator and interested stakeholders to develop a longer-term strategy to fulfil Australia’s obligations under CORSIA, including management of offsetting obligations.</w:t>
      </w:r>
    </w:p>
    <w:p w:rsidR="00E918E2" w:rsidRPr="00C53EE6" w:rsidRDefault="00E918E2" w:rsidP="001E4B44">
      <w:pPr>
        <w:spacing w:after="0"/>
        <w:rPr>
          <w:rFonts w:ascii="Arial" w:hAnsi="Arial" w:cs="Arial"/>
        </w:rPr>
      </w:pPr>
    </w:p>
    <w:p w:rsidR="00EC6342" w:rsidRPr="00C53EE6" w:rsidRDefault="00EC6342" w:rsidP="00412FCE">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4</w:t>
      </w:r>
    </w:p>
    <w:p w:rsidR="00EC6342" w:rsidRPr="00C53EE6" w:rsidRDefault="00512838" w:rsidP="00412FCE">
      <w:pPr>
        <w:pBdr>
          <w:top w:val="single" w:sz="4" w:space="1" w:color="auto"/>
          <w:left w:val="single" w:sz="4" w:space="4" w:color="auto"/>
          <w:bottom w:val="single" w:sz="4" w:space="1" w:color="auto"/>
          <w:right w:val="single" w:sz="4" w:space="4" w:color="auto"/>
        </w:pBdr>
        <w:rPr>
          <w:rFonts w:ascii="Arial" w:hAnsi="Arial" w:cs="Arial"/>
          <w:b/>
        </w:rPr>
      </w:pPr>
      <w:r w:rsidRPr="00512838">
        <w:rPr>
          <w:rFonts w:ascii="Arial" w:hAnsi="Arial" w:cs="Arial"/>
        </w:rPr>
        <w:t>The Regulator and government data users continue to work together to clarify what data is available and how it can be s</w:t>
      </w:r>
      <w:r>
        <w:rPr>
          <w:rFonts w:ascii="Arial" w:hAnsi="Arial" w:cs="Arial"/>
        </w:rPr>
        <w:t>hared and used more efficiently</w:t>
      </w:r>
      <w:r w:rsidR="00DB1121" w:rsidRPr="00C53EE6">
        <w:rPr>
          <w:rFonts w:ascii="Arial" w:hAnsi="Arial" w:cs="Arial"/>
        </w:rPr>
        <w:t>.</w:t>
      </w:r>
    </w:p>
    <w:p w:rsidR="00E918E2" w:rsidRDefault="008C57C7" w:rsidP="008C57C7">
      <w:pPr>
        <w:spacing w:after="120"/>
        <w:rPr>
          <w:rFonts w:ascii="Arial" w:hAnsi="Arial" w:cs="Arial"/>
        </w:rPr>
      </w:pPr>
      <w:r w:rsidRPr="00C53EE6">
        <w:rPr>
          <w:rFonts w:ascii="Arial" w:hAnsi="Arial" w:cs="Arial"/>
          <w:b/>
        </w:rPr>
        <w:t xml:space="preserve">Response: </w:t>
      </w:r>
      <w:r w:rsidR="00DC753C">
        <w:rPr>
          <w:rFonts w:ascii="Arial" w:hAnsi="Arial" w:cs="Arial"/>
        </w:rPr>
        <w:t xml:space="preserve">The Government </w:t>
      </w:r>
      <w:r w:rsidR="00E918E2">
        <w:rPr>
          <w:rFonts w:ascii="Arial" w:hAnsi="Arial" w:cs="Arial"/>
          <w:i/>
        </w:rPr>
        <w:t>accepts</w:t>
      </w:r>
      <w:r w:rsidRPr="00C53EE6">
        <w:rPr>
          <w:rFonts w:ascii="Arial" w:hAnsi="Arial" w:cs="Arial"/>
        </w:rPr>
        <w:t xml:space="preserve"> this </w:t>
      </w:r>
      <w:r w:rsidR="00FA0E88" w:rsidRPr="00C53EE6">
        <w:rPr>
          <w:rFonts w:ascii="Arial" w:hAnsi="Arial" w:cs="Arial"/>
        </w:rPr>
        <w:t>recommendation</w:t>
      </w:r>
      <w:r w:rsidRPr="00C53EE6">
        <w:rPr>
          <w:rFonts w:ascii="Arial" w:hAnsi="Arial" w:cs="Arial"/>
        </w:rPr>
        <w:t>.</w:t>
      </w:r>
    </w:p>
    <w:p w:rsidR="00DB54D3" w:rsidRDefault="00E918E2" w:rsidP="008C57C7">
      <w:pPr>
        <w:spacing w:after="120"/>
        <w:rPr>
          <w:rFonts w:ascii="Arial" w:hAnsi="Arial" w:cs="Arial"/>
        </w:rPr>
      </w:pPr>
      <w:r w:rsidRPr="00E918E2">
        <w:rPr>
          <w:rFonts w:ascii="Arial" w:hAnsi="Arial" w:cs="Arial"/>
        </w:rPr>
        <w:t xml:space="preserve">The Clean Energy Regulator </w:t>
      </w:r>
      <w:r w:rsidR="00DB54D3" w:rsidRPr="00E918E2">
        <w:rPr>
          <w:rFonts w:ascii="Arial" w:hAnsi="Arial" w:cs="Arial"/>
        </w:rPr>
        <w:t>is committed to publishing more NGER data trends and information so that others can understand and use this valua</w:t>
      </w:r>
      <w:r w:rsidR="00DB54D3">
        <w:rPr>
          <w:rFonts w:ascii="Arial" w:hAnsi="Arial" w:cs="Arial"/>
        </w:rPr>
        <w:t xml:space="preserve">ble data set. The Regulator </w:t>
      </w:r>
      <w:r w:rsidR="00DB54D3" w:rsidRPr="00DB54D3">
        <w:rPr>
          <w:rFonts w:ascii="Arial" w:hAnsi="Arial" w:cs="Arial"/>
        </w:rPr>
        <w:t xml:space="preserve">opened </w:t>
      </w:r>
      <w:r w:rsidR="00DB54D3">
        <w:rPr>
          <w:rFonts w:ascii="Arial" w:hAnsi="Arial" w:cs="Arial"/>
        </w:rPr>
        <w:t>a</w:t>
      </w:r>
      <w:r w:rsidR="00DB54D3" w:rsidRPr="00DB54D3">
        <w:rPr>
          <w:rFonts w:ascii="Arial" w:hAnsi="Arial" w:cs="Arial"/>
        </w:rPr>
        <w:t xml:space="preserve"> new Reporting Hub in June 2019. The Reporting Hub allows data users to access data more efficiently and the </w:t>
      </w:r>
      <w:r w:rsidR="00DB54D3">
        <w:rPr>
          <w:rFonts w:ascii="Arial" w:hAnsi="Arial" w:cs="Arial"/>
        </w:rPr>
        <w:t>Regulator</w:t>
      </w:r>
      <w:r w:rsidR="00DB54D3" w:rsidRPr="00DB54D3">
        <w:rPr>
          <w:rFonts w:ascii="Arial" w:hAnsi="Arial" w:cs="Arial"/>
        </w:rPr>
        <w:t xml:space="preserve"> has provided additional filtered data reports which allow more efficient analysis of certain data attributes. </w:t>
      </w:r>
    </w:p>
    <w:p w:rsidR="00E918E2" w:rsidRPr="00C53EE6" w:rsidRDefault="00DB54D3" w:rsidP="008C57C7">
      <w:pPr>
        <w:spacing w:after="120"/>
        <w:rPr>
          <w:rFonts w:ascii="Arial" w:hAnsi="Arial" w:cs="Arial"/>
        </w:rPr>
      </w:pPr>
      <w:r>
        <w:rPr>
          <w:rFonts w:ascii="Arial" w:hAnsi="Arial" w:cs="Arial"/>
        </w:rPr>
        <w:t>The Regulator is continuing to engage</w:t>
      </w:r>
      <w:r w:rsidRPr="00DB54D3">
        <w:rPr>
          <w:rFonts w:ascii="Arial" w:hAnsi="Arial" w:cs="Arial"/>
        </w:rPr>
        <w:t xml:space="preserve"> with </w:t>
      </w:r>
      <w:r>
        <w:rPr>
          <w:rFonts w:ascii="Arial" w:hAnsi="Arial" w:cs="Arial"/>
        </w:rPr>
        <w:t xml:space="preserve">government </w:t>
      </w:r>
      <w:r w:rsidR="00E918E2" w:rsidRPr="00E918E2">
        <w:rPr>
          <w:rFonts w:ascii="Arial" w:hAnsi="Arial" w:cs="Arial"/>
        </w:rPr>
        <w:t>data users to better understand their data needs and priorities and to determine how they can be incorporated into existing data sharing arrangements.</w:t>
      </w:r>
    </w:p>
    <w:p w:rsidR="00171113" w:rsidRPr="00C53EE6" w:rsidRDefault="00171113" w:rsidP="001E4B44">
      <w:pPr>
        <w:tabs>
          <w:tab w:val="left" w:pos="8445"/>
        </w:tabs>
        <w:spacing w:after="0"/>
        <w:rPr>
          <w:rFonts w:ascii="Arial" w:hAnsi="Arial" w:cs="Arial"/>
        </w:rPr>
      </w:pPr>
    </w:p>
    <w:p w:rsidR="00EC6342" w:rsidRPr="00C53EE6" w:rsidRDefault="00EC6342" w:rsidP="00412FCE">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5</w:t>
      </w:r>
    </w:p>
    <w:p w:rsidR="00EC6342" w:rsidRPr="00C53EE6" w:rsidRDefault="00512838" w:rsidP="007B41CC">
      <w:pPr>
        <w:pBdr>
          <w:top w:val="single" w:sz="4" w:space="1" w:color="auto"/>
          <w:left w:val="single" w:sz="4" w:space="4" w:color="auto"/>
          <w:bottom w:val="single" w:sz="4" w:space="1" w:color="auto"/>
          <w:right w:val="single" w:sz="4" w:space="4" w:color="auto"/>
        </w:pBdr>
        <w:rPr>
          <w:rFonts w:ascii="Arial" w:hAnsi="Arial" w:cs="Arial"/>
          <w:b/>
        </w:rPr>
      </w:pPr>
      <w:r w:rsidRPr="00512838">
        <w:rPr>
          <w:rFonts w:ascii="Arial" w:hAnsi="Arial" w:cs="Arial"/>
        </w:rPr>
        <w:t>The Regulator consult widely with reporters to progress developments to the Emissions and Energy Reporting System, with a view to enabling data to be easily uploaded and downloaded by reporters and greater use of pre-fill data, in time</w:t>
      </w:r>
      <w:r>
        <w:rPr>
          <w:rFonts w:ascii="Arial" w:hAnsi="Arial" w:cs="Arial"/>
        </w:rPr>
        <w:t xml:space="preserve"> for the 2020–21 reporting year</w:t>
      </w:r>
      <w:r w:rsidR="00DB1121" w:rsidRPr="00C53EE6">
        <w:rPr>
          <w:rFonts w:ascii="Arial" w:hAnsi="Arial" w:cs="Arial"/>
        </w:rPr>
        <w:t>.</w:t>
      </w:r>
    </w:p>
    <w:p w:rsidR="008C57C7" w:rsidRDefault="008C57C7" w:rsidP="008C57C7">
      <w:pPr>
        <w:spacing w:after="120"/>
        <w:rPr>
          <w:rFonts w:ascii="Arial" w:hAnsi="Arial" w:cs="Arial"/>
        </w:rPr>
      </w:pPr>
      <w:r w:rsidRPr="00C53EE6">
        <w:rPr>
          <w:rFonts w:ascii="Arial" w:hAnsi="Arial" w:cs="Arial"/>
          <w:b/>
        </w:rPr>
        <w:t xml:space="preserve">Response: </w:t>
      </w:r>
      <w:r w:rsidRPr="00C53EE6">
        <w:rPr>
          <w:rFonts w:ascii="Arial" w:hAnsi="Arial" w:cs="Arial"/>
        </w:rPr>
        <w:t xml:space="preserve">The Government </w:t>
      </w:r>
      <w:r w:rsidR="00524113">
        <w:rPr>
          <w:rFonts w:ascii="Arial" w:hAnsi="Arial" w:cs="Arial"/>
          <w:i/>
        </w:rPr>
        <w:t>accepts</w:t>
      </w:r>
      <w:r w:rsidR="00E918E2">
        <w:rPr>
          <w:rFonts w:ascii="Arial" w:hAnsi="Arial" w:cs="Arial"/>
          <w:i/>
        </w:rPr>
        <w:t>-in-principle</w:t>
      </w:r>
      <w:r w:rsidR="00BB72A6">
        <w:rPr>
          <w:rFonts w:ascii="Arial" w:hAnsi="Arial" w:cs="Arial"/>
        </w:rPr>
        <w:t xml:space="preserve"> </w:t>
      </w:r>
      <w:r w:rsidRPr="00C53EE6">
        <w:rPr>
          <w:rFonts w:ascii="Arial" w:hAnsi="Arial" w:cs="Arial"/>
        </w:rPr>
        <w:t xml:space="preserve">this </w:t>
      </w:r>
      <w:r w:rsidR="00FA0E88" w:rsidRPr="00C53EE6">
        <w:rPr>
          <w:rFonts w:ascii="Arial" w:hAnsi="Arial" w:cs="Arial"/>
        </w:rPr>
        <w:t>recommendation</w:t>
      </w:r>
      <w:r w:rsidRPr="00C53EE6">
        <w:rPr>
          <w:rFonts w:ascii="Arial" w:hAnsi="Arial" w:cs="Arial"/>
        </w:rPr>
        <w:t>.</w:t>
      </w:r>
    </w:p>
    <w:p w:rsidR="00E918E2" w:rsidRPr="00C53EE6" w:rsidRDefault="00DB54D3" w:rsidP="008C57C7">
      <w:pPr>
        <w:spacing w:after="120"/>
        <w:rPr>
          <w:rFonts w:ascii="Arial" w:hAnsi="Arial" w:cs="Arial"/>
        </w:rPr>
      </w:pPr>
      <w:r>
        <w:rPr>
          <w:rFonts w:ascii="Arial" w:hAnsi="Arial" w:cs="Arial"/>
        </w:rPr>
        <w:t>The feasibility of the timing proposed in th</w:t>
      </w:r>
      <w:r w:rsidR="00216581">
        <w:rPr>
          <w:rFonts w:ascii="Arial" w:hAnsi="Arial" w:cs="Arial"/>
        </w:rPr>
        <w:t>is</w:t>
      </w:r>
      <w:r>
        <w:rPr>
          <w:rFonts w:ascii="Arial" w:hAnsi="Arial" w:cs="Arial"/>
        </w:rPr>
        <w:t xml:space="preserve"> recommendation </w:t>
      </w:r>
      <w:r w:rsidR="00E918E2" w:rsidRPr="00E918E2">
        <w:rPr>
          <w:rFonts w:ascii="Arial" w:hAnsi="Arial" w:cs="Arial"/>
        </w:rPr>
        <w:t>will be determined fo</w:t>
      </w:r>
      <w:r>
        <w:rPr>
          <w:rFonts w:ascii="Arial" w:hAnsi="Arial" w:cs="Arial"/>
        </w:rPr>
        <w:t>llowing consultation by the Clean Energy Regulator with NGER r</w:t>
      </w:r>
      <w:r w:rsidR="00E918E2" w:rsidRPr="00E918E2">
        <w:rPr>
          <w:rFonts w:ascii="Arial" w:hAnsi="Arial" w:cs="Arial"/>
        </w:rPr>
        <w:t>eporters</w:t>
      </w:r>
      <w:r w:rsidR="005B24CD">
        <w:rPr>
          <w:rFonts w:ascii="Arial" w:hAnsi="Arial" w:cs="Arial"/>
        </w:rPr>
        <w:t>, and assessment of the impact on the Regulator’s IT Roadmap priorities</w:t>
      </w:r>
      <w:r w:rsidR="00E918E2" w:rsidRPr="00E918E2">
        <w:rPr>
          <w:rFonts w:ascii="Arial" w:hAnsi="Arial" w:cs="Arial"/>
        </w:rPr>
        <w:t xml:space="preserve">. </w:t>
      </w:r>
      <w:r>
        <w:rPr>
          <w:rFonts w:ascii="Arial" w:hAnsi="Arial" w:cs="Arial"/>
        </w:rPr>
        <w:t xml:space="preserve">The Regulator has </w:t>
      </w:r>
      <w:r w:rsidRPr="00DB54D3">
        <w:rPr>
          <w:rFonts w:ascii="Arial" w:hAnsi="Arial" w:cs="Arial"/>
        </w:rPr>
        <w:t>developed and initiated the CER Digital Portal and Website Baseline User Research Plan, which seeks to identify ways to improve the user experience across all digital services, including users of the Emissions and Energy Reporting System.</w:t>
      </w:r>
      <w:r>
        <w:rPr>
          <w:rFonts w:ascii="Arial" w:hAnsi="Arial" w:cs="Arial"/>
        </w:rPr>
        <w:t xml:space="preserve"> </w:t>
      </w:r>
      <w:r w:rsidR="00E918E2" w:rsidRPr="00E918E2">
        <w:rPr>
          <w:rFonts w:ascii="Arial" w:hAnsi="Arial" w:cs="Arial"/>
        </w:rPr>
        <w:t xml:space="preserve">The timing of </w:t>
      </w:r>
      <w:r w:rsidR="005B24CD">
        <w:rPr>
          <w:rFonts w:ascii="Arial" w:hAnsi="Arial" w:cs="Arial"/>
        </w:rPr>
        <w:t xml:space="preserve">any </w:t>
      </w:r>
      <w:r w:rsidR="00E918E2" w:rsidRPr="00E918E2">
        <w:rPr>
          <w:rFonts w:ascii="Arial" w:hAnsi="Arial" w:cs="Arial"/>
        </w:rPr>
        <w:t xml:space="preserve">changes </w:t>
      </w:r>
      <w:r w:rsidR="00E918E2">
        <w:rPr>
          <w:rFonts w:ascii="Arial" w:hAnsi="Arial" w:cs="Arial"/>
        </w:rPr>
        <w:t xml:space="preserve">will be contingent on resourcing and </w:t>
      </w:r>
      <w:r w:rsidR="00302927">
        <w:rPr>
          <w:rFonts w:ascii="Arial" w:hAnsi="Arial" w:cs="Arial"/>
        </w:rPr>
        <w:t xml:space="preserve">Government </w:t>
      </w:r>
      <w:r w:rsidR="00E918E2">
        <w:rPr>
          <w:rFonts w:ascii="Arial" w:hAnsi="Arial" w:cs="Arial"/>
        </w:rPr>
        <w:t>priorities.</w:t>
      </w:r>
    </w:p>
    <w:p w:rsidR="00CA7658" w:rsidRDefault="00CA7658" w:rsidP="001E4B44">
      <w:pPr>
        <w:tabs>
          <w:tab w:val="left" w:pos="8445"/>
        </w:tabs>
        <w:spacing w:after="0"/>
        <w:rPr>
          <w:rFonts w:ascii="Arial" w:hAnsi="Arial" w:cs="Arial"/>
        </w:rPr>
      </w:pPr>
    </w:p>
    <w:p w:rsidR="004C6CCF" w:rsidRDefault="004C6CCF" w:rsidP="008C57C7">
      <w:pPr>
        <w:tabs>
          <w:tab w:val="left" w:pos="8445"/>
        </w:tabs>
        <w:rPr>
          <w:rFonts w:ascii="Arial" w:hAnsi="Arial" w:cs="Arial"/>
        </w:rPr>
      </w:pPr>
    </w:p>
    <w:p w:rsidR="001E4B44" w:rsidRDefault="001E4B44" w:rsidP="008C57C7">
      <w:pPr>
        <w:tabs>
          <w:tab w:val="left" w:pos="8445"/>
        </w:tabs>
        <w:rPr>
          <w:rFonts w:ascii="Arial" w:hAnsi="Arial" w:cs="Arial"/>
        </w:rPr>
      </w:pPr>
    </w:p>
    <w:p w:rsidR="004C6CCF" w:rsidRDefault="004C6CCF" w:rsidP="008C57C7">
      <w:pPr>
        <w:tabs>
          <w:tab w:val="left" w:pos="8445"/>
        </w:tabs>
        <w:rPr>
          <w:rFonts w:ascii="Arial" w:hAnsi="Arial" w:cs="Arial"/>
        </w:rPr>
      </w:pPr>
    </w:p>
    <w:p w:rsidR="004E5561" w:rsidRPr="00C53EE6" w:rsidRDefault="004E5561" w:rsidP="008C57C7">
      <w:pPr>
        <w:tabs>
          <w:tab w:val="left" w:pos="8445"/>
        </w:tabs>
        <w:rPr>
          <w:rFonts w:ascii="Arial" w:hAnsi="Arial" w:cs="Arial"/>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lastRenderedPageBreak/>
        <w:t>Recommendation 6</w:t>
      </w:r>
    </w:p>
    <w:p w:rsidR="00EC6342" w:rsidRPr="00C53EE6" w:rsidRDefault="00512838" w:rsidP="00EC6342">
      <w:pPr>
        <w:pBdr>
          <w:top w:val="single" w:sz="4" w:space="1" w:color="auto"/>
          <w:left w:val="single" w:sz="4" w:space="4" w:color="auto"/>
          <w:bottom w:val="single" w:sz="4" w:space="1" w:color="auto"/>
          <w:right w:val="single" w:sz="4" w:space="4" w:color="auto"/>
        </w:pBdr>
        <w:rPr>
          <w:rFonts w:ascii="Arial" w:hAnsi="Arial" w:cs="Arial"/>
          <w:b/>
        </w:rPr>
      </w:pPr>
      <w:r w:rsidRPr="00512838">
        <w:rPr>
          <w:rFonts w:ascii="Arial" w:hAnsi="Arial" w:cs="Arial"/>
        </w:rPr>
        <w:t xml:space="preserve">The Regulator continue to develop its long-term information technology systems and services roadmap to increase opportunities for data sharing across schemes, including working with other program administrators, and consider the benefits and costs of developing a common reporting portal for existing and future energy </w:t>
      </w:r>
      <w:r>
        <w:rPr>
          <w:rFonts w:ascii="Arial" w:hAnsi="Arial" w:cs="Arial"/>
        </w:rPr>
        <w:t>and emissions reporting schemes</w:t>
      </w:r>
      <w:r w:rsidR="00DB1121" w:rsidRPr="00C53EE6">
        <w:rPr>
          <w:rFonts w:ascii="Arial" w:hAnsi="Arial" w:cs="Arial"/>
        </w:rPr>
        <w:t>.</w:t>
      </w:r>
    </w:p>
    <w:p w:rsidR="008C57C7" w:rsidRDefault="008C57C7" w:rsidP="008C57C7">
      <w:pPr>
        <w:spacing w:after="120"/>
        <w:rPr>
          <w:rFonts w:ascii="Arial" w:hAnsi="Arial" w:cs="Arial"/>
        </w:rPr>
      </w:pPr>
      <w:r w:rsidRPr="00C53EE6">
        <w:rPr>
          <w:rFonts w:ascii="Arial" w:hAnsi="Arial" w:cs="Arial"/>
          <w:b/>
        </w:rPr>
        <w:t xml:space="preserve">Response: </w:t>
      </w:r>
      <w:r w:rsidRPr="00C53EE6">
        <w:rPr>
          <w:rFonts w:ascii="Arial" w:hAnsi="Arial" w:cs="Arial"/>
        </w:rPr>
        <w:t xml:space="preserve">The Government </w:t>
      </w:r>
      <w:r w:rsidR="005B24CD">
        <w:rPr>
          <w:rFonts w:ascii="Arial" w:hAnsi="Arial" w:cs="Arial"/>
          <w:i/>
        </w:rPr>
        <w:t>accepts</w:t>
      </w:r>
      <w:r w:rsidR="005B24CD" w:rsidRPr="00C53EE6">
        <w:rPr>
          <w:rFonts w:ascii="Arial" w:hAnsi="Arial" w:cs="Arial"/>
        </w:rPr>
        <w:t xml:space="preserve"> </w:t>
      </w:r>
      <w:r w:rsidRPr="00C53EE6">
        <w:rPr>
          <w:rFonts w:ascii="Arial" w:hAnsi="Arial" w:cs="Arial"/>
        </w:rPr>
        <w:t xml:space="preserve">this </w:t>
      </w:r>
      <w:r w:rsidR="00FA0E88" w:rsidRPr="00C53EE6">
        <w:rPr>
          <w:rFonts w:ascii="Arial" w:hAnsi="Arial" w:cs="Arial"/>
        </w:rPr>
        <w:t>recommendation</w:t>
      </w:r>
      <w:r w:rsidR="005B24CD">
        <w:rPr>
          <w:rFonts w:ascii="Arial" w:hAnsi="Arial" w:cs="Arial"/>
        </w:rPr>
        <w:t>.</w:t>
      </w:r>
    </w:p>
    <w:p w:rsidR="00AD0744" w:rsidRDefault="00AD0744" w:rsidP="008C57C7">
      <w:pPr>
        <w:spacing w:after="120"/>
        <w:rPr>
          <w:rFonts w:ascii="Arial" w:hAnsi="Arial" w:cs="Arial"/>
        </w:rPr>
      </w:pPr>
      <w:r w:rsidRPr="00AD0744">
        <w:rPr>
          <w:rFonts w:ascii="Arial" w:hAnsi="Arial" w:cs="Arial"/>
        </w:rPr>
        <w:t xml:space="preserve">The Clean Energy Regulator will explore long-term opportunities for data sharing across schemes administered by the </w:t>
      </w:r>
      <w:r w:rsidR="005B24CD">
        <w:rPr>
          <w:rFonts w:ascii="Arial" w:hAnsi="Arial" w:cs="Arial"/>
        </w:rPr>
        <w:t>Regulator</w:t>
      </w:r>
      <w:r w:rsidRPr="00AD0744">
        <w:rPr>
          <w:rFonts w:ascii="Arial" w:hAnsi="Arial" w:cs="Arial"/>
        </w:rPr>
        <w:t xml:space="preserve"> and within Government. The </w:t>
      </w:r>
      <w:r w:rsidR="005B24CD">
        <w:rPr>
          <w:rFonts w:ascii="Arial" w:hAnsi="Arial" w:cs="Arial"/>
        </w:rPr>
        <w:t>Regulator</w:t>
      </w:r>
      <w:r w:rsidRPr="00AD0744">
        <w:rPr>
          <w:rFonts w:ascii="Arial" w:hAnsi="Arial" w:cs="Arial"/>
        </w:rPr>
        <w:t xml:space="preserve"> will also build a common portal for current and future energy and emissions reporting schemes </w:t>
      </w:r>
      <w:r w:rsidR="005B24CD">
        <w:rPr>
          <w:rFonts w:ascii="Arial" w:hAnsi="Arial" w:cs="Arial"/>
        </w:rPr>
        <w:t>that it administers</w:t>
      </w:r>
      <w:r w:rsidRPr="00AD0744">
        <w:rPr>
          <w:rFonts w:ascii="Arial" w:hAnsi="Arial" w:cs="Arial"/>
        </w:rPr>
        <w:t xml:space="preserve">, and for any schemes </w:t>
      </w:r>
      <w:r w:rsidR="005B24CD">
        <w:rPr>
          <w:rFonts w:ascii="Arial" w:hAnsi="Arial" w:cs="Arial"/>
        </w:rPr>
        <w:t>that it</w:t>
      </w:r>
      <w:r w:rsidRPr="00AD0744">
        <w:rPr>
          <w:rFonts w:ascii="Arial" w:hAnsi="Arial" w:cs="Arial"/>
        </w:rPr>
        <w:t xml:space="preserve"> may operate on behalf of other agencies.</w:t>
      </w:r>
      <w:r w:rsidR="00124423">
        <w:rPr>
          <w:rFonts w:ascii="Arial" w:hAnsi="Arial" w:cs="Arial"/>
        </w:rPr>
        <w:t xml:space="preserve"> </w:t>
      </w:r>
    </w:p>
    <w:p w:rsidR="00BE533E" w:rsidRDefault="00AD0744" w:rsidP="00DA46DD">
      <w:pPr>
        <w:spacing w:before="120" w:after="120"/>
        <w:rPr>
          <w:rFonts w:ascii="Arial" w:hAnsi="Arial" w:cs="Arial"/>
        </w:rPr>
      </w:pPr>
      <w:r w:rsidRPr="00AD0744">
        <w:rPr>
          <w:rFonts w:ascii="Arial" w:hAnsi="Arial" w:cs="Arial"/>
        </w:rPr>
        <w:t xml:space="preserve">The </w:t>
      </w:r>
      <w:r w:rsidR="005B24CD">
        <w:rPr>
          <w:rFonts w:ascii="Arial" w:hAnsi="Arial" w:cs="Arial"/>
        </w:rPr>
        <w:t>Regulator</w:t>
      </w:r>
      <w:r w:rsidRPr="00AD0744">
        <w:rPr>
          <w:rFonts w:ascii="Arial" w:hAnsi="Arial" w:cs="Arial"/>
        </w:rPr>
        <w:t xml:space="preserve"> is open to consider</w:t>
      </w:r>
      <w:r w:rsidR="00FD1A1F">
        <w:rPr>
          <w:rFonts w:ascii="Arial" w:hAnsi="Arial" w:cs="Arial"/>
        </w:rPr>
        <w:t>ing</w:t>
      </w:r>
      <w:r w:rsidRPr="00AD0744">
        <w:rPr>
          <w:rFonts w:ascii="Arial" w:hAnsi="Arial" w:cs="Arial"/>
        </w:rPr>
        <w:t xml:space="preserve"> and discuss</w:t>
      </w:r>
      <w:r w:rsidR="00FD1A1F">
        <w:rPr>
          <w:rFonts w:ascii="Arial" w:hAnsi="Arial" w:cs="Arial"/>
        </w:rPr>
        <w:t>ing</w:t>
      </w:r>
      <w:r w:rsidRPr="00AD0744">
        <w:rPr>
          <w:rFonts w:ascii="Arial" w:hAnsi="Arial" w:cs="Arial"/>
        </w:rPr>
        <w:t xml:space="preserve"> opportunities that may arise </w:t>
      </w:r>
      <w:r w:rsidR="00215CF5">
        <w:rPr>
          <w:rFonts w:ascii="Arial" w:hAnsi="Arial" w:cs="Arial"/>
        </w:rPr>
        <w:t>to</w:t>
      </w:r>
      <w:r w:rsidRPr="00AD0744">
        <w:rPr>
          <w:rFonts w:ascii="Arial" w:hAnsi="Arial" w:cs="Arial"/>
        </w:rPr>
        <w:t xml:space="preserve"> collaborate with other program administrators in terms of a common reporting portal for broader energy and emissions schemes.</w:t>
      </w:r>
      <w:r w:rsidR="00F26D3B">
        <w:rPr>
          <w:rFonts w:ascii="Arial" w:hAnsi="Arial" w:cs="Arial"/>
        </w:rPr>
        <w:t xml:space="preserve"> </w:t>
      </w:r>
    </w:p>
    <w:p w:rsidR="00793F8B" w:rsidRDefault="00793F8B" w:rsidP="001E4B44">
      <w:pPr>
        <w:spacing w:before="120" w:after="0"/>
        <w:rPr>
          <w:rFonts w:ascii="Arial" w:hAnsi="Arial" w:cs="Arial"/>
        </w:rPr>
      </w:pPr>
    </w:p>
    <w:p w:rsidR="00EC6342" w:rsidRPr="00C53EE6" w:rsidRDefault="00EC6342" w:rsidP="007F6ADE">
      <w:pPr>
        <w:widowControl w:val="0"/>
        <w:pBdr>
          <w:top w:val="single" w:sz="4" w:space="1" w:color="auto"/>
          <w:left w:val="single" w:sz="4" w:space="4" w:color="auto"/>
          <w:bottom w:val="single" w:sz="4" w:space="0" w:color="auto"/>
          <w:right w:val="single" w:sz="4" w:space="4" w:color="auto"/>
        </w:pBdr>
        <w:rPr>
          <w:rFonts w:ascii="Arial" w:hAnsi="Arial" w:cs="Arial"/>
          <w:b/>
        </w:rPr>
      </w:pPr>
      <w:r w:rsidRPr="00C53EE6">
        <w:rPr>
          <w:rFonts w:ascii="Arial" w:hAnsi="Arial" w:cs="Arial"/>
          <w:b/>
        </w:rPr>
        <w:t>Recommendation 7</w:t>
      </w:r>
    </w:p>
    <w:p w:rsidR="00EC6342" w:rsidRPr="00C53EE6" w:rsidRDefault="001327E0" w:rsidP="007F6ADE">
      <w:pPr>
        <w:widowControl w:val="0"/>
        <w:pBdr>
          <w:top w:val="single" w:sz="4" w:space="1" w:color="auto"/>
          <w:left w:val="single" w:sz="4" w:space="4" w:color="auto"/>
          <w:bottom w:val="single" w:sz="4" w:space="0" w:color="auto"/>
          <w:right w:val="single" w:sz="4" w:space="4" w:color="auto"/>
        </w:pBdr>
        <w:rPr>
          <w:rFonts w:ascii="Arial" w:hAnsi="Arial" w:cs="Arial"/>
          <w:b/>
        </w:rPr>
      </w:pPr>
      <w:r w:rsidRPr="001327E0">
        <w:rPr>
          <w:rFonts w:ascii="Arial" w:hAnsi="Arial" w:cs="Arial"/>
        </w:rPr>
        <w:t>The Department enhance the current process for implementing updates to the measurement determination by consulting earlier with industry, increasing transparency on how issues will be resolved and working with the Regulator to better publicise updates.</w:t>
      </w:r>
    </w:p>
    <w:p w:rsidR="001F1AD1" w:rsidRDefault="007153F9" w:rsidP="007F6ADE">
      <w:pPr>
        <w:widowControl w:val="0"/>
        <w:spacing w:after="120"/>
        <w:rPr>
          <w:rFonts w:ascii="Arial" w:hAnsi="Arial" w:cs="Arial"/>
          <w:b/>
        </w:rPr>
      </w:pPr>
      <w:r w:rsidRPr="00C53EE6">
        <w:rPr>
          <w:rFonts w:ascii="Arial" w:hAnsi="Arial" w:cs="Arial"/>
          <w:b/>
        </w:rPr>
        <w:t>Response:</w:t>
      </w:r>
      <w:r w:rsidR="00A11193">
        <w:rPr>
          <w:rFonts w:ascii="Arial" w:hAnsi="Arial" w:cs="Arial"/>
          <w:b/>
        </w:rPr>
        <w:t xml:space="preserve"> </w:t>
      </w:r>
      <w:r w:rsidR="00E910A8" w:rsidRPr="00A11193">
        <w:rPr>
          <w:rFonts w:ascii="Arial" w:hAnsi="Arial" w:cs="Arial"/>
        </w:rPr>
        <w:t xml:space="preserve">The Government </w:t>
      </w:r>
      <w:r w:rsidR="00E910A8" w:rsidRPr="00A11193">
        <w:rPr>
          <w:rFonts w:ascii="Arial" w:hAnsi="Arial" w:cs="Arial"/>
          <w:i/>
        </w:rPr>
        <w:t>accepts</w:t>
      </w:r>
      <w:r w:rsidR="00E910A8" w:rsidRPr="00A11193">
        <w:rPr>
          <w:rFonts w:ascii="Arial" w:hAnsi="Arial" w:cs="Arial"/>
        </w:rPr>
        <w:t xml:space="preserve"> this recommendation.</w:t>
      </w:r>
    </w:p>
    <w:p w:rsidR="00AD0744" w:rsidRDefault="00E910A8" w:rsidP="007F6ADE">
      <w:pPr>
        <w:widowControl w:val="0"/>
        <w:spacing w:after="120" w:line="257" w:lineRule="auto"/>
        <w:rPr>
          <w:rFonts w:ascii="Arial" w:hAnsi="Arial" w:cs="Arial"/>
        </w:rPr>
      </w:pPr>
      <w:r>
        <w:rPr>
          <w:rFonts w:ascii="Arial" w:hAnsi="Arial" w:cs="Arial"/>
        </w:rPr>
        <w:t xml:space="preserve">The Department </w:t>
      </w:r>
      <w:r w:rsidR="00A11193">
        <w:rPr>
          <w:rFonts w:ascii="Arial" w:hAnsi="Arial" w:cs="Arial"/>
        </w:rPr>
        <w:t xml:space="preserve">of the Environment and Energy </w:t>
      </w:r>
      <w:r>
        <w:rPr>
          <w:rFonts w:ascii="Arial" w:hAnsi="Arial" w:cs="Arial"/>
        </w:rPr>
        <w:t>undertakes an annual review of the measurement determination. It will work with the Clean Energy Regulator to improve the transparency of the review process, including in relation to stakeholder consultation and communication of updates to the legislation.</w:t>
      </w:r>
    </w:p>
    <w:p w:rsidR="007F6ADE" w:rsidRPr="00A11193" w:rsidRDefault="007F6ADE" w:rsidP="001E4B44">
      <w:pPr>
        <w:widowControl w:val="0"/>
        <w:spacing w:after="0" w:line="257" w:lineRule="auto"/>
        <w:rPr>
          <w:rFonts w:ascii="Arial" w:hAnsi="Arial" w:cs="Arial"/>
          <w:b/>
        </w:rPr>
      </w:pPr>
    </w:p>
    <w:p w:rsidR="00EC6342" w:rsidRPr="00C53EE6" w:rsidRDefault="00EC6342" w:rsidP="007F6ADE">
      <w:pPr>
        <w:widowControl w:val="0"/>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8</w:t>
      </w:r>
    </w:p>
    <w:p w:rsidR="00EC6342" w:rsidRPr="00C53EE6" w:rsidRDefault="001327E0" w:rsidP="007F6ADE">
      <w:pPr>
        <w:widowControl w:val="0"/>
        <w:pBdr>
          <w:top w:val="single" w:sz="4" w:space="1" w:color="auto"/>
          <w:left w:val="single" w:sz="4" w:space="4" w:color="auto"/>
          <w:bottom w:val="single" w:sz="4" w:space="1" w:color="auto"/>
          <w:right w:val="single" w:sz="4" w:space="4" w:color="auto"/>
        </w:pBdr>
        <w:rPr>
          <w:rFonts w:ascii="Arial" w:hAnsi="Arial" w:cs="Arial"/>
          <w:b/>
        </w:rPr>
      </w:pPr>
      <w:r w:rsidRPr="001327E0">
        <w:rPr>
          <w:rFonts w:ascii="Arial" w:hAnsi="Arial" w:cs="Arial"/>
        </w:rPr>
        <w:t>The Regulator work with the Depart</w:t>
      </w:r>
      <w:r w:rsidR="007B6879">
        <w:rPr>
          <w:rFonts w:ascii="Arial" w:hAnsi="Arial" w:cs="Arial"/>
        </w:rPr>
        <w:t>m</w:t>
      </w:r>
      <w:r w:rsidRPr="001327E0">
        <w:rPr>
          <w:rFonts w:ascii="Arial" w:hAnsi="Arial" w:cs="Arial"/>
        </w:rPr>
        <w:t>ent to enhance understanding among reporters and auditors (in time for the 2019–20 reporting year) about the existing provisions in the legislation that can reduce the costs of reporting on small sources of emissions and energy. In addition, the Department should work closely with the Regulator and industry to systematically review provisions, and their administration, that apply to small sources of emissions and energy to assess if further improvements can be made to reduce reporting costs while meeting the obj</w:t>
      </w:r>
      <w:r>
        <w:rPr>
          <w:rFonts w:ascii="Arial" w:hAnsi="Arial" w:cs="Arial"/>
        </w:rPr>
        <w:t>ectives of the reporting scheme</w:t>
      </w:r>
      <w:r w:rsidR="00DB1121" w:rsidRPr="00C53EE6">
        <w:rPr>
          <w:rFonts w:ascii="Arial" w:hAnsi="Arial" w:cs="Arial"/>
        </w:rPr>
        <w:t>.</w:t>
      </w:r>
    </w:p>
    <w:p w:rsidR="008C57C7" w:rsidRPr="00C53EE6" w:rsidRDefault="008C57C7" w:rsidP="007F6ADE">
      <w:pPr>
        <w:widowControl w:val="0"/>
        <w:spacing w:after="120"/>
        <w:rPr>
          <w:rFonts w:ascii="Arial" w:hAnsi="Arial" w:cs="Arial"/>
        </w:rPr>
      </w:pPr>
      <w:r w:rsidRPr="00C53EE6">
        <w:rPr>
          <w:rFonts w:ascii="Arial" w:hAnsi="Arial" w:cs="Arial"/>
          <w:b/>
        </w:rPr>
        <w:t xml:space="preserve">Response: </w:t>
      </w:r>
      <w:r w:rsidRPr="00C53EE6">
        <w:rPr>
          <w:rFonts w:ascii="Arial" w:hAnsi="Arial" w:cs="Arial"/>
        </w:rPr>
        <w:t>The Government</w:t>
      </w:r>
      <w:r w:rsidR="005010E2">
        <w:rPr>
          <w:rFonts w:ascii="Arial" w:hAnsi="Arial" w:cs="Arial"/>
        </w:rPr>
        <w:t xml:space="preserve"> </w:t>
      </w:r>
      <w:r w:rsidR="005010E2" w:rsidRPr="00831FBD">
        <w:rPr>
          <w:rFonts w:ascii="Arial" w:hAnsi="Arial" w:cs="Arial"/>
          <w:i/>
        </w:rPr>
        <w:t>accepts</w:t>
      </w:r>
      <w:r w:rsidR="005010E2">
        <w:rPr>
          <w:rFonts w:ascii="Arial" w:hAnsi="Arial" w:cs="Arial"/>
        </w:rPr>
        <w:t xml:space="preserve"> </w:t>
      </w:r>
      <w:r w:rsidRPr="00C53EE6">
        <w:rPr>
          <w:rFonts w:ascii="Arial" w:hAnsi="Arial" w:cs="Arial"/>
        </w:rPr>
        <w:t>this recommendation.</w:t>
      </w:r>
    </w:p>
    <w:p w:rsidR="00A11193" w:rsidRDefault="00A11193" w:rsidP="007F6ADE">
      <w:pPr>
        <w:widowControl w:val="0"/>
        <w:tabs>
          <w:tab w:val="left" w:pos="8445"/>
        </w:tabs>
        <w:rPr>
          <w:rFonts w:ascii="Arial" w:hAnsi="Arial" w:cs="Arial"/>
        </w:rPr>
      </w:pPr>
      <w:r>
        <w:rPr>
          <w:rFonts w:ascii="Arial" w:hAnsi="Arial" w:cs="Arial"/>
        </w:rPr>
        <w:t>A</w:t>
      </w:r>
      <w:r w:rsidRPr="00A11193">
        <w:rPr>
          <w:rFonts w:ascii="Arial" w:hAnsi="Arial" w:cs="Arial"/>
        </w:rPr>
        <w:t>n analysis of 2017-18 NGER data</w:t>
      </w:r>
      <w:r>
        <w:rPr>
          <w:rFonts w:ascii="Arial" w:hAnsi="Arial" w:cs="Arial"/>
        </w:rPr>
        <w:t xml:space="preserve"> has</w:t>
      </w:r>
      <w:r w:rsidRPr="00A11193">
        <w:rPr>
          <w:rFonts w:ascii="Arial" w:hAnsi="Arial" w:cs="Arial"/>
        </w:rPr>
        <w:t xml:space="preserve"> identified that 73</w:t>
      </w:r>
      <w:r>
        <w:rPr>
          <w:rFonts w:ascii="Arial" w:hAnsi="Arial" w:cs="Arial"/>
        </w:rPr>
        <w:t xml:space="preserve"> per cent</w:t>
      </w:r>
      <w:r w:rsidRPr="00A11193">
        <w:rPr>
          <w:rFonts w:ascii="Arial" w:hAnsi="Arial" w:cs="Arial"/>
        </w:rPr>
        <w:t xml:space="preserve"> of all reporters could have used at least one streamlining provision</w:t>
      </w:r>
      <w:r>
        <w:rPr>
          <w:rFonts w:ascii="Arial" w:hAnsi="Arial" w:cs="Arial"/>
        </w:rPr>
        <w:t xml:space="preserve"> in the legislation</w:t>
      </w:r>
      <w:r w:rsidRPr="00A11193">
        <w:rPr>
          <w:rFonts w:ascii="Arial" w:hAnsi="Arial" w:cs="Arial"/>
        </w:rPr>
        <w:t>. The</w:t>
      </w:r>
      <w:r>
        <w:rPr>
          <w:rFonts w:ascii="Arial" w:hAnsi="Arial" w:cs="Arial"/>
        </w:rPr>
        <w:t xml:space="preserve"> Clean Energy</w:t>
      </w:r>
      <w:r w:rsidRPr="00A11193">
        <w:rPr>
          <w:rFonts w:ascii="Arial" w:hAnsi="Arial" w:cs="Arial"/>
        </w:rPr>
        <w:t xml:space="preserve"> </w:t>
      </w:r>
      <w:r>
        <w:rPr>
          <w:rFonts w:ascii="Arial" w:hAnsi="Arial" w:cs="Arial"/>
        </w:rPr>
        <w:t>Regulator</w:t>
      </w:r>
      <w:r w:rsidRPr="00A11193">
        <w:rPr>
          <w:rFonts w:ascii="Arial" w:hAnsi="Arial" w:cs="Arial"/>
        </w:rPr>
        <w:t xml:space="preserve"> has developed an engagement plan to educate these reporters on the streamlining provisions available to them, and will </w:t>
      </w:r>
      <w:r w:rsidR="00184687">
        <w:rPr>
          <w:rFonts w:ascii="Arial" w:hAnsi="Arial" w:cs="Arial"/>
        </w:rPr>
        <w:t>commence</w:t>
      </w:r>
      <w:r w:rsidRPr="00A11193">
        <w:rPr>
          <w:rFonts w:ascii="Arial" w:hAnsi="Arial" w:cs="Arial"/>
        </w:rPr>
        <w:t xml:space="preserve"> engag</w:t>
      </w:r>
      <w:r>
        <w:rPr>
          <w:rFonts w:ascii="Arial" w:hAnsi="Arial" w:cs="Arial"/>
        </w:rPr>
        <w:t>ement</w:t>
      </w:r>
      <w:r w:rsidRPr="00A11193">
        <w:rPr>
          <w:rFonts w:ascii="Arial" w:hAnsi="Arial" w:cs="Arial"/>
        </w:rPr>
        <w:t xml:space="preserve"> by the end of July</w:t>
      </w:r>
      <w:r>
        <w:rPr>
          <w:rFonts w:ascii="Arial" w:hAnsi="Arial" w:cs="Arial"/>
        </w:rPr>
        <w:t xml:space="preserve"> 2019</w:t>
      </w:r>
      <w:r w:rsidRPr="00A11193">
        <w:rPr>
          <w:rFonts w:ascii="Arial" w:hAnsi="Arial" w:cs="Arial"/>
        </w:rPr>
        <w:t xml:space="preserve">. </w:t>
      </w:r>
      <w:r w:rsidR="00764336">
        <w:rPr>
          <w:rFonts w:ascii="Arial" w:hAnsi="Arial" w:cs="Arial"/>
        </w:rPr>
        <w:t xml:space="preserve">This plan will include making more </w:t>
      </w:r>
      <w:r w:rsidRPr="005960AF">
        <w:rPr>
          <w:rFonts w:ascii="Arial" w:hAnsi="Arial" w:cs="Arial"/>
        </w:rPr>
        <w:t xml:space="preserve">explicit guidance and information </w:t>
      </w:r>
      <w:r w:rsidR="00764336">
        <w:rPr>
          <w:rFonts w:ascii="Arial" w:hAnsi="Arial" w:cs="Arial"/>
        </w:rPr>
        <w:t>for</w:t>
      </w:r>
      <w:r w:rsidRPr="005960AF">
        <w:rPr>
          <w:rFonts w:ascii="Arial" w:hAnsi="Arial" w:cs="Arial"/>
        </w:rPr>
        <w:t xml:space="preserve"> auditors and reporters on reporting on small sources of emissions and energy </w:t>
      </w:r>
      <w:r w:rsidR="00764336">
        <w:rPr>
          <w:rFonts w:ascii="Arial" w:hAnsi="Arial" w:cs="Arial"/>
        </w:rPr>
        <w:t xml:space="preserve">available </w:t>
      </w:r>
      <w:r w:rsidRPr="005960AF">
        <w:rPr>
          <w:rFonts w:ascii="Arial" w:hAnsi="Arial" w:cs="Arial"/>
        </w:rPr>
        <w:t>through its website and regular outreach program.</w:t>
      </w:r>
    </w:p>
    <w:p w:rsidR="00F26D3B" w:rsidRDefault="00F26D3B">
      <w:pPr>
        <w:spacing w:after="0" w:line="240" w:lineRule="auto"/>
        <w:rPr>
          <w:rFonts w:ascii="Arial" w:hAnsi="Arial" w:cs="Arial"/>
        </w:rPr>
      </w:pPr>
      <w:r>
        <w:rPr>
          <w:rFonts w:ascii="Arial" w:hAnsi="Arial" w:cs="Arial"/>
        </w:rPr>
        <w:br w:type="page"/>
      </w:r>
    </w:p>
    <w:p w:rsidR="00EC6342" w:rsidRPr="00C53EE6" w:rsidRDefault="00EC6342" w:rsidP="007F6ADE">
      <w:pPr>
        <w:widowControl w:val="0"/>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lastRenderedPageBreak/>
        <w:t>Recommendation 9</w:t>
      </w:r>
    </w:p>
    <w:p w:rsidR="00EC6342" w:rsidRPr="00C53EE6" w:rsidRDefault="001327E0" w:rsidP="007F6ADE">
      <w:pPr>
        <w:widowControl w:val="0"/>
        <w:pBdr>
          <w:top w:val="single" w:sz="4" w:space="1" w:color="auto"/>
          <w:left w:val="single" w:sz="4" w:space="4" w:color="auto"/>
          <w:bottom w:val="single" w:sz="4" w:space="1" w:color="auto"/>
          <w:right w:val="single" w:sz="4" w:space="4" w:color="auto"/>
        </w:pBdr>
        <w:rPr>
          <w:rFonts w:ascii="Arial" w:hAnsi="Arial" w:cs="Arial"/>
        </w:rPr>
      </w:pPr>
      <w:r w:rsidRPr="001327E0">
        <w:rPr>
          <w:rFonts w:ascii="Arial" w:hAnsi="Arial" w:cs="Arial"/>
        </w:rPr>
        <w:t>The Department amend the measurement determination, in consultation with industry, to include emissions from agricultural sources to allow reporting on a voluntary basis. Voluntary reporting of agricultural emissions shou</w:t>
      </w:r>
      <w:r>
        <w:rPr>
          <w:rFonts w:ascii="Arial" w:hAnsi="Arial" w:cs="Arial"/>
        </w:rPr>
        <w:t>ld be reviewed after five years</w:t>
      </w:r>
      <w:r w:rsidR="00DB1121" w:rsidRPr="00C53EE6">
        <w:rPr>
          <w:rFonts w:ascii="Arial" w:hAnsi="Arial" w:cs="Arial"/>
        </w:rPr>
        <w:t>.</w:t>
      </w:r>
    </w:p>
    <w:p w:rsidR="00E910A8" w:rsidRDefault="008C57C7" w:rsidP="007F6ADE">
      <w:pPr>
        <w:widowControl w:val="0"/>
        <w:spacing w:after="120"/>
        <w:rPr>
          <w:rFonts w:ascii="Arial" w:hAnsi="Arial" w:cs="Arial"/>
        </w:rPr>
      </w:pPr>
      <w:r w:rsidRPr="001E4B44">
        <w:rPr>
          <w:rFonts w:ascii="Arial" w:hAnsi="Arial" w:cs="Arial"/>
          <w:b/>
        </w:rPr>
        <w:t>Response:</w:t>
      </w:r>
      <w:r w:rsidR="00764336" w:rsidRPr="001E4B44">
        <w:rPr>
          <w:rFonts w:ascii="Arial" w:hAnsi="Arial" w:cs="Arial"/>
          <w:b/>
        </w:rPr>
        <w:t xml:space="preserve"> </w:t>
      </w:r>
      <w:r w:rsidR="00E910A8" w:rsidRPr="001E4B44">
        <w:rPr>
          <w:rFonts w:ascii="Arial" w:hAnsi="Arial" w:cs="Arial"/>
        </w:rPr>
        <w:t xml:space="preserve">The Government </w:t>
      </w:r>
      <w:r w:rsidR="00E910A8" w:rsidRPr="001E4B44">
        <w:rPr>
          <w:rFonts w:ascii="Arial" w:hAnsi="Arial" w:cs="Arial"/>
          <w:i/>
        </w:rPr>
        <w:t>notes</w:t>
      </w:r>
      <w:r w:rsidR="00E910A8" w:rsidRPr="001E4B44">
        <w:rPr>
          <w:rFonts w:ascii="Arial" w:hAnsi="Arial" w:cs="Arial"/>
        </w:rPr>
        <w:t xml:space="preserve"> this recommendation.</w:t>
      </w:r>
      <w:r w:rsidR="00E910A8" w:rsidRPr="006623F9">
        <w:rPr>
          <w:rFonts w:ascii="Arial" w:hAnsi="Arial" w:cs="Arial"/>
        </w:rPr>
        <w:t xml:space="preserve"> </w:t>
      </w:r>
    </w:p>
    <w:p w:rsidR="001E4B44" w:rsidRPr="006623F9" w:rsidRDefault="001E4B44" w:rsidP="001E4B44">
      <w:pPr>
        <w:widowControl w:val="0"/>
        <w:spacing w:after="0"/>
        <w:rPr>
          <w:rFonts w:ascii="Arial" w:hAnsi="Arial" w:cs="Arial"/>
        </w:rPr>
      </w:pPr>
    </w:p>
    <w:p w:rsidR="00EC6342" w:rsidRPr="00C53EE6" w:rsidRDefault="00EC6342" w:rsidP="00277D58">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10</w:t>
      </w:r>
    </w:p>
    <w:p w:rsidR="00EC6342" w:rsidRPr="00277D58" w:rsidRDefault="001327E0" w:rsidP="00277D58">
      <w:pPr>
        <w:pBdr>
          <w:top w:val="single" w:sz="4" w:space="1" w:color="auto"/>
          <w:left w:val="single" w:sz="4" w:space="4" w:color="auto"/>
          <w:bottom w:val="single" w:sz="4" w:space="1" w:color="auto"/>
          <w:right w:val="single" w:sz="4" w:space="4" w:color="auto"/>
        </w:pBdr>
        <w:rPr>
          <w:rFonts w:ascii="Arial" w:hAnsi="Arial" w:cs="Arial"/>
        </w:rPr>
      </w:pPr>
      <w:r w:rsidRPr="001327E0">
        <w:rPr>
          <w:rFonts w:ascii="Arial" w:hAnsi="Arial" w:cs="Arial"/>
        </w:rPr>
        <w:t>The Department examine opportunities to improve the quality of data available on aerosols and indirect greenhouse gases (including black carbon) by assessing the merits of including these sub</w:t>
      </w:r>
      <w:r>
        <w:rPr>
          <w:rFonts w:ascii="Arial" w:hAnsi="Arial" w:cs="Arial"/>
        </w:rPr>
        <w:t>stances in the reporting scheme</w:t>
      </w:r>
      <w:r w:rsidR="00DB1121" w:rsidRPr="00C53EE6">
        <w:rPr>
          <w:rFonts w:ascii="Arial" w:hAnsi="Arial" w:cs="Arial"/>
        </w:rPr>
        <w:t>.</w:t>
      </w:r>
    </w:p>
    <w:p w:rsidR="00E910A8" w:rsidRPr="00764336" w:rsidRDefault="008C57C7" w:rsidP="002F1996">
      <w:pPr>
        <w:spacing w:after="120"/>
        <w:rPr>
          <w:rFonts w:ascii="Arial" w:hAnsi="Arial" w:cs="Arial"/>
        </w:rPr>
      </w:pPr>
      <w:r w:rsidRPr="00C53EE6">
        <w:rPr>
          <w:rFonts w:ascii="Arial" w:hAnsi="Arial" w:cs="Arial"/>
          <w:b/>
        </w:rPr>
        <w:t xml:space="preserve">Response: </w:t>
      </w:r>
      <w:r w:rsidR="00D92C56" w:rsidRPr="00764336">
        <w:rPr>
          <w:rFonts w:ascii="Arial" w:hAnsi="Arial" w:cs="Arial"/>
        </w:rPr>
        <w:t xml:space="preserve">The Government </w:t>
      </w:r>
      <w:r w:rsidR="00D92C56" w:rsidRPr="00764336">
        <w:rPr>
          <w:rFonts w:ascii="Arial" w:hAnsi="Arial" w:cs="Arial"/>
          <w:i/>
        </w:rPr>
        <w:t>notes</w:t>
      </w:r>
      <w:r w:rsidR="00D92C56" w:rsidRPr="00764336">
        <w:rPr>
          <w:rFonts w:ascii="Arial" w:hAnsi="Arial" w:cs="Arial"/>
        </w:rPr>
        <w:t xml:space="preserve"> this recommendation. </w:t>
      </w:r>
    </w:p>
    <w:p w:rsidR="001F1AD1" w:rsidRPr="00E910A8" w:rsidRDefault="00D92C56" w:rsidP="002F1996">
      <w:pPr>
        <w:spacing w:after="120"/>
        <w:rPr>
          <w:rFonts w:ascii="Arial" w:hAnsi="Arial" w:cs="Arial"/>
          <w:b/>
        </w:rPr>
      </w:pPr>
      <w:r w:rsidRPr="00764336">
        <w:rPr>
          <w:rFonts w:ascii="Arial" w:hAnsi="Arial" w:cs="Arial"/>
        </w:rPr>
        <w:t xml:space="preserve">The </w:t>
      </w:r>
      <w:r w:rsidR="00764336" w:rsidRPr="006623F9">
        <w:rPr>
          <w:rFonts w:ascii="Arial" w:hAnsi="Arial" w:cs="Arial"/>
        </w:rPr>
        <w:t xml:space="preserve">Department </w:t>
      </w:r>
      <w:r w:rsidR="00764336">
        <w:rPr>
          <w:rFonts w:ascii="Arial" w:hAnsi="Arial" w:cs="Arial"/>
        </w:rPr>
        <w:t xml:space="preserve">of the Environment and Energy </w:t>
      </w:r>
      <w:r w:rsidRPr="00764336">
        <w:rPr>
          <w:rFonts w:ascii="Arial" w:hAnsi="Arial" w:cs="Arial"/>
        </w:rPr>
        <w:t xml:space="preserve">will </w:t>
      </w:r>
      <w:r w:rsidR="00184687">
        <w:rPr>
          <w:rFonts w:ascii="Arial" w:hAnsi="Arial" w:cs="Arial"/>
        </w:rPr>
        <w:t>further</w:t>
      </w:r>
      <w:r w:rsidR="00184687" w:rsidRPr="006623F9">
        <w:rPr>
          <w:rFonts w:ascii="Arial" w:hAnsi="Arial" w:cs="Arial"/>
        </w:rPr>
        <w:t xml:space="preserve"> </w:t>
      </w:r>
      <w:r w:rsidRPr="00764336">
        <w:rPr>
          <w:rFonts w:ascii="Arial" w:hAnsi="Arial" w:cs="Arial"/>
        </w:rPr>
        <w:t>explore this recommendation in consultation with interested stakeholders.</w:t>
      </w:r>
    </w:p>
    <w:p w:rsidR="005960AF" w:rsidRPr="00C53EE6" w:rsidRDefault="005960AF" w:rsidP="001E4B44">
      <w:pPr>
        <w:spacing w:after="0"/>
        <w:rPr>
          <w:rFonts w:ascii="Arial" w:hAnsi="Arial" w:cs="Arial"/>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11</w:t>
      </w:r>
    </w:p>
    <w:p w:rsidR="00EC6342" w:rsidRPr="00C53EE6" w:rsidRDefault="001327E0" w:rsidP="00EC6342">
      <w:pPr>
        <w:pBdr>
          <w:top w:val="single" w:sz="4" w:space="1" w:color="auto"/>
          <w:left w:val="single" w:sz="4" w:space="4" w:color="auto"/>
          <w:bottom w:val="single" w:sz="4" w:space="1" w:color="auto"/>
          <w:right w:val="single" w:sz="4" w:space="4" w:color="auto"/>
        </w:pBdr>
        <w:rPr>
          <w:rFonts w:ascii="Arial" w:hAnsi="Arial" w:cs="Arial"/>
          <w:b/>
        </w:rPr>
      </w:pPr>
      <w:r w:rsidRPr="001327E0">
        <w:rPr>
          <w:rFonts w:ascii="Arial" w:hAnsi="Arial" w:cs="Arial"/>
        </w:rPr>
        <w:t>The Department undertake analysis to determine whether the benefits of extending the reporting scheme to Australian, and state and territory government agencies and local councils exceed the costs (for those that do not cur</w:t>
      </w:r>
      <w:r>
        <w:rPr>
          <w:rFonts w:ascii="Arial" w:hAnsi="Arial" w:cs="Arial"/>
        </w:rPr>
        <w:t>rently report under the scheme)</w:t>
      </w:r>
      <w:r w:rsidR="00DB1121" w:rsidRPr="00C53EE6">
        <w:rPr>
          <w:rFonts w:ascii="Arial" w:hAnsi="Arial" w:cs="Arial"/>
        </w:rPr>
        <w:t>.</w:t>
      </w:r>
    </w:p>
    <w:p w:rsidR="00764336" w:rsidRPr="00764336" w:rsidRDefault="008C57C7" w:rsidP="00764336">
      <w:pPr>
        <w:spacing w:after="120"/>
        <w:rPr>
          <w:rFonts w:ascii="Arial" w:hAnsi="Arial" w:cs="Arial"/>
        </w:rPr>
      </w:pPr>
      <w:r w:rsidRPr="00C53EE6">
        <w:rPr>
          <w:rFonts w:ascii="Arial" w:hAnsi="Arial" w:cs="Arial"/>
          <w:b/>
        </w:rPr>
        <w:t>Response:</w:t>
      </w:r>
      <w:r w:rsidR="00764336">
        <w:rPr>
          <w:rFonts w:ascii="Arial" w:hAnsi="Arial" w:cs="Arial"/>
          <w:b/>
        </w:rPr>
        <w:t xml:space="preserve"> </w:t>
      </w:r>
      <w:r w:rsidR="00764336" w:rsidRPr="00764336">
        <w:rPr>
          <w:rFonts w:ascii="Arial" w:hAnsi="Arial" w:cs="Arial"/>
        </w:rPr>
        <w:t xml:space="preserve">The Government </w:t>
      </w:r>
      <w:r w:rsidR="00764336" w:rsidRPr="00764336">
        <w:rPr>
          <w:rFonts w:ascii="Arial" w:hAnsi="Arial" w:cs="Arial"/>
          <w:i/>
        </w:rPr>
        <w:t>notes</w:t>
      </w:r>
      <w:r w:rsidR="00764336" w:rsidRPr="00764336">
        <w:rPr>
          <w:rFonts w:ascii="Arial" w:hAnsi="Arial" w:cs="Arial"/>
        </w:rPr>
        <w:t xml:space="preserve"> this recommendation. </w:t>
      </w:r>
    </w:p>
    <w:p w:rsidR="00764336" w:rsidRDefault="00764336" w:rsidP="00764336">
      <w:pPr>
        <w:spacing w:after="120"/>
        <w:rPr>
          <w:rFonts w:ascii="Arial" w:hAnsi="Arial" w:cs="Arial"/>
        </w:rPr>
      </w:pPr>
      <w:r w:rsidRPr="00764336">
        <w:rPr>
          <w:rFonts w:ascii="Arial" w:hAnsi="Arial" w:cs="Arial"/>
        </w:rPr>
        <w:t xml:space="preserve">The </w:t>
      </w:r>
      <w:r w:rsidRPr="006623F9">
        <w:rPr>
          <w:rFonts w:ascii="Arial" w:hAnsi="Arial" w:cs="Arial"/>
        </w:rPr>
        <w:t xml:space="preserve">Department </w:t>
      </w:r>
      <w:r>
        <w:rPr>
          <w:rFonts w:ascii="Arial" w:hAnsi="Arial" w:cs="Arial"/>
        </w:rPr>
        <w:t xml:space="preserve">of the Environment and Energy </w:t>
      </w:r>
      <w:r w:rsidRPr="00764336">
        <w:rPr>
          <w:rFonts w:ascii="Arial" w:hAnsi="Arial" w:cs="Arial"/>
        </w:rPr>
        <w:t xml:space="preserve">will </w:t>
      </w:r>
      <w:r w:rsidR="00184687">
        <w:rPr>
          <w:rFonts w:ascii="Arial" w:hAnsi="Arial" w:cs="Arial"/>
        </w:rPr>
        <w:t>further</w:t>
      </w:r>
      <w:r w:rsidR="00184687" w:rsidRPr="006623F9">
        <w:rPr>
          <w:rFonts w:ascii="Arial" w:hAnsi="Arial" w:cs="Arial"/>
        </w:rPr>
        <w:t xml:space="preserve"> </w:t>
      </w:r>
      <w:r w:rsidRPr="00764336">
        <w:rPr>
          <w:rFonts w:ascii="Arial" w:hAnsi="Arial" w:cs="Arial"/>
        </w:rPr>
        <w:t>explore this recommendation in consultation with interested stakeholders.</w:t>
      </w:r>
    </w:p>
    <w:p w:rsidR="000B74BE" w:rsidRPr="00DB1816" w:rsidRDefault="000B74BE" w:rsidP="001E4B44">
      <w:pPr>
        <w:spacing w:after="0"/>
        <w:rPr>
          <w:rFonts w:ascii="Arial" w:hAnsi="Arial" w:cs="Arial"/>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12</w:t>
      </w:r>
    </w:p>
    <w:p w:rsidR="00EC6342" w:rsidRPr="00C53EE6" w:rsidRDefault="001327E0" w:rsidP="00EC6342">
      <w:pPr>
        <w:pBdr>
          <w:top w:val="single" w:sz="4" w:space="1" w:color="auto"/>
          <w:left w:val="single" w:sz="4" w:space="4" w:color="auto"/>
          <w:bottom w:val="single" w:sz="4" w:space="1" w:color="auto"/>
          <w:right w:val="single" w:sz="4" w:space="4" w:color="auto"/>
        </w:pBdr>
        <w:rPr>
          <w:rFonts w:ascii="Arial" w:hAnsi="Arial" w:cs="Arial"/>
          <w:b/>
        </w:rPr>
      </w:pPr>
      <w:r w:rsidRPr="001327E0">
        <w:rPr>
          <w:rFonts w:ascii="Arial" w:hAnsi="Arial" w:cs="Arial"/>
        </w:rPr>
        <w:t>The Department test the feasibility of optional reporting for scope 2 emissions (from electricity use) that accounts for direct s</w:t>
      </w:r>
      <w:r>
        <w:rPr>
          <w:rFonts w:ascii="Arial" w:hAnsi="Arial" w:cs="Arial"/>
        </w:rPr>
        <w:t>ourcing of low-emissions energy</w:t>
      </w:r>
      <w:r w:rsidR="00C53EE6" w:rsidRPr="00C53EE6">
        <w:rPr>
          <w:rFonts w:ascii="Arial" w:hAnsi="Arial" w:cs="Arial"/>
        </w:rPr>
        <w:t>.</w:t>
      </w:r>
    </w:p>
    <w:p w:rsidR="001F1AD1" w:rsidRPr="00764336" w:rsidRDefault="008C57C7" w:rsidP="002F1996">
      <w:pPr>
        <w:spacing w:after="120"/>
        <w:rPr>
          <w:rFonts w:ascii="Arial" w:hAnsi="Arial" w:cs="Arial"/>
        </w:rPr>
      </w:pPr>
      <w:r w:rsidRPr="00C53EE6">
        <w:rPr>
          <w:rFonts w:ascii="Arial" w:hAnsi="Arial" w:cs="Arial"/>
          <w:b/>
        </w:rPr>
        <w:t xml:space="preserve">Response: </w:t>
      </w:r>
      <w:r w:rsidR="00E910A8" w:rsidRPr="00764336">
        <w:rPr>
          <w:rFonts w:ascii="Arial" w:hAnsi="Arial" w:cs="Arial"/>
        </w:rPr>
        <w:t xml:space="preserve">The Government </w:t>
      </w:r>
      <w:r w:rsidR="00E910A8" w:rsidRPr="00764336">
        <w:rPr>
          <w:rFonts w:ascii="Arial" w:hAnsi="Arial" w:cs="Arial"/>
          <w:i/>
        </w:rPr>
        <w:t>accepts</w:t>
      </w:r>
      <w:r w:rsidR="00E910A8" w:rsidRPr="00764336">
        <w:rPr>
          <w:rFonts w:ascii="Arial" w:hAnsi="Arial" w:cs="Arial"/>
        </w:rPr>
        <w:t xml:space="preserve"> this recommendation.</w:t>
      </w:r>
    </w:p>
    <w:p w:rsidR="00E910A8" w:rsidRPr="00764336" w:rsidRDefault="00E910A8" w:rsidP="002F1996">
      <w:pPr>
        <w:spacing w:after="120"/>
        <w:rPr>
          <w:rFonts w:ascii="Arial" w:hAnsi="Arial" w:cs="Arial"/>
        </w:rPr>
      </w:pPr>
      <w:r w:rsidRPr="00764336">
        <w:rPr>
          <w:rFonts w:ascii="Arial" w:hAnsi="Arial" w:cs="Arial"/>
        </w:rPr>
        <w:t xml:space="preserve">The </w:t>
      </w:r>
      <w:r w:rsidR="00764336" w:rsidRPr="006623F9">
        <w:rPr>
          <w:rFonts w:ascii="Arial" w:hAnsi="Arial" w:cs="Arial"/>
        </w:rPr>
        <w:t xml:space="preserve">Department </w:t>
      </w:r>
      <w:r w:rsidR="00764336">
        <w:rPr>
          <w:rFonts w:ascii="Arial" w:hAnsi="Arial" w:cs="Arial"/>
        </w:rPr>
        <w:t xml:space="preserve">of the Environment and Energy </w:t>
      </w:r>
      <w:r w:rsidRPr="00764336">
        <w:rPr>
          <w:rFonts w:ascii="Arial" w:hAnsi="Arial" w:cs="Arial"/>
        </w:rPr>
        <w:t>will test the feasibility of different options for reporting scope 2</w:t>
      </w:r>
      <w:r w:rsidRPr="00E910A8">
        <w:rPr>
          <w:rFonts w:ascii="Arial" w:hAnsi="Arial" w:cs="Arial"/>
        </w:rPr>
        <w:t xml:space="preserve"> emissions (from electricity use) that accounts for direct sourcing of low</w:t>
      </w:r>
      <w:r w:rsidR="00764336">
        <w:rPr>
          <w:rFonts w:ascii="Arial" w:hAnsi="Arial" w:cs="Arial"/>
        </w:rPr>
        <w:noBreakHyphen/>
      </w:r>
      <w:r w:rsidRPr="00E910A8">
        <w:rPr>
          <w:rFonts w:ascii="Arial" w:hAnsi="Arial" w:cs="Arial"/>
        </w:rPr>
        <w:t>emissions energy.</w:t>
      </w:r>
      <w:r>
        <w:rPr>
          <w:rFonts w:ascii="Arial" w:hAnsi="Arial" w:cs="Arial"/>
        </w:rPr>
        <w:t xml:space="preserve"> It will aim to consider the outcomes of the feasibility assessment in the context of the 2019-20 annual review of the </w:t>
      </w:r>
      <w:r w:rsidR="00764336">
        <w:rPr>
          <w:rFonts w:ascii="Arial" w:hAnsi="Arial" w:cs="Arial"/>
        </w:rPr>
        <w:t xml:space="preserve">NGER </w:t>
      </w:r>
      <w:r>
        <w:rPr>
          <w:rFonts w:ascii="Arial" w:hAnsi="Arial" w:cs="Arial"/>
        </w:rPr>
        <w:t>measurement determination.</w:t>
      </w:r>
    </w:p>
    <w:p w:rsidR="007F6ADE" w:rsidRDefault="007F6ADE" w:rsidP="001E4B44">
      <w:pPr>
        <w:tabs>
          <w:tab w:val="left" w:pos="8445"/>
        </w:tabs>
        <w:spacing w:after="0"/>
        <w:rPr>
          <w:rFonts w:ascii="Arial" w:hAnsi="Arial" w:cs="Arial"/>
        </w:rPr>
      </w:pPr>
    </w:p>
    <w:p w:rsidR="00EC6342" w:rsidRPr="00C53EE6" w:rsidRDefault="001E4B44" w:rsidP="00277D58">
      <w:pPr>
        <w:keepNext/>
        <w:pBdr>
          <w:top w:val="single" w:sz="4" w:space="1" w:color="auto"/>
          <w:left w:val="single" w:sz="4" w:space="4" w:color="auto"/>
          <w:bottom w:val="single" w:sz="4" w:space="0" w:color="auto"/>
          <w:right w:val="single" w:sz="4" w:space="4" w:color="auto"/>
        </w:pBdr>
        <w:spacing w:line="257" w:lineRule="auto"/>
        <w:rPr>
          <w:rFonts w:ascii="Arial" w:hAnsi="Arial" w:cs="Arial"/>
          <w:b/>
        </w:rPr>
      </w:pPr>
      <w:r>
        <w:rPr>
          <w:rFonts w:ascii="Arial" w:hAnsi="Arial" w:cs="Arial"/>
          <w:b/>
        </w:rPr>
        <w:t>R</w:t>
      </w:r>
      <w:r w:rsidR="00EC6342" w:rsidRPr="00C53EE6">
        <w:rPr>
          <w:rFonts w:ascii="Arial" w:hAnsi="Arial" w:cs="Arial"/>
          <w:b/>
        </w:rPr>
        <w:t>ecommendation 13</w:t>
      </w:r>
    </w:p>
    <w:p w:rsidR="00EC6342" w:rsidRPr="00C53EE6" w:rsidRDefault="001327E0" w:rsidP="00EC6342">
      <w:pPr>
        <w:pBdr>
          <w:top w:val="single" w:sz="4" w:space="1" w:color="auto"/>
          <w:left w:val="single" w:sz="4" w:space="4" w:color="auto"/>
          <w:bottom w:val="single" w:sz="4" w:space="0" w:color="auto"/>
          <w:right w:val="single" w:sz="4" w:space="4" w:color="auto"/>
        </w:pBdr>
        <w:rPr>
          <w:rFonts w:ascii="Arial" w:hAnsi="Arial" w:cs="Arial"/>
          <w:b/>
        </w:rPr>
      </w:pPr>
      <w:r w:rsidRPr="001327E0">
        <w:rPr>
          <w:rFonts w:ascii="Arial" w:hAnsi="Arial" w:cs="Arial"/>
        </w:rPr>
        <w:t>The Regulator, supported by the Department, be allocated funding to enhance the dataset for time series analysis. The dataset should be updated each year within three months of the data being reported, fo</w:t>
      </w:r>
      <w:r>
        <w:rPr>
          <w:rFonts w:ascii="Arial" w:hAnsi="Arial" w:cs="Arial"/>
        </w:rPr>
        <w:t>r use by Australian governments</w:t>
      </w:r>
      <w:r w:rsidR="00C53EE6" w:rsidRPr="00C53EE6">
        <w:rPr>
          <w:rFonts w:ascii="Arial" w:hAnsi="Arial" w:cs="Arial"/>
        </w:rPr>
        <w:t>.</w:t>
      </w:r>
    </w:p>
    <w:p w:rsidR="008C57C7" w:rsidRDefault="008C57C7" w:rsidP="008C57C7">
      <w:pPr>
        <w:spacing w:after="120"/>
        <w:rPr>
          <w:rFonts w:ascii="Arial" w:hAnsi="Arial" w:cs="Arial"/>
        </w:rPr>
      </w:pPr>
      <w:r w:rsidRPr="00C53EE6">
        <w:rPr>
          <w:rFonts w:ascii="Arial" w:hAnsi="Arial" w:cs="Arial"/>
          <w:b/>
        </w:rPr>
        <w:t xml:space="preserve">Response: </w:t>
      </w:r>
      <w:r w:rsidRPr="00C53EE6">
        <w:rPr>
          <w:rFonts w:ascii="Arial" w:hAnsi="Arial" w:cs="Arial"/>
        </w:rPr>
        <w:t xml:space="preserve">The Government </w:t>
      </w:r>
      <w:r w:rsidR="00184687">
        <w:rPr>
          <w:rFonts w:ascii="Arial" w:hAnsi="Arial" w:cs="Arial"/>
          <w:i/>
        </w:rPr>
        <w:t>notes</w:t>
      </w:r>
      <w:r w:rsidR="00553281">
        <w:rPr>
          <w:rFonts w:ascii="Arial" w:hAnsi="Arial" w:cs="Arial"/>
        </w:rPr>
        <w:t xml:space="preserve"> </w:t>
      </w:r>
      <w:r w:rsidRPr="00C53EE6">
        <w:rPr>
          <w:rFonts w:ascii="Arial" w:hAnsi="Arial" w:cs="Arial"/>
        </w:rPr>
        <w:t xml:space="preserve">this </w:t>
      </w:r>
      <w:r w:rsidR="00FA0E88" w:rsidRPr="00C53EE6">
        <w:rPr>
          <w:rFonts w:ascii="Arial" w:hAnsi="Arial" w:cs="Arial"/>
        </w:rPr>
        <w:t>recommendation</w:t>
      </w:r>
      <w:r w:rsidRPr="00C53EE6">
        <w:rPr>
          <w:rFonts w:ascii="Arial" w:hAnsi="Arial" w:cs="Arial"/>
        </w:rPr>
        <w:t>.</w:t>
      </w:r>
    </w:p>
    <w:p w:rsidR="00302927" w:rsidRPr="00C53EE6" w:rsidRDefault="00302927" w:rsidP="00302927">
      <w:pPr>
        <w:spacing w:after="120"/>
        <w:rPr>
          <w:rFonts w:ascii="Arial" w:hAnsi="Arial" w:cs="Arial"/>
        </w:rPr>
      </w:pPr>
      <w:r w:rsidRPr="005C365D">
        <w:rPr>
          <w:rFonts w:ascii="Arial" w:hAnsi="Arial" w:cs="Arial"/>
        </w:rPr>
        <w:t xml:space="preserve">The Clean Energy Regulator </w:t>
      </w:r>
      <w:r>
        <w:rPr>
          <w:rFonts w:ascii="Arial" w:hAnsi="Arial" w:cs="Arial"/>
        </w:rPr>
        <w:t>intends</w:t>
      </w:r>
      <w:r w:rsidRPr="005C365D">
        <w:rPr>
          <w:rFonts w:ascii="Arial" w:hAnsi="Arial" w:cs="Arial"/>
        </w:rPr>
        <w:t xml:space="preserve"> to progressively improve data quality requirements within the Emissions and Energy Reporting System </w:t>
      </w:r>
      <w:r w:rsidR="00FD1A1F">
        <w:rPr>
          <w:rFonts w:ascii="Arial" w:hAnsi="Arial" w:cs="Arial"/>
        </w:rPr>
        <w:t xml:space="preserve">as funds become available </w:t>
      </w:r>
      <w:r w:rsidRPr="005C365D">
        <w:rPr>
          <w:rFonts w:ascii="Arial" w:hAnsi="Arial" w:cs="Arial"/>
        </w:rPr>
        <w:t xml:space="preserve">to ensure that reporters take responsibility for submitting accurate data and to reduce the future need for data </w:t>
      </w:r>
      <w:r w:rsidR="00124423">
        <w:rPr>
          <w:rFonts w:ascii="Arial" w:hAnsi="Arial" w:cs="Arial"/>
        </w:rPr>
        <w:t>refinement</w:t>
      </w:r>
      <w:r w:rsidR="00124423" w:rsidRPr="005C365D">
        <w:rPr>
          <w:rFonts w:ascii="Arial" w:hAnsi="Arial" w:cs="Arial"/>
        </w:rPr>
        <w:t xml:space="preserve"> </w:t>
      </w:r>
      <w:r w:rsidRPr="005C365D">
        <w:rPr>
          <w:rFonts w:ascii="Arial" w:hAnsi="Arial" w:cs="Arial"/>
        </w:rPr>
        <w:t>activities.</w:t>
      </w:r>
    </w:p>
    <w:p w:rsidR="005C365D" w:rsidRPr="00C53EE6" w:rsidRDefault="00FD1A1F" w:rsidP="008C57C7">
      <w:pPr>
        <w:spacing w:after="120"/>
        <w:rPr>
          <w:rFonts w:ascii="Arial" w:hAnsi="Arial" w:cs="Arial"/>
        </w:rPr>
      </w:pPr>
      <w:r>
        <w:rPr>
          <w:rFonts w:ascii="Arial" w:hAnsi="Arial" w:cs="Arial"/>
        </w:rPr>
        <w:t>Refining</w:t>
      </w:r>
      <w:r w:rsidR="005C365D" w:rsidRPr="005C365D">
        <w:rPr>
          <w:rFonts w:ascii="Arial" w:hAnsi="Arial" w:cs="Arial"/>
        </w:rPr>
        <w:t xml:space="preserve"> a subset of the NGER data has commenced through a project under the Data and Integration Partnership for Australia funded by the Department of </w:t>
      </w:r>
      <w:r w:rsidR="00184687">
        <w:rPr>
          <w:rFonts w:ascii="Arial" w:hAnsi="Arial" w:cs="Arial"/>
        </w:rPr>
        <w:t xml:space="preserve">the </w:t>
      </w:r>
      <w:r w:rsidR="005C365D" w:rsidRPr="005C365D">
        <w:rPr>
          <w:rFonts w:ascii="Arial" w:hAnsi="Arial" w:cs="Arial"/>
        </w:rPr>
        <w:t xml:space="preserve">Prime Minister and </w:t>
      </w:r>
      <w:r w:rsidR="005C365D" w:rsidRPr="005C365D">
        <w:rPr>
          <w:rFonts w:ascii="Arial" w:hAnsi="Arial" w:cs="Arial"/>
        </w:rPr>
        <w:lastRenderedPageBreak/>
        <w:t>Cabinet</w:t>
      </w:r>
      <w:r w:rsidR="00302927">
        <w:rPr>
          <w:rFonts w:ascii="Arial" w:hAnsi="Arial" w:cs="Arial"/>
        </w:rPr>
        <w:t xml:space="preserve"> and </w:t>
      </w:r>
      <w:r>
        <w:rPr>
          <w:rFonts w:ascii="Arial" w:hAnsi="Arial" w:cs="Arial"/>
        </w:rPr>
        <w:t xml:space="preserve">further </w:t>
      </w:r>
      <w:r w:rsidR="00124423">
        <w:rPr>
          <w:rFonts w:ascii="Arial" w:hAnsi="Arial" w:cs="Arial"/>
        </w:rPr>
        <w:t>refinement</w:t>
      </w:r>
      <w:r w:rsidR="00124423" w:rsidRPr="005C365D">
        <w:rPr>
          <w:rFonts w:ascii="Arial" w:hAnsi="Arial" w:cs="Arial"/>
        </w:rPr>
        <w:t xml:space="preserve"> </w:t>
      </w:r>
      <w:r w:rsidR="005C365D" w:rsidRPr="005C365D">
        <w:rPr>
          <w:rFonts w:ascii="Arial" w:hAnsi="Arial" w:cs="Arial"/>
        </w:rPr>
        <w:t xml:space="preserve">work </w:t>
      </w:r>
      <w:r>
        <w:rPr>
          <w:rFonts w:ascii="Arial" w:hAnsi="Arial" w:cs="Arial"/>
        </w:rPr>
        <w:t xml:space="preserve">on time series analysis </w:t>
      </w:r>
      <w:r w:rsidR="005C365D" w:rsidRPr="005C365D">
        <w:rPr>
          <w:rFonts w:ascii="Arial" w:hAnsi="Arial" w:cs="Arial"/>
        </w:rPr>
        <w:t xml:space="preserve">for the remaining dataset is underway in the </w:t>
      </w:r>
      <w:r w:rsidR="00764336">
        <w:rPr>
          <w:rFonts w:ascii="Arial" w:hAnsi="Arial" w:cs="Arial"/>
        </w:rPr>
        <w:t>Regulator</w:t>
      </w:r>
      <w:r w:rsidR="005C365D" w:rsidRPr="005C365D">
        <w:rPr>
          <w:rFonts w:ascii="Arial" w:hAnsi="Arial" w:cs="Arial"/>
        </w:rPr>
        <w:t xml:space="preserve">. </w:t>
      </w:r>
    </w:p>
    <w:p w:rsidR="00EF4B15" w:rsidRPr="00DB1816" w:rsidRDefault="00EF4B15" w:rsidP="001E4B44">
      <w:pPr>
        <w:tabs>
          <w:tab w:val="left" w:pos="8445"/>
        </w:tabs>
        <w:spacing w:after="0"/>
        <w:rPr>
          <w:rFonts w:ascii="Arial" w:hAnsi="Arial" w:cs="Arial"/>
        </w:rPr>
      </w:pPr>
    </w:p>
    <w:p w:rsidR="00EC6342" w:rsidRPr="00C53EE6" w:rsidRDefault="00EC6342" w:rsidP="00277D58">
      <w:pPr>
        <w:keepNext/>
        <w:pBdr>
          <w:top w:val="single" w:sz="4" w:space="1" w:color="auto"/>
          <w:left w:val="single" w:sz="4" w:space="4" w:color="auto"/>
          <w:bottom w:val="single" w:sz="4" w:space="1" w:color="auto"/>
          <w:right w:val="single" w:sz="4" w:space="4" w:color="auto"/>
        </w:pBdr>
        <w:spacing w:line="257" w:lineRule="auto"/>
        <w:rPr>
          <w:rFonts w:ascii="Arial" w:hAnsi="Arial" w:cs="Arial"/>
          <w:b/>
        </w:rPr>
      </w:pPr>
      <w:r w:rsidRPr="00C53EE6">
        <w:rPr>
          <w:rFonts w:ascii="Arial" w:hAnsi="Arial" w:cs="Arial"/>
          <w:b/>
        </w:rPr>
        <w:t>Recommendation 14</w:t>
      </w:r>
    </w:p>
    <w:p w:rsidR="00EC6342" w:rsidRPr="00C53EE6" w:rsidRDefault="001327E0" w:rsidP="00EC6342">
      <w:pPr>
        <w:pBdr>
          <w:top w:val="single" w:sz="4" w:space="1" w:color="auto"/>
          <w:left w:val="single" w:sz="4" w:space="4" w:color="auto"/>
          <w:bottom w:val="single" w:sz="4" w:space="1" w:color="auto"/>
          <w:right w:val="single" w:sz="4" w:space="4" w:color="auto"/>
        </w:pBdr>
        <w:rPr>
          <w:rFonts w:ascii="Arial" w:hAnsi="Arial" w:cs="Arial"/>
          <w:b/>
        </w:rPr>
      </w:pPr>
      <w:r w:rsidRPr="001327E0">
        <w:rPr>
          <w:rFonts w:ascii="Arial" w:hAnsi="Arial" w:cs="Arial"/>
        </w:rPr>
        <w:t>The Government legislate arrangements to ensure the Regulator retains its ability to disseminate emissions and energy information obtained prior to 2 April 2012 and Australian Government ministers and agencies retain their abil</w:t>
      </w:r>
      <w:r>
        <w:rPr>
          <w:rFonts w:ascii="Arial" w:hAnsi="Arial" w:cs="Arial"/>
        </w:rPr>
        <w:t>ity to publish this information</w:t>
      </w:r>
      <w:r w:rsidR="00C53EE6" w:rsidRPr="00C53EE6">
        <w:rPr>
          <w:rFonts w:ascii="Arial" w:hAnsi="Arial" w:cs="Arial"/>
        </w:rPr>
        <w:t>.</w:t>
      </w:r>
    </w:p>
    <w:p w:rsidR="00CC77F0" w:rsidRPr="00CC77F0" w:rsidRDefault="008C57C7" w:rsidP="00CC77F0">
      <w:pPr>
        <w:spacing w:after="120"/>
        <w:rPr>
          <w:rFonts w:ascii="Arial" w:eastAsia="Calibri" w:hAnsi="Arial" w:cs="Arial"/>
        </w:rPr>
      </w:pPr>
      <w:r w:rsidRPr="00C53EE6">
        <w:rPr>
          <w:rFonts w:ascii="Arial" w:hAnsi="Arial" w:cs="Arial"/>
          <w:b/>
        </w:rPr>
        <w:t>Response:</w:t>
      </w:r>
      <w:r w:rsidR="00764336">
        <w:rPr>
          <w:rFonts w:ascii="Arial" w:hAnsi="Arial" w:cs="Arial"/>
          <w:b/>
        </w:rPr>
        <w:t xml:space="preserve"> </w:t>
      </w:r>
      <w:r w:rsidR="00CC77F0" w:rsidRPr="00CC77F0">
        <w:rPr>
          <w:rFonts w:ascii="Arial" w:hAnsi="Arial" w:cs="Arial"/>
        </w:rPr>
        <w:t xml:space="preserve">The Government </w:t>
      </w:r>
      <w:r w:rsidR="00CC77F0" w:rsidRPr="00764336">
        <w:rPr>
          <w:rFonts w:ascii="Arial" w:hAnsi="Arial" w:cs="Arial"/>
          <w:i/>
        </w:rPr>
        <w:t>accepts</w:t>
      </w:r>
      <w:r w:rsidR="00CC77F0" w:rsidRPr="00CC77F0">
        <w:rPr>
          <w:rFonts w:ascii="Arial" w:hAnsi="Arial" w:cs="Arial"/>
        </w:rPr>
        <w:t xml:space="preserve"> this recommendation.</w:t>
      </w:r>
    </w:p>
    <w:p w:rsidR="00A03AB2" w:rsidRDefault="00CC77F0" w:rsidP="002F1996">
      <w:pPr>
        <w:spacing w:after="120"/>
        <w:rPr>
          <w:rFonts w:ascii="Arial" w:hAnsi="Arial" w:cs="Arial"/>
        </w:rPr>
      </w:pPr>
      <w:r w:rsidRPr="00764336">
        <w:rPr>
          <w:rFonts w:ascii="Arial" w:hAnsi="Arial" w:cs="Arial"/>
        </w:rPr>
        <w:t xml:space="preserve">The </w:t>
      </w:r>
      <w:r w:rsidR="00764336" w:rsidRPr="006623F9">
        <w:rPr>
          <w:rFonts w:ascii="Arial" w:hAnsi="Arial" w:cs="Arial"/>
        </w:rPr>
        <w:t xml:space="preserve">Department </w:t>
      </w:r>
      <w:r w:rsidR="00764336">
        <w:rPr>
          <w:rFonts w:ascii="Arial" w:hAnsi="Arial" w:cs="Arial"/>
        </w:rPr>
        <w:t xml:space="preserve">of the Environment and Energy </w:t>
      </w:r>
      <w:r w:rsidRPr="00764336">
        <w:rPr>
          <w:rFonts w:ascii="Arial" w:hAnsi="Arial" w:cs="Arial"/>
        </w:rPr>
        <w:t xml:space="preserve">will investigate the most appropriate mechanism to ensure that this information can continue to be disseminated and published. </w:t>
      </w:r>
    </w:p>
    <w:p w:rsidR="00764336" w:rsidRDefault="00764336" w:rsidP="001E4B44">
      <w:pPr>
        <w:spacing w:after="0"/>
        <w:rPr>
          <w:rFonts w:ascii="Arial" w:hAnsi="Arial" w:cs="Arial"/>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15</w:t>
      </w:r>
    </w:p>
    <w:p w:rsidR="00EC6342" w:rsidRPr="00C53EE6" w:rsidRDefault="003C7F55" w:rsidP="00EC6342">
      <w:pPr>
        <w:pBdr>
          <w:top w:val="single" w:sz="4" w:space="1" w:color="auto"/>
          <w:left w:val="single" w:sz="4" w:space="4" w:color="auto"/>
          <w:bottom w:val="single" w:sz="4" w:space="1" w:color="auto"/>
          <w:right w:val="single" w:sz="4" w:space="4" w:color="auto"/>
        </w:pBdr>
        <w:rPr>
          <w:rFonts w:ascii="Arial" w:hAnsi="Arial" w:cs="Arial"/>
          <w:b/>
        </w:rPr>
      </w:pPr>
      <w:r w:rsidRPr="003C7F55">
        <w:rPr>
          <w:rFonts w:ascii="Arial" w:hAnsi="Arial" w:cs="Arial"/>
        </w:rPr>
        <w:t>The Regulator identify ways to better meet data users’ needs by publishing more detailed analyses of key findings and trends, increasing the volume of data reported publicly and improving the presentation of data on th</w:t>
      </w:r>
      <w:r>
        <w:rPr>
          <w:rFonts w:ascii="Arial" w:hAnsi="Arial" w:cs="Arial"/>
        </w:rPr>
        <w:t>e website</w:t>
      </w:r>
      <w:r w:rsidR="00C53EE6" w:rsidRPr="00C53EE6">
        <w:rPr>
          <w:rFonts w:ascii="Arial" w:hAnsi="Arial" w:cs="Arial"/>
        </w:rPr>
        <w:t>.</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DB1816">
        <w:rPr>
          <w:rFonts w:ascii="Arial" w:hAnsi="Arial" w:cs="Arial"/>
        </w:rPr>
        <w:t xml:space="preserve">The Government </w:t>
      </w:r>
      <w:r w:rsidR="0057099D">
        <w:rPr>
          <w:rFonts w:ascii="Arial" w:hAnsi="Arial" w:cs="Arial"/>
          <w:i/>
        </w:rPr>
        <w:t xml:space="preserve">accepts </w:t>
      </w:r>
      <w:r w:rsidRPr="00C53EE6">
        <w:rPr>
          <w:rFonts w:ascii="Arial" w:hAnsi="Arial" w:cs="Arial"/>
        </w:rPr>
        <w:t xml:space="preserve">this </w:t>
      </w:r>
      <w:r w:rsidR="00FA0E88" w:rsidRPr="00C53EE6">
        <w:rPr>
          <w:rFonts w:ascii="Arial" w:hAnsi="Arial" w:cs="Arial"/>
        </w:rPr>
        <w:t>recommendation</w:t>
      </w:r>
      <w:r w:rsidRPr="00C53EE6">
        <w:rPr>
          <w:rFonts w:ascii="Arial" w:hAnsi="Arial" w:cs="Arial"/>
        </w:rPr>
        <w:t>.</w:t>
      </w:r>
    </w:p>
    <w:p w:rsidR="00B76853" w:rsidRDefault="005C365D" w:rsidP="008C57C7">
      <w:pPr>
        <w:tabs>
          <w:tab w:val="left" w:pos="8445"/>
        </w:tabs>
        <w:rPr>
          <w:rFonts w:ascii="Arial" w:hAnsi="Arial" w:cs="Arial"/>
        </w:rPr>
      </w:pPr>
      <w:r w:rsidRPr="005C365D">
        <w:rPr>
          <w:rFonts w:ascii="Arial" w:hAnsi="Arial" w:cs="Arial"/>
        </w:rPr>
        <w:t xml:space="preserve">The Clean Energy Regulator </w:t>
      </w:r>
      <w:r w:rsidR="00764336">
        <w:rPr>
          <w:rFonts w:ascii="Arial" w:hAnsi="Arial" w:cs="Arial"/>
        </w:rPr>
        <w:t xml:space="preserve">has commenced engagement with </w:t>
      </w:r>
      <w:r w:rsidRPr="005C365D">
        <w:rPr>
          <w:rFonts w:ascii="Arial" w:hAnsi="Arial" w:cs="Arial"/>
        </w:rPr>
        <w:t>data users</w:t>
      </w:r>
      <w:r w:rsidR="00764336">
        <w:rPr>
          <w:rFonts w:ascii="Arial" w:hAnsi="Arial" w:cs="Arial"/>
        </w:rPr>
        <w:t xml:space="preserve"> to identify </w:t>
      </w:r>
      <w:r w:rsidR="00900730">
        <w:rPr>
          <w:rFonts w:ascii="Arial" w:hAnsi="Arial" w:cs="Arial"/>
        </w:rPr>
        <w:t>their</w:t>
      </w:r>
      <w:r w:rsidR="00764336">
        <w:rPr>
          <w:rFonts w:ascii="Arial" w:hAnsi="Arial" w:cs="Arial"/>
        </w:rPr>
        <w:t xml:space="preserve"> needs and priorities. B</w:t>
      </w:r>
      <w:r w:rsidRPr="005C365D">
        <w:rPr>
          <w:rFonts w:ascii="Arial" w:hAnsi="Arial" w:cs="Arial"/>
        </w:rPr>
        <w:t xml:space="preserve">ased on this information </w:t>
      </w:r>
      <w:r w:rsidR="00900730">
        <w:rPr>
          <w:rFonts w:ascii="Arial" w:hAnsi="Arial" w:cs="Arial"/>
        </w:rPr>
        <w:t xml:space="preserve">the Regulator will </w:t>
      </w:r>
      <w:r w:rsidR="00FD1A1F">
        <w:rPr>
          <w:rFonts w:ascii="Arial" w:hAnsi="Arial" w:cs="Arial"/>
        </w:rPr>
        <w:t xml:space="preserve">progressively </w:t>
      </w:r>
      <w:r w:rsidRPr="005C365D">
        <w:rPr>
          <w:rFonts w:ascii="Arial" w:hAnsi="Arial" w:cs="Arial"/>
        </w:rPr>
        <w:t xml:space="preserve">publish more useful key findings and trends. Several new data publications and a review of data on the </w:t>
      </w:r>
      <w:r w:rsidR="00900730">
        <w:rPr>
          <w:rFonts w:ascii="Arial" w:hAnsi="Arial" w:cs="Arial"/>
        </w:rPr>
        <w:t>Regulator’s</w:t>
      </w:r>
      <w:r w:rsidRPr="005C365D">
        <w:rPr>
          <w:rFonts w:ascii="Arial" w:hAnsi="Arial" w:cs="Arial"/>
        </w:rPr>
        <w:t xml:space="preserve"> website has already been planned for</w:t>
      </w:r>
      <w:r w:rsidR="00184687">
        <w:rPr>
          <w:rFonts w:ascii="Arial" w:hAnsi="Arial" w:cs="Arial"/>
        </w:rPr>
        <w:t xml:space="preserve"> later in</w:t>
      </w:r>
      <w:r w:rsidRPr="005C365D">
        <w:rPr>
          <w:rFonts w:ascii="Arial" w:hAnsi="Arial" w:cs="Arial"/>
        </w:rPr>
        <w:t xml:space="preserve"> 2019.</w:t>
      </w:r>
    </w:p>
    <w:p w:rsidR="00764336" w:rsidRDefault="00764336" w:rsidP="001E4B44">
      <w:pPr>
        <w:tabs>
          <w:tab w:val="left" w:pos="8445"/>
        </w:tabs>
        <w:spacing w:after="0"/>
        <w:rPr>
          <w:rFonts w:ascii="Arial" w:hAnsi="Arial" w:cs="Arial"/>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16</w:t>
      </w:r>
    </w:p>
    <w:p w:rsidR="00EC6342" w:rsidRPr="00C53EE6" w:rsidRDefault="003C7F55" w:rsidP="00EC6342">
      <w:pPr>
        <w:pBdr>
          <w:top w:val="single" w:sz="4" w:space="1" w:color="auto"/>
          <w:left w:val="single" w:sz="4" w:space="4" w:color="auto"/>
          <w:bottom w:val="single" w:sz="4" w:space="1" w:color="auto"/>
          <w:right w:val="single" w:sz="4" w:space="4" w:color="auto"/>
        </w:pBdr>
        <w:rPr>
          <w:rFonts w:ascii="Arial" w:hAnsi="Arial" w:cs="Arial"/>
          <w:b/>
        </w:rPr>
      </w:pPr>
      <w:r w:rsidRPr="003C7F55">
        <w:rPr>
          <w:rFonts w:ascii="Arial" w:hAnsi="Arial" w:cs="Arial"/>
        </w:rPr>
        <w:t>The Regulator update baselines to reflect changes to the measurement determination that lead to a material d</w:t>
      </w:r>
      <w:r>
        <w:rPr>
          <w:rFonts w:ascii="Arial" w:hAnsi="Arial" w:cs="Arial"/>
        </w:rPr>
        <w:t>ifference in reported emissions</w:t>
      </w:r>
      <w:r w:rsidR="00C53EE6" w:rsidRPr="00C53EE6">
        <w:rPr>
          <w:rFonts w:ascii="Arial" w:hAnsi="Arial" w:cs="Arial"/>
        </w:rPr>
        <w:t>.</w:t>
      </w:r>
    </w:p>
    <w:p w:rsidR="00380551" w:rsidRDefault="008C57C7" w:rsidP="00380551">
      <w:pPr>
        <w:spacing w:after="120"/>
        <w:rPr>
          <w:rFonts w:ascii="Arial" w:hAnsi="Arial" w:cs="Arial"/>
          <w:b/>
        </w:rPr>
      </w:pPr>
      <w:r w:rsidRPr="00C53EE6">
        <w:rPr>
          <w:rFonts w:ascii="Arial" w:hAnsi="Arial" w:cs="Arial"/>
          <w:b/>
        </w:rPr>
        <w:t xml:space="preserve">Response: </w:t>
      </w:r>
      <w:r w:rsidR="00380551" w:rsidRPr="006623F9">
        <w:rPr>
          <w:rFonts w:ascii="Arial" w:hAnsi="Arial" w:cs="Arial"/>
        </w:rPr>
        <w:t xml:space="preserve">The Government </w:t>
      </w:r>
      <w:r w:rsidR="00380551" w:rsidRPr="006623F9">
        <w:rPr>
          <w:rFonts w:ascii="Arial" w:hAnsi="Arial" w:cs="Arial"/>
          <w:i/>
        </w:rPr>
        <w:t>accepts in part</w:t>
      </w:r>
      <w:r w:rsidR="00380551" w:rsidRPr="006623F9">
        <w:rPr>
          <w:rFonts w:ascii="Arial" w:hAnsi="Arial" w:cs="Arial"/>
        </w:rPr>
        <w:t xml:space="preserve"> this recommendation</w:t>
      </w:r>
    </w:p>
    <w:p w:rsidR="004C264B" w:rsidRDefault="004C264B" w:rsidP="004C264B">
      <w:pPr>
        <w:tabs>
          <w:tab w:val="left" w:pos="8445"/>
        </w:tabs>
        <w:rPr>
          <w:rFonts w:ascii="Arial" w:hAnsi="Arial" w:cs="Arial"/>
        </w:rPr>
      </w:pPr>
      <w:r w:rsidRPr="004C264B">
        <w:rPr>
          <w:rFonts w:ascii="Arial" w:hAnsi="Arial" w:cs="Arial"/>
        </w:rPr>
        <w:t xml:space="preserve">In March 2019, the Government amended the Safeguard Rule to make it simpler and fairer. </w:t>
      </w:r>
      <w:r w:rsidR="002657D3">
        <w:rPr>
          <w:rFonts w:ascii="Arial" w:hAnsi="Arial" w:cs="Arial"/>
        </w:rPr>
        <w:t xml:space="preserve">As facilities transition to calculated baselines during </w:t>
      </w:r>
      <w:r w:rsidR="000A236A">
        <w:rPr>
          <w:rFonts w:ascii="Arial" w:hAnsi="Arial" w:cs="Arial"/>
        </w:rPr>
        <w:t>20</w:t>
      </w:r>
      <w:r w:rsidR="002657D3">
        <w:rPr>
          <w:rFonts w:ascii="Arial" w:hAnsi="Arial" w:cs="Arial"/>
        </w:rPr>
        <w:t xml:space="preserve">18-19 and </w:t>
      </w:r>
      <w:r w:rsidR="000A236A">
        <w:rPr>
          <w:rFonts w:ascii="Arial" w:hAnsi="Arial" w:cs="Arial"/>
        </w:rPr>
        <w:t>20</w:t>
      </w:r>
      <w:r w:rsidR="002657D3">
        <w:rPr>
          <w:rFonts w:ascii="Arial" w:hAnsi="Arial" w:cs="Arial"/>
        </w:rPr>
        <w:t xml:space="preserve">19-20, </w:t>
      </w:r>
      <w:r w:rsidR="000A236A">
        <w:rPr>
          <w:rFonts w:ascii="Arial" w:hAnsi="Arial" w:cs="Arial"/>
        </w:rPr>
        <w:t>these</w:t>
      </w:r>
      <w:r w:rsidR="002657D3">
        <w:rPr>
          <w:rFonts w:ascii="Arial" w:hAnsi="Arial" w:cs="Arial"/>
        </w:rPr>
        <w:t xml:space="preserve"> baselines will reflect the latest measurement determination. The amendments introduce an option to use default emissions intensity values to set baselines. Default values will be updated to reflect material changes to the measurement determination. Baselines for facilities using the default values will therefore reflect these changes. Facilities have the option to use default emissions intensity values at any time.</w:t>
      </w:r>
    </w:p>
    <w:p w:rsidR="001E4B44" w:rsidRPr="004C264B" w:rsidRDefault="001E4B44" w:rsidP="001E4B44">
      <w:pPr>
        <w:tabs>
          <w:tab w:val="left" w:pos="8445"/>
        </w:tabs>
        <w:spacing w:after="0"/>
        <w:rPr>
          <w:rFonts w:ascii="Arial" w:hAnsi="Arial" w:cs="Arial"/>
        </w:rPr>
      </w:pPr>
    </w:p>
    <w:p w:rsidR="00EC6342" w:rsidRPr="00C53EE6" w:rsidRDefault="00EC6342" w:rsidP="00EC6342">
      <w:pPr>
        <w:pBdr>
          <w:top w:val="single" w:sz="4" w:space="1" w:color="auto"/>
          <w:left w:val="single" w:sz="4" w:space="4" w:color="auto"/>
          <w:bottom w:val="single" w:sz="4" w:space="0" w:color="auto"/>
          <w:right w:val="single" w:sz="4" w:space="4" w:color="auto"/>
        </w:pBdr>
        <w:rPr>
          <w:rFonts w:ascii="Arial" w:hAnsi="Arial" w:cs="Arial"/>
          <w:b/>
        </w:rPr>
      </w:pPr>
      <w:r w:rsidRPr="00C53EE6">
        <w:rPr>
          <w:rFonts w:ascii="Arial" w:hAnsi="Arial" w:cs="Arial"/>
          <w:b/>
        </w:rPr>
        <w:t>Recommendation 17</w:t>
      </w:r>
    </w:p>
    <w:p w:rsidR="00EC6342" w:rsidRPr="00C53EE6" w:rsidRDefault="003C7F55" w:rsidP="00EC6342">
      <w:pPr>
        <w:pBdr>
          <w:top w:val="single" w:sz="4" w:space="1" w:color="auto"/>
          <w:left w:val="single" w:sz="4" w:space="4" w:color="auto"/>
          <w:bottom w:val="single" w:sz="4" w:space="0" w:color="auto"/>
          <w:right w:val="single" w:sz="4" w:space="4" w:color="auto"/>
        </w:pBdr>
        <w:rPr>
          <w:rFonts w:ascii="Arial" w:hAnsi="Arial" w:cs="Arial"/>
          <w:b/>
        </w:rPr>
      </w:pPr>
      <w:r w:rsidRPr="003C7F55">
        <w:rPr>
          <w:rFonts w:ascii="Arial" w:hAnsi="Arial" w:cs="Arial"/>
        </w:rPr>
        <w:t>The Regulator continue to pursue opportunities to increase information available about the market for Aust</w:t>
      </w:r>
      <w:r>
        <w:rPr>
          <w:rFonts w:ascii="Arial" w:hAnsi="Arial" w:cs="Arial"/>
        </w:rPr>
        <w:t>ralian Carbon Credit Units</w:t>
      </w:r>
      <w:r w:rsidR="00C53EE6" w:rsidRPr="00C53EE6">
        <w:rPr>
          <w:rFonts w:ascii="Arial" w:hAnsi="Arial" w:cs="Arial"/>
        </w:rPr>
        <w:t>.</w:t>
      </w:r>
    </w:p>
    <w:p w:rsidR="00380551" w:rsidRDefault="008C57C7" w:rsidP="00380551">
      <w:pPr>
        <w:spacing w:after="120"/>
        <w:rPr>
          <w:rFonts w:ascii="Arial" w:hAnsi="Arial" w:cs="Arial"/>
        </w:rPr>
      </w:pPr>
      <w:r w:rsidRPr="00C53EE6">
        <w:rPr>
          <w:rFonts w:ascii="Arial" w:hAnsi="Arial" w:cs="Arial"/>
          <w:b/>
        </w:rPr>
        <w:t xml:space="preserve">Response: </w:t>
      </w:r>
      <w:r w:rsidR="00380551">
        <w:rPr>
          <w:rFonts w:ascii="Arial" w:hAnsi="Arial" w:cs="Arial"/>
        </w:rPr>
        <w:t xml:space="preserve">The Government </w:t>
      </w:r>
      <w:r w:rsidR="00380551">
        <w:rPr>
          <w:rFonts w:ascii="Arial" w:hAnsi="Arial" w:cs="Arial"/>
          <w:i/>
        </w:rPr>
        <w:t>accepts</w:t>
      </w:r>
      <w:r w:rsidR="00380551">
        <w:rPr>
          <w:rFonts w:ascii="Arial" w:hAnsi="Arial" w:cs="Arial"/>
        </w:rPr>
        <w:t xml:space="preserve"> </w:t>
      </w:r>
      <w:r w:rsidR="00380551" w:rsidRPr="00C53EE6">
        <w:rPr>
          <w:rFonts w:ascii="Arial" w:hAnsi="Arial" w:cs="Arial"/>
        </w:rPr>
        <w:t>this recommendation.</w:t>
      </w:r>
    </w:p>
    <w:p w:rsidR="00B83D02" w:rsidRPr="00900730" w:rsidRDefault="00380551" w:rsidP="00900730">
      <w:pPr>
        <w:tabs>
          <w:tab w:val="left" w:pos="8445"/>
        </w:tabs>
        <w:rPr>
          <w:rFonts w:ascii="Arial" w:hAnsi="Arial" w:cs="Arial"/>
        </w:rPr>
      </w:pPr>
      <w:r w:rsidRPr="00B83D02">
        <w:rPr>
          <w:rFonts w:ascii="Arial" w:hAnsi="Arial" w:cs="Arial"/>
        </w:rPr>
        <w:t>In March 2019</w:t>
      </w:r>
      <w:r w:rsidR="00B953E0">
        <w:rPr>
          <w:rFonts w:ascii="Arial" w:hAnsi="Arial" w:cs="Arial"/>
        </w:rPr>
        <w:t>,</w:t>
      </w:r>
      <w:r w:rsidRPr="00B83D02">
        <w:rPr>
          <w:rFonts w:ascii="Arial" w:hAnsi="Arial" w:cs="Arial"/>
        </w:rPr>
        <w:t xml:space="preserve"> the Government amended the Safeguard Rule to require the Regulator to publish additional information regarding th</w:t>
      </w:r>
      <w:r w:rsidR="00CC3563">
        <w:rPr>
          <w:rFonts w:ascii="Arial" w:hAnsi="Arial" w:cs="Arial"/>
        </w:rPr>
        <w:t>e likely demand for Australian C</w:t>
      </w:r>
      <w:r w:rsidRPr="00B83D02">
        <w:rPr>
          <w:rFonts w:ascii="Arial" w:hAnsi="Arial" w:cs="Arial"/>
        </w:rPr>
        <w:t xml:space="preserve">arbon </w:t>
      </w:r>
      <w:r w:rsidR="00CC3563">
        <w:rPr>
          <w:rFonts w:ascii="Arial" w:hAnsi="Arial" w:cs="Arial"/>
        </w:rPr>
        <w:t>C</w:t>
      </w:r>
      <w:r w:rsidRPr="00B83D02">
        <w:rPr>
          <w:rFonts w:ascii="Arial" w:hAnsi="Arial" w:cs="Arial"/>
        </w:rPr>
        <w:t xml:space="preserve">redit </w:t>
      </w:r>
      <w:r w:rsidR="00CC3563">
        <w:rPr>
          <w:rFonts w:ascii="Arial" w:hAnsi="Arial" w:cs="Arial"/>
        </w:rPr>
        <w:t>U</w:t>
      </w:r>
      <w:r w:rsidRPr="00B83D02">
        <w:rPr>
          <w:rFonts w:ascii="Arial" w:hAnsi="Arial" w:cs="Arial"/>
        </w:rPr>
        <w:t xml:space="preserve">nits </w:t>
      </w:r>
      <w:r w:rsidR="00CC3563">
        <w:rPr>
          <w:rFonts w:ascii="Arial" w:hAnsi="Arial" w:cs="Arial"/>
        </w:rPr>
        <w:t xml:space="preserve">(ACCU) </w:t>
      </w:r>
      <w:r w:rsidRPr="00B83D02">
        <w:rPr>
          <w:rFonts w:ascii="Arial" w:hAnsi="Arial" w:cs="Arial"/>
        </w:rPr>
        <w:t>from Safeguard facilities with a multi-year monitoring period. The first new publication will be delivered</w:t>
      </w:r>
      <w:r w:rsidR="001B3DAC">
        <w:rPr>
          <w:rFonts w:ascii="Arial" w:hAnsi="Arial" w:cs="Arial"/>
        </w:rPr>
        <w:t xml:space="preserve"> </w:t>
      </w:r>
      <w:r w:rsidRPr="00B83D02">
        <w:rPr>
          <w:rFonts w:ascii="Arial" w:hAnsi="Arial" w:cs="Arial"/>
        </w:rPr>
        <w:t xml:space="preserve">at the same time as other </w:t>
      </w:r>
      <w:r w:rsidR="00B953E0">
        <w:rPr>
          <w:rFonts w:ascii="Arial" w:hAnsi="Arial" w:cs="Arial"/>
        </w:rPr>
        <w:t xml:space="preserve">annual </w:t>
      </w:r>
      <w:r w:rsidRPr="00B83D02">
        <w:rPr>
          <w:rFonts w:ascii="Arial" w:hAnsi="Arial" w:cs="Arial"/>
        </w:rPr>
        <w:t>publication requirements under the Safeguard Mechanism</w:t>
      </w:r>
      <w:r w:rsidR="009959A6">
        <w:rPr>
          <w:rFonts w:ascii="Arial" w:hAnsi="Arial" w:cs="Arial"/>
        </w:rPr>
        <w:t xml:space="preserve"> (expected in March 2020)</w:t>
      </w:r>
      <w:r w:rsidRPr="00B83D02">
        <w:rPr>
          <w:rFonts w:ascii="Arial" w:hAnsi="Arial" w:cs="Arial"/>
        </w:rPr>
        <w:t xml:space="preserve">. </w:t>
      </w:r>
    </w:p>
    <w:p w:rsidR="00380551" w:rsidRPr="00B83D02" w:rsidRDefault="00380551" w:rsidP="00900730">
      <w:pPr>
        <w:tabs>
          <w:tab w:val="left" w:pos="8445"/>
        </w:tabs>
        <w:rPr>
          <w:rFonts w:ascii="Arial" w:hAnsi="Arial" w:cs="Arial"/>
        </w:rPr>
      </w:pPr>
      <w:r w:rsidRPr="00B83D02">
        <w:rPr>
          <w:rFonts w:ascii="Arial" w:hAnsi="Arial" w:cs="Arial"/>
        </w:rPr>
        <w:lastRenderedPageBreak/>
        <w:t xml:space="preserve">In addition, the </w:t>
      </w:r>
      <w:r w:rsidR="00B83D02" w:rsidRPr="00900730">
        <w:rPr>
          <w:rFonts w:ascii="Arial" w:hAnsi="Arial" w:cs="Arial"/>
        </w:rPr>
        <w:t xml:space="preserve">Clean Energy </w:t>
      </w:r>
      <w:r w:rsidRPr="00B83D02">
        <w:rPr>
          <w:rFonts w:ascii="Arial" w:hAnsi="Arial" w:cs="Arial"/>
        </w:rPr>
        <w:t xml:space="preserve">Regulator has commenced publishing regular </w:t>
      </w:r>
      <w:r w:rsidR="00B83D02" w:rsidRPr="00900730">
        <w:rPr>
          <w:rFonts w:ascii="Arial" w:hAnsi="Arial" w:cs="Arial"/>
        </w:rPr>
        <w:t xml:space="preserve">ACCU </w:t>
      </w:r>
      <w:r w:rsidRPr="00B83D02">
        <w:rPr>
          <w:rFonts w:ascii="Arial" w:hAnsi="Arial" w:cs="Arial"/>
        </w:rPr>
        <w:t>Market Updates</w:t>
      </w:r>
      <w:r w:rsidR="0073660F" w:rsidRPr="00900730">
        <w:rPr>
          <w:rFonts w:ascii="Arial" w:hAnsi="Arial" w:cs="Arial"/>
          <w:vertAlign w:val="superscript"/>
        </w:rPr>
        <w:footnoteReference w:id="2"/>
      </w:r>
      <w:r w:rsidRPr="00B83D02">
        <w:rPr>
          <w:rFonts w:ascii="Arial" w:hAnsi="Arial" w:cs="Arial"/>
        </w:rPr>
        <w:t>. The Regulator’s first ACCU Market Update was published in December 2018. It is intended that these updates be published regularly to provide a more transparent picture of supply and demand in the market</w:t>
      </w:r>
      <w:r w:rsidR="0073660F">
        <w:rPr>
          <w:rFonts w:ascii="Arial" w:hAnsi="Arial" w:cs="Arial"/>
        </w:rPr>
        <w:t>.</w:t>
      </w:r>
    </w:p>
    <w:p w:rsidR="00900730" w:rsidRDefault="00380551" w:rsidP="0073660F">
      <w:pPr>
        <w:tabs>
          <w:tab w:val="left" w:pos="8445"/>
        </w:tabs>
        <w:rPr>
          <w:rFonts w:ascii="Arial" w:hAnsi="Arial" w:cs="Arial"/>
        </w:rPr>
      </w:pPr>
      <w:r w:rsidRPr="00B83D02">
        <w:rPr>
          <w:rFonts w:ascii="Arial" w:hAnsi="Arial" w:cs="Arial"/>
        </w:rPr>
        <w:t xml:space="preserve">Consistent with the Government’s response to the Climate Change Authority’s 2017 review of the Emissions Reduction Fund, the Government is pursuing an amendment to the </w:t>
      </w:r>
      <w:r w:rsidRPr="00900730">
        <w:rPr>
          <w:rFonts w:ascii="Arial" w:hAnsi="Arial" w:cs="Arial"/>
          <w:i/>
        </w:rPr>
        <w:t xml:space="preserve">Australian National Registry of Emissions Units Act 2011 </w:t>
      </w:r>
      <w:r w:rsidRPr="00B83D02">
        <w:rPr>
          <w:rFonts w:ascii="Arial" w:hAnsi="Arial" w:cs="Arial"/>
        </w:rPr>
        <w:t xml:space="preserve">to provide for regular publication of Australian carbon credit unit holdings. This will help market liquidity and transparency for the Emissions Reduction Fund and Safeguard Mechanism. </w:t>
      </w:r>
    </w:p>
    <w:p w:rsidR="00900730" w:rsidRPr="00C53EE6" w:rsidRDefault="00900730" w:rsidP="001E4B44">
      <w:pPr>
        <w:spacing w:after="0"/>
        <w:rPr>
          <w:rFonts w:ascii="Arial" w:hAnsi="Arial" w:cs="Arial"/>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18</w:t>
      </w:r>
    </w:p>
    <w:p w:rsidR="00EC6342" w:rsidRPr="00C53EE6" w:rsidRDefault="003C7F55" w:rsidP="00EC6342">
      <w:pPr>
        <w:pBdr>
          <w:top w:val="single" w:sz="4" w:space="1" w:color="auto"/>
          <w:left w:val="single" w:sz="4" w:space="4" w:color="auto"/>
          <w:bottom w:val="single" w:sz="4" w:space="1" w:color="auto"/>
          <w:right w:val="single" w:sz="4" w:space="4" w:color="auto"/>
        </w:pBdr>
        <w:rPr>
          <w:rFonts w:ascii="Arial" w:hAnsi="Arial" w:cs="Arial"/>
        </w:rPr>
      </w:pPr>
      <w:r w:rsidRPr="003C7F55">
        <w:rPr>
          <w:rFonts w:ascii="Arial" w:hAnsi="Arial" w:cs="Arial"/>
        </w:rPr>
        <w:t>The Department investigate the feasibility and potential uptake of allowing safeguard facilities to participate in the Emissions Reduction Fund in a way that recognises reductions in indirect emissions without resulting in an increa</w:t>
      </w:r>
      <w:r>
        <w:rPr>
          <w:rFonts w:ascii="Arial" w:hAnsi="Arial" w:cs="Arial"/>
        </w:rPr>
        <w:t>se in reported direct emissions</w:t>
      </w:r>
      <w:r w:rsidR="00C53EE6" w:rsidRPr="00C53EE6">
        <w:rPr>
          <w:rFonts w:ascii="Arial" w:hAnsi="Arial" w:cs="Arial"/>
        </w:rPr>
        <w:t>.</w:t>
      </w:r>
    </w:p>
    <w:p w:rsidR="00380551" w:rsidRPr="00C53EE6" w:rsidRDefault="008C57C7" w:rsidP="00380551">
      <w:pPr>
        <w:spacing w:after="120"/>
        <w:rPr>
          <w:rFonts w:ascii="Arial" w:hAnsi="Arial" w:cs="Arial"/>
        </w:rPr>
      </w:pPr>
      <w:r w:rsidRPr="00C53EE6">
        <w:rPr>
          <w:rFonts w:ascii="Arial" w:hAnsi="Arial" w:cs="Arial"/>
          <w:b/>
        </w:rPr>
        <w:t xml:space="preserve">Response: </w:t>
      </w:r>
      <w:r w:rsidR="00380551" w:rsidRPr="00C53EE6">
        <w:rPr>
          <w:rFonts w:ascii="Arial" w:hAnsi="Arial" w:cs="Arial"/>
        </w:rPr>
        <w:t>The Government</w:t>
      </w:r>
      <w:r w:rsidR="00380551">
        <w:rPr>
          <w:rFonts w:ascii="Arial" w:hAnsi="Arial" w:cs="Arial"/>
        </w:rPr>
        <w:t xml:space="preserve"> </w:t>
      </w:r>
      <w:r w:rsidR="00380551" w:rsidRPr="00831FBD">
        <w:rPr>
          <w:rFonts w:ascii="Arial" w:hAnsi="Arial" w:cs="Arial"/>
          <w:i/>
        </w:rPr>
        <w:t>accepts</w:t>
      </w:r>
      <w:r w:rsidR="00380551">
        <w:rPr>
          <w:rFonts w:ascii="Arial" w:hAnsi="Arial" w:cs="Arial"/>
        </w:rPr>
        <w:t xml:space="preserve"> </w:t>
      </w:r>
      <w:r w:rsidR="00380551" w:rsidRPr="00C53EE6">
        <w:rPr>
          <w:rFonts w:ascii="Arial" w:hAnsi="Arial" w:cs="Arial"/>
        </w:rPr>
        <w:t>this recommendation.</w:t>
      </w:r>
    </w:p>
    <w:p w:rsidR="00B240D6" w:rsidRDefault="0073660F" w:rsidP="0073660F">
      <w:pPr>
        <w:tabs>
          <w:tab w:val="left" w:pos="8445"/>
        </w:tabs>
        <w:rPr>
          <w:rFonts w:ascii="Arial" w:hAnsi="Arial" w:cs="Arial"/>
        </w:rPr>
      </w:pPr>
      <w:r w:rsidRPr="0073660F">
        <w:rPr>
          <w:rFonts w:ascii="Arial" w:hAnsi="Arial" w:cs="Arial"/>
        </w:rPr>
        <w:t xml:space="preserve">The Government is committed to reducing Australia’s emissions using the Emissions Reduction Fund. The Fund provides a broad range of opportunities to reduce emissions across the economy, including from facilities covered by the Safeguard Mechanism. The Government is interested in reducing barriers to participation in the Fund, including addressing any potential barriers to participation from Safeguard facilities and addressing disincentives for facilities to reduce their indirect emissions. </w:t>
      </w:r>
    </w:p>
    <w:p w:rsidR="00AD71A3" w:rsidRDefault="00D704A8" w:rsidP="0073660F">
      <w:pPr>
        <w:tabs>
          <w:tab w:val="left" w:pos="8445"/>
        </w:tabs>
        <w:rPr>
          <w:rFonts w:ascii="Arial" w:hAnsi="Arial" w:cs="Arial"/>
        </w:rPr>
      </w:pPr>
      <w:r w:rsidRPr="00AA0B49">
        <w:rPr>
          <w:rFonts w:ascii="Arial" w:hAnsi="Arial" w:cs="Arial"/>
        </w:rPr>
        <w:t xml:space="preserve">The Department </w:t>
      </w:r>
      <w:r>
        <w:rPr>
          <w:rFonts w:ascii="Arial" w:hAnsi="Arial" w:cs="Arial"/>
        </w:rPr>
        <w:t xml:space="preserve">of the Environment and Energy </w:t>
      </w:r>
      <w:r w:rsidRPr="00AA0B49">
        <w:rPr>
          <w:rFonts w:ascii="Arial" w:hAnsi="Arial" w:cs="Arial"/>
        </w:rPr>
        <w:t xml:space="preserve">intends to look at options to distinguish between activities that reduce indirect emissions and those that reduce direct emissions. This will seek to overcome the </w:t>
      </w:r>
      <w:r w:rsidR="00233B59">
        <w:rPr>
          <w:rFonts w:ascii="Arial" w:hAnsi="Arial" w:cs="Arial"/>
        </w:rPr>
        <w:t>existing barriers</w:t>
      </w:r>
      <w:r w:rsidRPr="00AA0B49">
        <w:rPr>
          <w:rFonts w:ascii="Arial" w:hAnsi="Arial" w:cs="Arial"/>
        </w:rPr>
        <w:t xml:space="preserve"> for Safeguard facilities to </w:t>
      </w:r>
      <w:r>
        <w:rPr>
          <w:rFonts w:ascii="Arial" w:hAnsi="Arial" w:cs="Arial"/>
        </w:rPr>
        <w:t>pursue projects that reduce indirect emissions through</w:t>
      </w:r>
      <w:r w:rsidRPr="00AA0B49">
        <w:rPr>
          <w:rFonts w:ascii="Arial" w:hAnsi="Arial" w:cs="Arial"/>
        </w:rPr>
        <w:t xml:space="preserve"> the </w:t>
      </w:r>
      <w:r>
        <w:rPr>
          <w:rFonts w:ascii="Arial" w:hAnsi="Arial" w:cs="Arial"/>
        </w:rPr>
        <w:t>Fund</w:t>
      </w:r>
      <w:r w:rsidR="0073660F" w:rsidRPr="0073660F">
        <w:rPr>
          <w:rFonts w:ascii="Arial" w:hAnsi="Arial" w:cs="Arial"/>
        </w:rPr>
        <w:t xml:space="preserve">. </w:t>
      </w:r>
    </w:p>
    <w:p w:rsidR="0073660F" w:rsidRPr="0073660F" w:rsidRDefault="0073660F" w:rsidP="0073660F">
      <w:pPr>
        <w:tabs>
          <w:tab w:val="left" w:pos="8445"/>
        </w:tabs>
        <w:rPr>
          <w:rFonts w:ascii="Arial" w:hAnsi="Arial" w:cs="Arial"/>
        </w:rPr>
      </w:pPr>
      <w:r w:rsidRPr="0073660F">
        <w:rPr>
          <w:rFonts w:ascii="Arial" w:hAnsi="Arial" w:cs="Arial"/>
        </w:rPr>
        <w:t xml:space="preserve">The Government is pursuing an amendment to the </w:t>
      </w:r>
      <w:r w:rsidRPr="0073660F">
        <w:rPr>
          <w:rFonts w:ascii="Arial" w:hAnsi="Arial" w:cs="Arial"/>
          <w:i/>
        </w:rPr>
        <w:t xml:space="preserve">National Greenhouse and Energy Reporting Act 2007 </w:t>
      </w:r>
      <w:r w:rsidRPr="0073660F">
        <w:rPr>
          <w:rFonts w:ascii="Arial" w:hAnsi="Arial" w:cs="Arial"/>
        </w:rPr>
        <w:t xml:space="preserve">to facilitate this outcome. </w:t>
      </w:r>
    </w:p>
    <w:p w:rsidR="00D92C56" w:rsidRDefault="00D92C56" w:rsidP="00D92C56">
      <w:pPr>
        <w:pStyle w:val="Default"/>
        <w:rPr>
          <w:color w:val="auto"/>
          <w:sz w:val="22"/>
          <w:szCs w:val="22"/>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19</w:t>
      </w:r>
    </w:p>
    <w:p w:rsidR="00EC6342" w:rsidRPr="00C53EE6" w:rsidRDefault="003C7F55" w:rsidP="00EC6342">
      <w:pPr>
        <w:pBdr>
          <w:top w:val="single" w:sz="4" w:space="1" w:color="auto"/>
          <w:left w:val="single" w:sz="4" w:space="4" w:color="auto"/>
          <w:bottom w:val="single" w:sz="4" w:space="1" w:color="auto"/>
          <w:right w:val="single" w:sz="4" w:space="4" w:color="auto"/>
        </w:pBdr>
        <w:rPr>
          <w:rFonts w:ascii="Arial" w:hAnsi="Arial" w:cs="Arial"/>
        </w:rPr>
      </w:pPr>
      <w:r w:rsidRPr="003C7F55">
        <w:rPr>
          <w:rFonts w:ascii="Arial" w:hAnsi="Arial" w:cs="Arial"/>
        </w:rPr>
        <w:t>The Government remove the option for deemed surrender under the safeguard.</w:t>
      </w:r>
    </w:p>
    <w:p w:rsidR="00380551" w:rsidRPr="00C53EE6" w:rsidRDefault="008C57C7" w:rsidP="00380551">
      <w:pPr>
        <w:spacing w:after="120"/>
        <w:rPr>
          <w:rFonts w:ascii="Arial" w:hAnsi="Arial" w:cs="Arial"/>
        </w:rPr>
      </w:pPr>
      <w:r w:rsidRPr="00C53EE6">
        <w:rPr>
          <w:rFonts w:ascii="Arial" w:hAnsi="Arial" w:cs="Arial"/>
          <w:b/>
        </w:rPr>
        <w:t>Response:</w:t>
      </w:r>
      <w:r w:rsidR="00380551" w:rsidRPr="00C53EE6">
        <w:rPr>
          <w:rFonts w:ascii="Arial" w:hAnsi="Arial" w:cs="Arial"/>
          <w:b/>
        </w:rPr>
        <w:t xml:space="preserve"> </w:t>
      </w:r>
      <w:r w:rsidR="00380551" w:rsidRPr="00C53EE6">
        <w:rPr>
          <w:rFonts w:ascii="Arial" w:hAnsi="Arial" w:cs="Arial"/>
        </w:rPr>
        <w:t>The Government</w:t>
      </w:r>
      <w:r w:rsidR="00380551">
        <w:rPr>
          <w:rFonts w:ascii="Arial" w:hAnsi="Arial" w:cs="Arial"/>
        </w:rPr>
        <w:t xml:space="preserve"> </w:t>
      </w:r>
      <w:r w:rsidR="00380551">
        <w:rPr>
          <w:rFonts w:ascii="Arial" w:hAnsi="Arial" w:cs="Arial"/>
          <w:i/>
        </w:rPr>
        <w:t>notes</w:t>
      </w:r>
      <w:r w:rsidR="00380551">
        <w:rPr>
          <w:rFonts w:ascii="Arial" w:hAnsi="Arial" w:cs="Arial"/>
        </w:rPr>
        <w:t xml:space="preserve"> </w:t>
      </w:r>
      <w:r w:rsidR="00380551" w:rsidRPr="00C53EE6">
        <w:rPr>
          <w:rFonts w:ascii="Arial" w:hAnsi="Arial" w:cs="Arial"/>
        </w:rPr>
        <w:t>this recommendation.</w:t>
      </w:r>
    </w:p>
    <w:p w:rsidR="0073660F" w:rsidRDefault="00203A9B" w:rsidP="00900730">
      <w:pPr>
        <w:tabs>
          <w:tab w:val="left" w:pos="8445"/>
        </w:tabs>
        <w:rPr>
          <w:rFonts w:ascii="Arial" w:hAnsi="Arial" w:cs="Arial"/>
        </w:rPr>
      </w:pPr>
      <w:r>
        <w:rPr>
          <w:rFonts w:ascii="Arial" w:hAnsi="Arial" w:cs="Arial"/>
        </w:rPr>
        <w:t xml:space="preserve">The Government notes there may be occasions where </w:t>
      </w:r>
      <w:r w:rsidR="00F709FA">
        <w:rPr>
          <w:rFonts w:ascii="Arial" w:hAnsi="Arial" w:cs="Arial"/>
        </w:rPr>
        <w:t xml:space="preserve">Safeguard </w:t>
      </w:r>
      <w:r>
        <w:rPr>
          <w:rFonts w:ascii="Arial" w:hAnsi="Arial" w:cs="Arial"/>
        </w:rPr>
        <w:t>facilities have both a regulatory requirement to surrender Australian Carbon Credit Units and a contractual obligation to transfer Australian Carbon Credit Units to the Government (for which payment is received)</w:t>
      </w:r>
      <w:r w:rsidR="0073660F" w:rsidRPr="0073660F">
        <w:rPr>
          <w:rFonts w:ascii="Arial" w:hAnsi="Arial" w:cs="Arial"/>
        </w:rPr>
        <w:t>.</w:t>
      </w:r>
      <w:r>
        <w:rPr>
          <w:rFonts w:ascii="Arial" w:hAnsi="Arial" w:cs="Arial"/>
        </w:rPr>
        <w:t xml:space="preserve"> Any change to the current arrangements would constitute a change in policy.</w:t>
      </w:r>
      <w:r w:rsidR="0073660F" w:rsidRPr="0073660F">
        <w:rPr>
          <w:rFonts w:ascii="Arial" w:hAnsi="Arial" w:cs="Arial"/>
        </w:rPr>
        <w:t xml:space="preserve"> </w:t>
      </w:r>
      <w:r w:rsidR="007C031F">
        <w:rPr>
          <w:rFonts w:ascii="Arial" w:hAnsi="Arial" w:cs="Arial"/>
        </w:rPr>
        <w:t>As outlined in the Government’s 2017 Review of Climate Change Policies, t</w:t>
      </w:r>
      <w:r w:rsidR="0073660F" w:rsidRPr="0073660F">
        <w:rPr>
          <w:rFonts w:ascii="Arial" w:hAnsi="Arial" w:cs="Arial"/>
        </w:rPr>
        <w:t xml:space="preserve">he role of the Safeguard Mechanism will be reviewed in 2020 in the context of progress towards the 2030 Paris </w:t>
      </w:r>
      <w:r w:rsidR="0073660F">
        <w:rPr>
          <w:rFonts w:ascii="Arial" w:hAnsi="Arial" w:cs="Arial"/>
        </w:rPr>
        <w:t xml:space="preserve">Agreement </w:t>
      </w:r>
      <w:r w:rsidR="0073660F" w:rsidRPr="0073660F">
        <w:rPr>
          <w:rFonts w:ascii="Arial" w:hAnsi="Arial" w:cs="Arial"/>
        </w:rPr>
        <w:t>target</w:t>
      </w:r>
      <w:r w:rsidR="0073660F">
        <w:rPr>
          <w:rFonts w:ascii="Arial" w:hAnsi="Arial" w:cs="Arial"/>
        </w:rPr>
        <w:t>.</w:t>
      </w:r>
      <w:r w:rsidR="007C031F">
        <w:rPr>
          <w:rFonts w:ascii="Arial" w:hAnsi="Arial" w:cs="Arial"/>
        </w:rPr>
        <w:t xml:space="preserve"> This </w:t>
      </w:r>
      <w:r w:rsidR="009A456D">
        <w:rPr>
          <w:rFonts w:ascii="Arial" w:hAnsi="Arial" w:cs="Arial"/>
        </w:rPr>
        <w:t xml:space="preserve">review provides an opportunity to consider policy settings, such as </w:t>
      </w:r>
      <w:r w:rsidR="007C031F">
        <w:rPr>
          <w:rFonts w:ascii="Arial" w:hAnsi="Arial" w:cs="Arial"/>
        </w:rPr>
        <w:t>deemed surrender.</w:t>
      </w:r>
    </w:p>
    <w:p w:rsidR="00184687" w:rsidRPr="00900730" w:rsidRDefault="00184687" w:rsidP="00900730">
      <w:pPr>
        <w:tabs>
          <w:tab w:val="left" w:pos="8445"/>
        </w:tabs>
        <w:rPr>
          <w:rFonts w:ascii="Arial" w:hAnsi="Arial" w:cs="Arial"/>
        </w:rPr>
      </w:pPr>
    </w:p>
    <w:p w:rsidR="00EC6342" w:rsidRPr="00C53EE6"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C53EE6">
        <w:rPr>
          <w:rFonts w:ascii="Arial" w:hAnsi="Arial" w:cs="Arial"/>
          <w:b/>
        </w:rPr>
        <w:t>Recommendation 20</w:t>
      </w:r>
    </w:p>
    <w:p w:rsidR="00EC6342" w:rsidRPr="00C53EE6" w:rsidRDefault="003C7F55" w:rsidP="00EC6342">
      <w:pPr>
        <w:pBdr>
          <w:top w:val="single" w:sz="4" w:space="1" w:color="auto"/>
          <w:left w:val="single" w:sz="4" w:space="4" w:color="auto"/>
          <w:bottom w:val="single" w:sz="4" w:space="1" w:color="auto"/>
          <w:right w:val="single" w:sz="4" w:space="4" w:color="auto"/>
        </w:pBdr>
        <w:rPr>
          <w:rFonts w:ascii="Arial" w:hAnsi="Arial" w:cs="Arial"/>
        </w:rPr>
      </w:pPr>
      <w:r w:rsidRPr="003C7F55">
        <w:rPr>
          <w:rFonts w:ascii="Arial" w:hAnsi="Arial" w:cs="Arial"/>
        </w:rPr>
        <w:t>The Regulator continue to work with reporters and auditors to better target compliance audits to ensure integrity of the data and reduce costs to business</w:t>
      </w:r>
      <w:r w:rsidR="00C53EE6" w:rsidRPr="00C53EE6">
        <w:rPr>
          <w:rFonts w:ascii="Arial" w:hAnsi="Arial" w:cs="Arial"/>
        </w:rPr>
        <w:t>.</w:t>
      </w:r>
    </w:p>
    <w:p w:rsidR="008C57C7" w:rsidRPr="00C53EE6" w:rsidRDefault="008C57C7" w:rsidP="008C57C7">
      <w:pPr>
        <w:spacing w:after="120"/>
        <w:rPr>
          <w:rFonts w:ascii="Arial" w:hAnsi="Arial" w:cs="Arial"/>
        </w:rPr>
      </w:pPr>
      <w:r w:rsidRPr="00C53EE6">
        <w:rPr>
          <w:rFonts w:ascii="Arial" w:hAnsi="Arial" w:cs="Arial"/>
          <w:b/>
        </w:rPr>
        <w:t xml:space="preserve">Response: </w:t>
      </w:r>
      <w:r w:rsidR="00D42D80">
        <w:rPr>
          <w:rFonts w:ascii="Arial" w:hAnsi="Arial" w:cs="Arial"/>
        </w:rPr>
        <w:t xml:space="preserve">The Government </w:t>
      </w:r>
      <w:r w:rsidRPr="009F17D4">
        <w:rPr>
          <w:rFonts w:ascii="Arial" w:hAnsi="Arial" w:cs="Arial"/>
          <w:i/>
        </w:rPr>
        <w:t>accepts</w:t>
      </w:r>
      <w:r w:rsidRPr="00C53EE6">
        <w:rPr>
          <w:rFonts w:ascii="Arial" w:hAnsi="Arial" w:cs="Arial"/>
        </w:rPr>
        <w:t xml:space="preserve"> this recommendation.</w:t>
      </w:r>
    </w:p>
    <w:p w:rsidR="00BE6A89" w:rsidRDefault="005C365D" w:rsidP="00BE6A89">
      <w:pPr>
        <w:tabs>
          <w:tab w:val="left" w:pos="8445"/>
        </w:tabs>
        <w:rPr>
          <w:rFonts w:ascii="Arial" w:hAnsi="Arial" w:cs="Arial"/>
        </w:rPr>
      </w:pPr>
      <w:r w:rsidRPr="005C365D">
        <w:rPr>
          <w:rFonts w:ascii="Arial" w:hAnsi="Arial" w:cs="Arial"/>
        </w:rPr>
        <w:t xml:space="preserve">The Clean Energy Regulator </w:t>
      </w:r>
      <w:r w:rsidR="00900730">
        <w:rPr>
          <w:rFonts w:ascii="Arial" w:hAnsi="Arial" w:cs="Arial"/>
        </w:rPr>
        <w:t>is</w:t>
      </w:r>
      <w:r w:rsidRPr="005C365D">
        <w:rPr>
          <w:rFonts w:ascii="Arial" w:hAnsi="Arial" w:cs="Arial"/>
        </w:rPr>
        <w:t xml:space="preserve"> progressively maturing its audit function to better target reporters and areas of interest and to increase transparency for reporters. </w:t>
      </w:r>
      <w:r w:rsidR="00900730">
        <w:rPr>
          <w:rFonts w:ascii="Arial" w:hAnsi="Arial" w:cs="Arial"/>
        </w:rPr>
        <w:t>The Regulator</w:t>
      </w:r>
      <w:r w:rsidRPr="005C365D">
        <w:rPr>
          <w:rFonts w:ascii="Arial" w:hAnsi="Arial" w:cs="Arial"/>
        </w:rPr>
        <w:t xml:space="preserve"> regularly conduct</w:t>
      </w:r>
      <w:r w:rsidR="00900730">
        <w:rPr>
          <w:rFonts w:ascii="Arial" w:hAnsi="Arial" w:cs="Arial"/>
        </w:rPr>
        <w:t>s</w:t>
      </w:r>
      <w:r w:rsidRPr="005C365D">
        <w:rPr>
          <w:rFonts w:ascii="Arial" w:hAnsi="Arial" w:cs="Arial"/>
        </w:rPr>
        <w:t xml:space="preserve"> engagement and outreach events for auditors and also receive</w:t>
      </w:r>
      <w:r w:rsidR="00900730">
        <w:rPr>
          <w:rFonts w:ascii="Arial" w:hAnsi="Arial" w:cs="Arial"/>
        </w:rPr>
        <w:t>s</w:t>
      </w:r>
      <w:r w:rsidRPr="005C365D">
        <w:rPr>
          <w:rFonts w:ascii="Arial" w:hAnsi="Arial" w:cs="Arial"/>
        </w:rPr>
        <w:t xml:space="preserve"> valuable feedback through surveys and directly from clients to inform this process.</w:t>
      </w:r>
    </w:p>
    <w:p w:rsidR="00287E75" w:rsidRPr="003A36FB" w:rsidRDefault="001D50D3" w:rsidP="00CF3E5C">
      <w:pPr>
        <w:rPr>
          <w:rFonts w:ascii="Arial" w:hAnsi="Arial" w:cs="Arial"/>
        </w:rPr>
      </w:pPr>
      <w:r w:rsidRPr="003A36FB">
        <w:rPr>
          <w:rFonts w:ascii="Arial" w:hAnsi="Arial" w:cs="Arial"/>
        </w:rPr>
        <w:t xml:space="preserve"> </w:t>
      </w:r>
    </w:p>
    <w:sectPr w:rsidR="00287E75" w:rsidRPr="003A36FB" w:rsidSect="00FA4CF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FE9" w:rsidRDefault="00162FE9" w:rsidP="00A60185">
      <w:pPr>
        <w:spacing w:after="0" w:line="240" w:lineRule="auto"/>
      </w:pPr>
      <w:r>
        <w:separator/>
      </w:r>
    </w:p>
  </w:endnote>
  <w:endnote w:type="continuationSeparator" w:id="0">
    <w:p w:rsidR="00162FE9" w:rsidRDefault="00162FE9" w:rsidP="00A60185">
      <w:pPr>
        <w:spacing w:after="0" w:line="240" w:lineRule="auto"/>
      </w:pPr>
      <w:r>
        <w:continuationSeparator/>
      </w:r>
    </w:p>
  </w:endnote>
  <w:endnote w:type="continuationNotice" w:id="1">
    <w:p w:rsidR="00162FE9" w:rsidRDefault="00162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B7" w:rsidRDefault="007742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rsidR="009959A6" w:rsidRDefault="009959A6">
        <w:pPr>
          <w:pStyle w:val="Footer"/>
          <w:jc w:val="center"/>
        </w:pPr>
        <w:r>
          <w:fldChar w:fldCharType="begin"/>
        </w:r>
        <w:r>
          <w:instrText xml:space="preserve"> PAGE   \* MERGEFORMAT </w:instrText>
        </w:r>
        <w:r>
          <w:fldChar w:fldCharType="separate"/>
        </w:r>
        <w:r w:rsidR="007742B7">
          <w:rPr>
            <w:noProof/>
          </w:rPr>
          <w:t>8</w:t>
        </w:r>
        <w:r>
          <w:rPr>
            <w:noProof/>
          </w:rPr>
          <w:fldChar w:fldCharType="end"/>
        </w:r>
      </w:p>
      <w:p w:rsidR="009959A6" w:rsidRDefault="007742B7">
        <w:pPr>
          <w:pStyle w:val="Footer"/>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036160"/>
      <w:docPartObj>
        <w:docPartGallery w:val="Page Numbers (Bottom of Page)"/>
        <w:docPartUnique/>
      </w:docPartObj>
    </w:sdtPr>
    <w:sdtEndPr>
      <w:rPr>
        <w:noProof/>
      </w:rPr>
    </w:sdtEndPr>
    <w:sdtContent>
      <w:p w:rsidR="009959A6" w:rsidRDefault="009959A6">
        <w:pPr>
          <w:pStyle w:val="Footer"/>
          <w:jc w:val="center"/>
        </w:pPr>
        <w:r>
          <w:fldChar w:fldCharType="begin"/>
        </w:r>
        <w:r>
          <w:instrText xml:space="preserve"> PAGE   \* MERGEFORMAT </w:instrText>
        </w:r>
        <w:r>
          <w:fldChar w:fldCharType="separate"/>
        </w:r>
        <w:r w:rsidR="007742B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FE9" w:rsidRDefault="00162FE9" w:rsidP="00A60185">
      <w:pPr>
        <w:spacing w:after="0" w:line="240" w:lineRule="auto"/>
      </w:pPr>
      <w:r>
        <w:separator/>
      </w:r>
    </w:p>
  </w:footnote>
  <w:footnote w:type="continuationSeparator" w:id="0">
    <w:p w:rsidR="00162FE9" w:rsidRDefault="00162FE9" w:rsidP="00A60185">
      <w:pPr>
        <w:spacing w:after="0" w:line="240" w:lineRule="auto"/>
      </w:pPr>
      <w:r>
        <w:continuationSeparator/>
      </w:r>
    </w:p>
  </w:footnote>
  <w:footnote w:type="continuationNotice" w:id="1">
    <w:p w:rsidR="00162FE9" w:rsidRDefault="00162FE9">
      <w:pPr>
        <w:spacing w:after="0" w:line="240" w:lineRule="auto"/>
      </w:pPr>
    </w:p>
  </w:footnote>
  <w:footnote w:id="2">
    <w:p w:rsidR="009959A6" w:rsidRPr="00B83D02" w:rsidRDefault="009959A6" w:rsidP="0073660F">
      <w:pPr>
        <w:pStyle w:val="FootnoteText"/>
      </w:pPr>
      <w:r>
        <w:rPr>
          <w:rStyle w:val="FootnoteReference"/>
        </w:rPr>
        <w:footnoteRef/>
      </w:r>
      <w:r>
        <w:t xml:space="preserve"> </w:t>
      </w:r>
      <w:r w:rsidRPr="00B83D02">
        <w:rPr>
          <w:i/>
        </w:rPr>
        <w:t>Statement of Opportunities for the Australian Carbon Credit Unit (ACCU) market - March 2019</w:t>
      </w:r>
      <w:r>
        <w:t xml:space="preserve">: </w:t>
      </w:r>
      <w:hyperlink r:id="rId1" w:history="1">
        <w:r w:rsidRPr="00303DA7">
          <w:rPr>
            <w:rStyle w:val="Hyperlink"/>
            <w:color w:val="auto"/>
            <w:u w:val="none"/>
          </w:rPr>
          <w:t>http://www.cleanenergyregulator.gov.au/Infohub/Markets/buying-accus/australian-carbon-credit-unit-market-updates/statement-of-opportunities-in-the-accu-market-%E2%80%93-march-2019</w:t>
        </w:r>
      </w:hyperlink>
      <w:r w:rsidRPr="00303DA7">
        <w:t>;</w:t>
      </w:r>
      <w:r w:rsidRPr="00E335BD">
        <w:t xml:space="preserve"> </w:t>
      </w:r>
      <w:r w:rsidRPr="00E335BD">
        <w:rPr>
          <w:i/>
        </w:rPr>
        <w:t xml:space="preserve">Australian Carbon Credit Unit supply, </w:t>
      </w:r>
      <w:r>
        <w:t xml:space="preserve">published 28 March 2019: </w:t>
      </w:r>
      <w:r w:rsidRPr="00B83D02">
        <w:t>http://www.cleanenergyregulator.gov.au/Infohub/Markets/buying-accus/australian-carbon-credit-unit-supply</w:t>
      </w:r>
      <w:r>
        <w:t xml:space="preserve">; </w:t>
      </w:r>
      <w:r w:rsidRPr="00B83D02">
        <w:rPr>
          <w:i/>
        </w:rPr>
        <w:t>Australian Carbon Credit Unit</w:t>
      </w:r>
      <w:r>
        <w:rPr>
          <w:i/>
        </w:rPr>
        <w:t xml:space="preserve"> demand, </w:t>
      </w:r>
      <w:r>
        <w:t xml:space="preserve">published 19 March 2019: </w:t>
      </w:r>
      <w:r w:rsidRPr="00900730">
        <w:t>http://www.cleanenergyregulator.gov.au/Infohub/Markets/buying-accus/australian-carbon-credit-unit-demand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B7" w:rsidRDefault="007742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B7" w:rsidRDefault="007742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B7" w:rsidRDefault="007742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1097EBF"/>
    <w:multiLevelType w:val="hybridMultilevel"/>
    <w:tmpl w:val="4F04A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554A3D"/>
    <w:multiLevelType w:val="multilevel"/>
    <w:tmpl w:val="765C3FBE"/>
    <w:lvl w:ilvl="0">
      <w:start w:val="1"/>
      <w:numFmt w:val="bullet"/>
      <w:pStyle w:val="Bullet"/>
      <w:lvlText w:val=""/>
      <w:lvlJc w:val="left"/>
      <w:pPr>
        <w:tabs>
          <w:tab w:val="num" w:pos="567"/>
        </w:tabs>
        <w:ind w:left="567" w:hanging="567"/>
      </w:pPr>
      <w:rPr>
        <w:rFonts w:ascii="Symbol" w:hAnsi="Symbol" w:hint="default"/>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5456429"/>
    <w:multiLevelType w:val="multilevel"/>
    <w:tmpl w:val="E898CC72"/>
    <w:numStyleLink w:val="KeyPoints"/>
  </w:abstractNum>
  <w:abstractNum w:abstractNumId="7" w15:restartNumberingAfterBreak="0">
    <w:nsid w:val="6A5B7FF8"/>
    <w:multiLevelType w:val="hybridMultilevel"/>
    <w:tmpl w:val="51EE9A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Times New Roman"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Times New Roman"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15:restartNumberingAfterBreak="0">
    <w:nsid w:val="79DB23C0"/>
    <w:multiLevelType w:val="multilevel"/>
    <w:tmpl w:val="CE947A96"/>
    <w:name w:val="CERBullets22"/>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cs="Times New Roman" w:hint="default"/>
        <w:color w:val="005874"/>
      </w:rPr>
    </w:lvl>
    <w:lvl w:ilvl="2">
      <w:start w:val="1"/>
      <w:numFmt w:val="bullet"/>
      <w:lvlText w:val="›"/>
      <w:lvlJc w:val="left"/>
      <w:pPr>
        <w:ind w:left="1080" w:hanging="360"/>
      </w:pPr>
      <w:rPr>
        <w:rFonts w:ascii="Arial" w:hAnsi="Arial" w:cs="Times New Roman" w:hint="default"/>
        <w:color w:val="00587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0"/>
  </w:num>
  <w:num w:numId="3">
    <w:abstractNumId w:val="4"/>
  </w:num>
  <w:num w:numId="4">
    <w:abstractNumId w:val="3"/>
  </w:num>
  <w:num w:numId="5">
    <w:abstractNumId w:val="6"/>
  </w:num>
  <w:num w:numId="6">
    <w:abstractNumId w:val="1"/>
  </w:num>
  <w:num w:numId="7">
    <w:abstractNumId w:val="5"/>
  </w:num>
  <w:num w:numId="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C6342"/>
    <w:rsid w:val="00000C5E"/>
    <w:rsid w:val="000037DF"/>
    <w:rsid w:val="00004AEE"/>
    <w:rsid w:val="000058DA"/>
    <w:rsid w:val="00005CAA"/>
    <w:rsid w:val="00006978"/>
    <w:rsid w:val="00010210"/>
    <w:rsid w:val="00010757"/>
    <w:rsid w:val="00010DE9"/>
    <w:rsid w:val="00012D66"/>
    <w:rsid w:val="00014DA3"/>
    <w:rsid w:val="00015ADA"/>
    <w:rsid w:val="00020C99"/>
    <w:rsid w:val="0002707B"/>
    <w:rsid w:val="0002783C"/>
    <w:rsid w:val="000304A0"/>
    <w:rsid w:val="00032585"/>
    <w:rsid w:val="00040585"/>
    <w:rsid w:val="00041C29"/>
    <w:rsid w:val="00042831"/>
    <w:rsid w:val="0005148E"/>
    <w:rsid w:val="00051C46"/>
    <w:rsid w:val="00062903"/>
    <w:rsid w:val="00065BCA"/>
    <w:rsid w:val="000662E2"/>
    <w:rsid w:val="00072C5A"/>
    <w:rsid w:val="000759E5"/>
    <w:rsid w:val="00077BCA"/>
    <w:rsid w:val="0008049A"/>
    <w:rsid w:val="00084AC6"/>
    <w:rsid w:val="000906CB"/>
    <w:rsid w:val="00091608"/>
    <w:rsid w:val="0009333C"/>
    <w:rsid w:val="00093913"/>
    <w:rsid w:val="00095E39"/>
    <w:rsid w:val="0009704F"/>
    <w:rsid w:val="000A0F11"/>
    <w:rsid w:val="000A0FB2"/>
    <w:rsid w:val="000A125A"/>
    <w:rsid w:val="000A236A"/>
    <w:rsid w:val="000A57CD"/>
    <w:rsid w:val="000B3758"/>
    <w:rsid w:val="000B40CA"/>
    <w:rsid w:val="000B74BE"/>
    <w:rsid w:val="000B7681"/>
    <w:rsid w:val="000B7B42"/>
    <w:rsid w:val="000C002D"/>
    <w:rsid w:val="000C02B7"/>
    <w:rsid w:val="000C5100"/>
    <w:rsid w:val="000C5342"/>
    <w:rsid w:val="000C706A"/>
    <w:rsid w:val="000C7A39"/>
    <w:rsid w:val="000D0C9E"/>
    <w:rsid w:val="000D2887"/>
    <w:rsid w:val="000D365A"/>
    <w:rsid w:val="000D4E3E"/>
    <w:rsid w:val="000D6D63"/>
    <w:rsid w:val="000D7919"/>
    <w:rsid w:val="000E0081"/>
    <w:rsid w:val="000E07CF"/>
    <w:rsid w:val="000E31C1"/>
    <w:rsid w:val="000E63A3"/>
    <w:rsid w:val="000E6AE3"/>
    <w:rsid w:val="000F2CF2"/>
    <w:rsid w:val="00100BEF"/>
    <w:rsid w:val="00107045"/>
    <w:rsid w:val="00111326"/>
    <w:rsid w:val="0011498E"/>
    <w:rsid w:val="00114B8A"/>
    <w:rsid w:val="00117098"/>
    <w:rsid w:val="00117A45"/>
    <w:rsid w:val="001224AE"/>
    <w:rsid w:val="00123F48"/>
    <w:rsid w:val="001241DA"/>
    <w:rsid w:val="00124423"/>
    <w:rsid w:val="00126E37"/>
    <w:rsid w:val="001327E0"/>
    <w:rsid w:val="00133379"/>
    <w:rsid w:val="001337D4"/>
    <w:rsid w:val="00136CAA"/>
    <w:rsid w:val="001421EB"/>
    <w:rsid w:val="00143C39"/>
    <w:rsid w:val="00147C12"/>
    <w:rsid w:val="0015126A"/>
    <w:rsid w:val="001527A1"/>
    <w:rsid w:val="001530DC"/>
    <w:rsid w:val="0015384D"/>
    <w:rsid w:val="00154989"/>
    <w:rsid w:val="00155A9F"/>
    <w:rsid w:val="001566C2"/>
    <w:rsid w:val="00157772"/>
    <w:rsid w:val="00160262"/>
    <w:rsid w:val="001616B9"/>
    <w:rsid w:val="00162FE9"/>
    <w:rsid w:val="00163A43"/>
    <w:rsid w:val="00165DF5"/>
    <w:rsid w:val="00166070"/>
    <w:rsid w:val="0016780A"/>
    <w:rsid w:val="00171113"/>
    <w:rsid w:val="001713FA"/>
    <w:rsid w:val="00171A30"/>
    <w:rsid w:val="00171C54"/>
    <w:rsid w:val="00173EBF"/>
    <w:rsid w:val="00175B02"/>
    <w:rsid w:val="00175ED3"/>
    <w:rsid w:val="00182801"/>
    <w:rsid w:val="001842A2"/>
    <w:rsid w:val="00184687"/>
    <w:rsid w:val="0018543A"/>
    <w:rsid w:val="00187FA8"/>
    <w:rsid w:val="00192E73"/>
    <w:rsid w:val="00192F5E"/>
    <w:rsid w:val="00197772"/>
    <w:rsid w:val="001979BD"/>
    <w:rsid w:val="001A2C9D"/>
    <w:rsid w:val="001A51C8"/>
    <w:rsid w:val="001A53FD"/>
    <w:rsid w:val="001B3CD5"/>
    <w:rsid w:val="001B3DAC"/>
    <w:rsid w:val="001B4CA8"/>
    <w:rsid w:val="001B5EA1"/>
    <w:rsid w:val="001B61F5"/>
    <w:rsid w:val="001B7CAF"/>
    <w:rsid w:val="001C227D"/>
    <w:rsid w:val="001C3E29"/>
    <w:rsid w:val="001C4BD2"/>
    <w:rsid w:val="001C4F3D"/>
    <w:rsid w:val="001C5005"/>
    <w:rsid w:val="001D0CDC"/>
    <w:rsid w:val="001D1151"/>
    <w:rsid w:val="001D1D82"/>
    <w:rsid w:val="001D33AA"/>
    <w:rsid w:val="001D50D3"/>
    <w:rsid w:val="001D7323"/>
    <w:rsid w:val="001E1182"/>
    <w:rsid w:val="001E4B44"/>
    <w:rsid w:val="001E4ECE"/>
    <w:rsid w:val="001F1AD1"/>
    <w:rsid w:val="001F1E0B"/>
    <w:rsid w:val="002000F1"/>
    <w:rsid w:val="0020011C"/>
    <w:rsid w:val="002002CD"/>
    <w:rsid w:val="00202630"/>
    <w:rsid w:val="00202C90"/>
    <w:rsid w:val="00203A9B"/>
    <w:rsid w:val="00206DFF"/>
    <w:rsid w:val="00213DE8"/>
    <w:rsid w:val="00215CF5"/>
    <w:rsid w:val="00216118"/>
    <w:rsid w:val="00216581"/>
    <w:rsid w:val="002179E3"/>
    <w:rsid w:val="002209AB"/>
    <w:rsid w:val="002251E3"/>
    <w:rsid w:val="00227A95"/>
    <w:rsid w:val="002308D7"/>
    <w:rsid w:val="002316BD"/>
    <w:rsid w:val="00233B59"/>
    <w:rsid w:val="0023574A"/>
    <w:rsid w:val="00235A62"/>
    <w:rsid w:val="002367C4"/>
    <w:rsid w:val="0024042D"/>
    <w:rsid w:val="00241010"/>
    <w:rsid w:val="002473FC"/>
    <w:rsid w:val="00250A22"/>
    <w:rsid w:val="00252E3C"/>
    <w:rsid w:val="00252E7D"/>
    <w:rsid w:val="00253362"/>
    <w:rsid w:val="002537E8"/>
    <w:rsid w:val="002571F7"/>
    <w:rsid w:val="00262198"/>
    <w:rsid w:val="002629E2"/>
    <w:rsid w:val="002657D3"/>
    <w:rsid w:val="00271433"/>
    <w:rsid w:val="002752D9"/>
    <w:rsid w:val="00275CC1"/>
    <w:rsid w:val="00277D58"/>
    <w:rsid w:val="002800C2"/>
    <w:rsid w:val="00283284"/>
    <w:rsid w:val="00285F1B"/>
    <w:rsid w:val="00287E75"/>
    <w:rsid w:val="00292B81"/>
    <w:rsid w:val="002964B3"/>
    <w:rsid w:val="0029771F"/>
    <w:rsid w:val="002A1859"/>
    <w:rsid w:val="002A1A0D"/>
    <w:rsid w:val="002B0065"/>
    <w:rsid w:val="002B18AE"/>
    <w:rsid w:val="002B512C"/>
    <w:rsid w:val="002C1C93"/>
    <w:rsid w:val="002C216B"/>
    <w:rsid w:val="002C5066"/>
    <w:rsid w:val="002C5813"/>
    <w:rsid w:val="002C603C"/>
    <w:rsid w:val="002C6D96"/>
    <w:rsid w:val="002D063D"/>
    <w:rsid w:val="002D094A"/>
    <w:rsid w:val="002D235F"/>
    <w:rsid w:val="002D4795"/>
    <w:rsid w:val="002D4881"/>
    <w:rsid w:val="002D4AAC"/>
    <w:rsid w:val="002E0430"/>
    <w:rsid w:val="002E256F"/>
    <w:rsid w:val="002E2B37"/>
    <w:rsid w:val="002E49DF"/>
    <w:rsid w:val="002E69C3"/>
    <w:rsid w:val="002F045A"/>
    <w:rsid w:val="002F1996"/>
    <w:rsid w:val="002F34D1"/>
    <w:rsid w:val="002F5EF1"/>
    <w:rsid w:val="0030039D"/>
    <w:rsid w:val="00302927"/>
    <w:rsid w:val="00302FEE"/>
    <w:rsid w:val="0030326F"/>
    <w:rsid w:val="00303DA7"/>
    <w:rsid w:val="00310701"/>
    <w:rsid w:val="00315980"/>
    <w:rsid w:val="00316F7F"/>
    <w:rsid w:val="003218E8"/>
    <w:rsid w:val="0032370D"/>
    <w:rsid w:val="00325E34"/>
    <w:rsid w:val="00330DCE"/>
    <w:rsid w:val="00331E11"/>
    <w:rsid w:val="00334761"/>
    <w:rsid w:val="00337EBC"/>
    <w:rsid w:val="003405D5"/>
    <w:rsid w:val="00341DCD"/>
    <w:rsid w:val="0034563E"/>
    <w:rsid w:val="00347349"/>
    <w:rsid w:val="003518D6"/>
    <w:rsid w:val="0035460C"/>
    <w:rsid w:val="0035510E"/>
    <w:rsid w:val="003556BD"/>
    <w:rsid w:val="00365147"/>
    <w:rsid w:val="0037016E"/>
    <w:rsid w:val="00372908"/>
    <w:rsid w:val="00373318"/>
    <w:rsid w:val="00375E2D"/>
    <w:rsid w:val="00380551"/>
    <w:rsid w:val="00383020"/>
    <w:rsid w:val="00392070"/>
    <w:rsid w:val="00393EFC"/>
    <w:rsid w:val="00394D7E"/>
    <w:rsid w:val="003975FD"/>
    <w:rsid w:val="003A36FB"/>
    <w:rsid w:val="003A3A8E"/>
    <w:rsid w:val="003B057D"/>
    <w:rsid w:val="003B2801"/>
    <w:rsid w:val="003B60CC"/>
    <w:rsid w:val="003B6945"/>
    <w:rsid w:val="003C1B25"/>
    <w:rsid w:val="003C2443"/>
    <w:rsid w:val="003C5DA3"/>
    <w:rsid w:val="003C7F55"/>
    <w:rsid w:val="003D4BCD"/>
    <w:rsid w:val="003D6C2B"/>
    <w:rsid w:val="003E01D8"/>
    <w:rsid w:val="003E0C93"/>
    <w:rsid w:val="003E2100"/>
    <w:rsid w:val="003E7015"/>
    <w:rsid w:val="003F6F5B"/>
    <w:rsid w:val="003F7C66"/>
    <w:rsid w:val="003F7F6A"/>
    <w:rsid w:val="0040342D"/>
    <w:rsid w:val="0041192D"/>
    <w:rsid w:val="00412FCE"/>
    <w:rsid w:val="00413597"/>
    <w:rsid w:val="00413EE1"/>
    <w:rsid w:val="004143BB"/>
    <w:rsid w:val="0042128E"/>
    <w:rsid w:val="00425CE1"/>
    <w:rsid w:val="00426FD7"/>
    <w:rsid w:val="00432B60"/>
    <w:rsid w:val="004400EB"/>
    <w:rsid w:val="00440698"/>
    <w:rsid w:val="004540E2"/>
    <w:rsid w:val="00454454"/>
    <w:rsid w:val="00454F7A"/>
    <w:rsid w:val="00457621"/>
    <w:rsid w:val="00462A35"/>
    <w:rsid w:val="00467924"/>
    <w:rsid w:val="0047072C"/>
    <w:rsid w:val="00470CBC"/>
    <w:rsid w:val="004712A5"/>
    <w:rsid w:val="004715F1"/>
    <w:rsid w:val="0047266F"/>
    <w:rsid w:val="0047428E"/>
    <w:rsid w:val="00476D6B"/>
    <w:rsid w:val="004812A2"/>
    <w:rsid w:val="00492C16"/>
    <w:rsid w:val="0049770F"/>
    <w:rsid w:val="004A0678"/>
    <w:rsid w:val="004A082B"/>
    <w:rsid w:val="004A1401"/>
    <w:rsid w:val="004A48A3"/>
    <w:rsid w:val="004B0D92"/>
    <w:rsid w:val="004B0EC0"/>
    <w:rsid w:val="004B38C5"/>
    <w:rsid w:val="004B66F1"/>
    <w:rsid w:val="004C264B"/>
    <w:rsid w:val="004C3EA0"/>
    <w:rsid w:val="004C3EF9"/>
    <w:rsid w:val="004C6CCF"/>
    <w:rsid w:val="004D15FC"/>
    <w:rsid w:val="004D75BB"/>
    <w:rsid w:val="004D7CD9"/>
    <w:rsid w:val="004E40FE"/>
    <w:rsid w:val="004E4559"/>
    <w:rsid w:val="004E5014"/>
    <w:rsid w:val="004E5561"/>
    <w:rsid w:val="004F0B67"/>
    <w:rsid w:val="004F1626"/>
    <w:rsid w:val="004F19BE"/>
    <w:rsid w:val="004F7169"/>
    <w:rsid w:val="00500D66"/>
    <w:rsid w:val="005010E2"/>
    <w:rsid w:val="0050173B"/>
    <w:rsid w:val="00512838"/>
    <w:rsid w:val="00514C8E"/>
    <w:rsid w:val="00514E47"/>
    <w:rsid w:val="00515D53"/>
    <w:rsid w:val="00516A42"/>
    <w:rsid w:val="0051728A"/>
    <w:rsid w:val="005175EE"/>
    <w:rsid w:val="0052084A"/>
    <w:rsid w:val="00524113"/>
    <w:rsid w:val="00531DBF"/>
    <w:rsid w:val="0053672D"/>
    <w:rsid w:val="0054446E"/>
    <w:rsid w:val="00545759"/>
    <w:rsid w:val="00545BE0"/>
    <w:rsid w:val="00546930"/>
    <w:rsid w:val="0055011D"/>
    <w:rsid w:val="00553281"/>
    <w:rsid w:val="00554C6A"/>
    <w:rsid w:val="0055749D"/>
    <w:rsid w:val="00561F96"/>
    <w:rsid w:val="00562E85"/>
    <w:rsid w:val="0056332F"/>
    <w:rsid w:val="00567906"/>
    <w:rsid w:val="0057099D"/>
    <w:rsid w:val="005719B3"/>
    <w:rsid w:val="0057295E"/>
    <w:rsid w:val="00576835"/>
    <w:rsid w:val="00581C39"/>
    <w:rsid w:val="005903B6"/>
    <w:rsid w:val="005960AF"/>
    <w:rsid w:val="005A0247"/>
    <w:rsid w:val="005A126E"/>
    <w:rsid w:val="005A452F"/>
    <w:rsid w:val="005A4BF8"/>
    <w:rsid w:val="005B023B"/>
    <w:rsid w:val="005B05EB"/>
    <w:rsid w:val="005B140D"/>
    <w:rsid w:val="005B24CD"/>
    <w:rsid w:val="005B6BD1"/>
    <w:rsid w:val="005C1FEA"/>
    <w:rsid w:val="005C3495"/>
    <w:rsid w:val="005C365D"/>
    <w:rsid w:val="005C3743"/>
    <w:rsid w:val="005C39AA"/>
    <w:rsid w:val="005D27D8"/>
    <w:rsid w:val="005D70C4"/>
    <w:rsid w:val="005E3DFC"/>
    <w:rsid w:val="005E4655"/>
    <w:rsid w:val="005E5942"/>
    <w:rsid w:val="005E60AF"/>
    <w:rsid w:val="005F1DEA"/>
    <w:rsid w:val="006028D6"/>
    <w:rsid w:val="00603BED"/>
    <w:rsid w:val="006040FD"/>
    <w:rsid w:val="00607FC9"/>
    <w:rsid w:val="00622FE1"/>
    <w:rsid w:val="0062521C"/>
    <w:rsid w:val="00626285"/>
    <w:rsid w:val="00630A2B"/>
    <w:rsid w:val="00632DC7"/>
    <w:rsid w:val="006357FB"/>
    <w:rsid w:val="006406FC"/>
    <w:rsid w:val="00640E57"/>
    <w:rsid w:val="00646122"/>
    <w:rsid w:val="00653E16"/>
    <w:rsid w:val="00657220"/>
    <w:rsid w:val="00657362"/>
    <w:rsid w:val="006600D3"/>
    <w:rsid w:val="0066104B"/>
    <w:rsid w:val="006655EE"/>
    <w:rsid w:val="0066787C"/>
    <w:rsid w:val="00667C10"/>
    <w:rsid w:val="00667EF4"/>
    <w:rsid w:val="00672B70"/>
    <w:rsid w:val="00672CCC"/>
    <w:rsid w:val="00676FCA"/>
    <w:rsid w:val="00677177"/>
    <w:rsid w:val="0068612E"/>
    <w:rsid w:val="00687C92"/>
    <w:rsid w:val="006938F9"/>
    <w:rsid w:val="00693FE5"/>
    <w:rsid w:val="00694181"/>
    <w:rsid w:val="0069534E"/>
    <w:rsid w:val="0069669C"/>
    <w:rsid w:val="006A1200"/>
    <w:rsid w:val="006A1671"/>
    <w:rsid w:val="006A175F"/>
    <w:rsid w:val="006A34FF"/>
    <w:rsid w:val="006A4F4E"/>
    <w:rsid w:val="006A5376"/>
    <w:rsid w:val="006A6C23"/>
    <w:rsid w:val="006A7C4F"/>
    <w:rsid w:val="006B14DB"/>
    <w:rsid w:val="006B21C4"/>
    <w:rsid w:val="006B28C0"/>
    <w:rsid w:val="006B3F37"/>
    <w:rsid w:val="006C0BE7"/>
    <w:rsid w:val="006C4A1A"/>
    <w:rsid w:val="006D0393"/>
    <w:rsid w:val="006D1A83"/>
    <w:rsid w:val="006E1CFE"/>
    <w:rsid w:val="006E5820"/>
    <w:rsid w:val="006E5D48"/>
    <w:rsid w:val="006E5F9B"/>
    <w:rsid w:val="006F10C4"/>
    <w:rsid w:val="006F1187"/>
    <w:rsid w:val="006F1378"/>
    <w:rsid w:val="006F250F"/>
    <w:rsid w:val="006F40E9"/>
    <w:rsid w:val="006F5603"/>
    <w:rsid w:val="006F7B87"/>
    <w:rsid w:val="00701400"/>
    <w:rsid w:val="007037CF"/>
    <w:rsid w:val="007040AF"/>
    <w:rsid w:val="00711E0C"/>
    <w:rsid w:val="007153F9"/>
    <w:rsid w:val="00715F25"/>
    <w:rsid w:val="007167C0"/>
    <w:rsid w:val="00720481"/>
    <w:rsid w:val="00721F57"/>
    <w:rsid w:val="007224AD"/>
    <w:rsid w:val="0072546F"/>
    <w:rsid w:val="00733193"/>
    <w:rsid w:val="00734D7A"/>
    <w:rsid w:val="00734DDB"/>
    <w:rsid w:val="0073660F"/>
    <w:rsid w:val="00744DDA"/>
    <w:rsid w:val="00745E03"/>
    <w:rsid w:val="00746F18"/>
    <w:rsid w:val="00747C2D"/>
    <w:rsid w:val="00751AC1"/>
    <w:rsid w:val="0075732A"/>
    <w:rsid w:val="00757E91"/>
    <w:rsid w:val="007600F8"/>
    <w:rsid w:val="00760262"/>
    <w:rsid w:val="0076085F"/>
    <w:rsid w:val="0076310C"/>
    <w:rsid w:val="00763199"/>
    <w:rsid w:val="00763269"/>
    <w:rsid w:val="0076411D"/>
    <w:rsid w:val="00764336"/>
    <w:rsid w:val="0076744F"/>
    <w:rsid w:val="00767BCE"/>
    <w:rsid w:val="00767EFC"/>
    <w:rsid w:val="007707DE"/>
    <w:rsid w:val="00770B5D"/>
    <w:rsid w:val="00770DE5"/>
    <w:rsid w:val="007742B7"/>
    <w:rsid w:val="007744B2"/>
    <w:rsid w:val="007752F1"/>
    <w:rsid w:val="00776768"/>
    <w:rsid w:val="0078187A"/>
    <w:rsid w:val="00782D8A"/>
    <w:rsid w:val="00791F19"/>
    <w:rsid w:val="00793F8B"/>
    <w:rsid w:val="00794ED8"/>
    <w:rsid w:val="00795803"/>
    <w:rsid w:val="007A2573"/>
    <w:rsid w:val="007B044F"/>
    <w:rsid w:val="007B106C"/>
    <w:rsid w:val="007B1A4E"/>
    <w:rsid w:val="007B3D05"/>
    <w:rsid w:val="007B41CC"/>
    <w:rsid w:val="007B5503"/>
    <w:rsid w:val="007B6879"/>
    <w:rsid w:val="007B6DFA"/>
    <w:rsid w:val="007B754D"/>
    <w:rsid w:val="007C031F"/>
    <w:rsid w:val="007C179C"/>
    <w:rsid w:val="007C3538"/>
    <w:rsid w:val="007C6BB3"/>
    <w:rsid w:val="007D14B4"/>
    <w:rsid w:val="007D2DB8"/>
    <w:rsid w:val="007D32EB"/>
    <w:rsid w:val="007D3AD7"/>
    <w:rsid w:val="007D4756"/>
    <w:rsid w:val="007E24F6"/>
    <w:rsid w:val="007E70C4"/>
    <w:rsid w:val="007E7B98"/>
    <w:rsid w:val="007F6ADE"/>
    <w:rsid w:val="00800405"/>
    <w:rsid w:val="00800F64"/>
    <w:rsid w:val="00801050"/>
    <w:rsid w:val="008028D3"/>
    <w:rsid w:val="00802F0B"/>
    <w:rsid w:val="00810A67"/>
    <w:rsid w:val="00810D17"/>
    <w:rsid w:val="00817D15"/>
    <w:rsid w:val="00831FBD"/>
    <w:rsid w:val="00833CF7"/>
    <w:rsid w:val="00834CDE"/>
    <w:rsid w:val="00835877"/>
    <w:rsid w:val="00841D7D"/>
    <w:rsid w:val="00842464"/>
    <w:rsid w:val="00845601"/>
    <w:rsid w:val="00845B7E"/>
    <w:rsid w:val="00845CD6"/>
    <w:rsid w:val="00845E39"/>
    <w:rsid w:val="00846291"/>
    <w:rsid w:val="00855C5C"/>
    <w:rsid w:val="00861287"/>
    <w:rsid w:val="008663E9"/>
    <w:rsid w:val="00876D21"/>
    <w:rsid w:val="00894273"/>
    <w:rsid w:val="0089681E"/>
    <w:rsid w:val="0089730B"/>
    <w:rsid w:val="008A3C96"/>
    <w:rsid w:val="008B049C"/>
    <w:rsid w:val="008B4019"/>
    <w:rsid w:val="008B65C9"/>
    <w:rsid w:val="008C0D52"/>
    <w:rsid w:val="008C2330"/>
    <w:rsid w:val="008C2D4A"/>
    <w:rsid w:val="008C4FEE"/>
    <w:rsid w:val="008C57C7"/>
    <w:rsid w:val="008D0766"/>
    <w:rsid w:val="008D16E4"/>
    <w:rsid w:val="008D3900"/>
    <w:rsid w:val="008D6E1D"/>
    <w:rsid w:val="008E6169"/>
    <w:rsid w:val="008F00A3"/>
    <w:rsid w:val="008F39B4"/>
    <w:rsid w:val="008F40B0"/>
    <w:rsid w:val="008F4162"/>
    <w:rsid w:val="008F4988"/>
    <w:rsid w:val="00900730"/>
    <w:rsid w:val="00903E02"/>
    <w:rsid w:val="00913175"/>
    <w:rsid w:val="00913EEB"/>
    <w:rsid w:val="0091515F"/>
    <w:rsid w:val="00916EDB"/>
    <w:rsid w:val="00920861"/>
    <w:rsid w:val="00922B13"/>
    <w:rsid w:val="009242EF"/>
    <w:rsid w:val="00932291"/>
    <w:rsid w:val="00932861"/>
    <w:rsid w:val="0093408E"/>
    <w:rsid w:val="00952DDF"/>
    <w:rsid w:val="009547DD"/>
    <w:rsid w:val="009610A3"/>
    <w:rsid w:val="00961FF4"/>
    <w:rsid w:val="00962782"/>
    <w:rsid w:val="00963B6A"/>
    <w:rsid w:val="00970950"/>
    <w:rsid w:val="009812D4"/>
    <w:rsid w:val="00982348"/>
    <w:rsid w:val="009920D8"/>
    <w:rsid w:val="009952F5"/>
    <w:rsid w:val="009959A6"/>
    <w:rsid w:val="00995B87"/>
    <w:rsid w:val="009A031D"/>
    <w:rsid w:val="009A1EDA"/>
    <w:rsid w:val="009A3045"/>
    <w:rsid w:val="009A456D"/>
    <w:rsid w:val="009A6DB7"/>
    <w:rsid w:val="009B1D76"/>
    <w:rsid w:val="009B38BE"/>
    <w:rsid w:val="009B42D7"/>
    <w:rsid w:val="009C2D91"/>
    <w:rsid w:val="009C3D0F"/>
    <w:rsid w:val="009D1184"/>
    <w:rsid w:val="009D5513"/>
    <w:rsid w:val="009D5DB0"/>
    <w:rsid w:val="009E0197"/>
    <w:rsid w:val="009E0287"/>
    <w:rsid w:val="009E1B19"/>
    <w:rsid w:val="009E7033"/>
    <w:rsid w:val="009F17D4"/>
    <w:rsid w:val="009F35E2"/>
    <w:rsid w:val="009F65F9"/>
    <w:rsid w:val="009F68BA"/>
    <w:rsid w:val="00A0166A"/>
    <w:rsid w:val="00A03AB2"/>
    <w:rsid w:val="00A06277"/>
    <w:rsid w:val="00A079DC"/>
    <w:rsid w:val="00A11193"/>
    <w:rsid w:val="00A111C2"/>
    <w:rsid w:val="00A11E25"/>
    <w:rsid w:val="00A1306A"/>
    <w:rsid w:val="00A142FE"/>
    <w:rsid w:val="00A1528D"/>
    <w:rsid w:val="00A16AFC"/>
    <w:rsid w:val="00A2035A"/>
    <w:rsid w:val="00A2385F"/>
    <w:rsid w:val="00A27A3F"/>
    <w:rsid w:val="00A30C14"/>
    <w:rsid w:val="00A338E7"/>
    <w:rsid w:val="00A35355"/>
    <w:rsid w:val="00A35CAA"/>
    <w:rsid w:val="00A36959"/>
    <w:rsid w:val="00A36E7F"/>
    <w:rsid w:val="00A41E65"/>
    <w:rsid w:val="00A4229F"/>
    <w:rsid w:val="00A43E0A"/>
    <w:rsid w:val="00A44FEC"/>
    <w:rsid w:val="00A452D4"/>
    <w:rsid w:val="00A50214"/>
    <w:rsid w:val="00A502CE"/>
    <w:rsid w:val="00A530C7"/>
    <w:rsid w:val="00A55F5B"/>
    <w:rsid w:val="00A60185"/>
    <w:rsid w:val="00A661EA"/>
    <w:rsid w:val="00A71419"/>
    <w:rsid w:val="00A7278D"/>
    <w:rsid w:val="00A7491F"/>
    <w:rsid w:val="00A76AD8"/>
    <w:rsid w:val="00A817E1"/>
    <w:rsid w:val="00A830E5"/>
    <w:rsid w:val="00A8467A"/>
    <w:rsid w:val="00A87135"/>
    <w:rsid w:val="00A93280"/>
    <w:rsid w:val="00A9378D"/>
    <w:rsid w:val="00A938B9"/>
    <w:rsid w:val="00A951EA"/>
    <w:rsid w:val="00AA0B49"/>
    <w:rsid w:val="00AA2548"/>
    <w:rsid w:val="00AA58C4"/>
    <w:rsid w:val="00AA5F91"/>
    <w:rsid w:val="00AA7003"/>
    <w:rsid w:val="00AB11C8"/>
    <w:rsid w:val="00AB278F"/>
    <w:rsid w:val="00AB3C40"/>
    <w:rsid w:val="00AB6046"/>
    <w:rsid w:val="00AC08A8"/>
    <w:rsid w:val="00AC1802"/>
    <w:rsid w:val="00AD0744"/>
    <w:rsid w:val="00AD295B"/>
    <w:rsid w:val="00AD56C8"/>
    <w:rsid w:val="00AD58F2"/>
    <w:rsid w:val="00AD71A3"/>
    <w:rsid w:val="00AE0F88"/>
    <w:rsid w:val="00AE12BD"/>
    <w:rsid w:val="00AF6B1F"/>
    <w:rsid w:val="00B0512A"/>
    <w:rsid w:val="00B0529F"/>
    <w:rsid w:val="00B1418B"/>
    <w:rsid w:val="00B17936"/>
    <w:rsid w:val="00B21195"/>
    <w:rsid w:val="00B21E4B"/>
    <w:rsid w:val="00B240D6"/>
    <w:rsid w:val="00B245AE"/>
    <w:rsid w:val="00B24B22"/>
    <w:rsid w:val="00B25310"/>
    <w:rsid w:val="00B32F8F"/>
    <w:rsid w:val="00B3492A"/>
    <w:rsid w:val="00B41293"/>
    <w:rsid w:val="00B41DA4"/>
    <w:rsid w:val="00B47C27"/>
    <w:rsid w:val="00B52B24"/>
    <w:rsid w:val="00B53EC8"/>
    <w:rsid w:val="00B54466"/>
    <w:rsid w:val="00B54DE9"/>
    <w:rsid w:val="00B550EB"/>
    <w:rsid w:val="00B553EC"/>
    <w:rsid w:val="00B55E3F"/>
    <w:rsid w:val="00B615E4"/>
    <w:rsid w:val="00B62B74"/>
    <w:rsid w:val="00B63C1E"/>
    <w:rsid w:val="00B727EC"/>
    <w:rsid w:val="00B74C43"/>
    <w:rsid w:val="00B76853"/>
    <w:rsid w:val="00B77D49"/>
    <w:rsid w:val="00B83D02"/>
    <w:rsid w:val="00B84F59"/>
    <w:rsid w:val="00B86DAC"/>
    <w:rsid w:val="00B93DD0"/>
    <w:rsid w:val="00B953E0"/>
    <w:rsid w:val="00B97732"/>
    <w:rsid w:val="00BA2B09"/>
    <w:rsid w:val="00BA4041"/>
    <w:rsid w:val="00BA4E78"/>
    <w:rsid w:val="00BA577E"/>
    <w:rsid w:val="00BA65A8"/>
    <w:rsid w:val="00BA6D19"/>
    <w:rsid w:val="00BA7461"/>
    <w:rsid w:val="00BA7CDC"/>
    <w:rsid w:val="00BA7DA9"/>
    <w:rsid w:val="00BB72A6"/>
    <w:rsid w:val="00BC217B"/>
    <w:rsid w:val="00BC4215"/>
    <w:rsid w:val="00BD1A6F"/>
    <w:rsid w:val="00BD6865"/>
    <w:rsid w:val="00BE01C5"/>
    <w:rsid w:val="00BE1D63"/>
    <w:rsid w:val="00BE533E"/>
    <w:rsid w:val="00BE6A89"/>
    <w:rsid w:val="00BE6D3C"/>
    <w:rsid w:val="00BE7852"/>
    <w:rsid w:val="00BF0A6B"/>
    <w:rsid w:val="00BF2369"/>
    <w:rsid w:val="00BF7CEE"/>
    <w:rsid w:val="00C00155"/>
    <w:rsid w:val="00C012FC"/>
    <w:rsid w:val="00C03880"/>
    <w:rsid w:val="00C06711"/>
    <w:rsid w:val="00C12F74"/>
    <w:rsid w:val="00C135CF"/>
    <w:rsid w:val="00C2616D"/>
    <w:rsid w:val="00C262C6"/>
    <w:rsid w:val="00C2683F"/>
    <w:rsid w:val="00C3184D"/>
    <w:rsid w:val="00C4010D"/>
    <w:rsid w:val="00C40CC7"/>
    <w:rsid w:val="00C44453"/>
    <w:rsid w:val="00C4714E"/>
    <w:rsid w:val="00C51CCA"/>
    <w:rsid w:val="00C53EE6"/>
    <w:rsid w:val="00C5504F"/>
    <w:rsid w:val="00C57B55"/>
    <w:rsid w:val="00C63376"/>
    <w:rsid w:val="00C6534E"/>
    <w:rsid w:val="00C66769"/>
    <w:rsid w:val="00C73D56"/>
    <w:rsid w:val="00C74F97"/>
    <w:rsid w:val="00C8140F"/>
    <w:rsid w:val="00C8276E"/>
    <w:rsid w:val="00C842AC"/>
    <w:rsid w:val="00C85EE4"/>
    <w:rsid w:val="00C90F7F"/>
    <w:rsid w:val="00C958DB"/>
    <w:rsid w:val="00C96688"/>
    <w:rsid w:val="00C96F06"/>
    <w:rsid w:val="00C97D98"/>
    <w:rsid w:val="00CA0723"/>
    <w:rsid w:val="00CA2649"/>
    <w:rsid w:val="00CA426B"/>
    <w:rsid w:val="00CA6A75"/>
    <w:rsid w:val="00CA7658"/>
    <w:rsid w:val="00CB1690"/>
    <w:rsid w:val="00CB5ADC"/>
    <w:rsid w:val="00CB6D62"/>
    <w:rsid w:val="00CC0EE3"/>
    <w:rsid w:val="00CC2388"/>
    <w:rsid w:val="00CC3563"/>
    <w:rsid w:val="00CC3582"/>
    <w:rsid w:val="00CC42F6"/>
    <w:rsid w:val="00CC4365"/>
    <w:rsid w:val="00CC77F0"/>
    <w:rsid w:val="00CD0803"/>
    <w:rsid w:val="00CD11B0"/>
    <w:rsid w:val="00CD211C"/>
    <w:rsid w:val="00CD56DB"/>
    <w:rsid w:val="00CE13B0"/>
    <w:rsid w:val="00CE45CB"/>
    <w:rsid w:val="00CE71C2"/>
    <w:rsid w:val="00CE7554"/>
    <w:rsid w:val="00CF34E9"/>
    <w:rsid w:val="00CF3E5C"/>
    <w:rsid w:val="00CF42D5"/>
    <w:rsid w:val="00CF4EDA"/>
    <w:rsid w:val="00CF54BE"/>
    <w:rsid w:val="00CF61A5"/>
    <w:rsid w:val="00D00473"/>
    <w:rsid w:val="00D021CB"/>
    <w:rsid w:val="00D10D95"/>
    <w:rsid w:val="00D10F1A"/>
    <w:rsid w:val="00D116F8"/>
    <w:rsid w:val="00D17596"/>
    <w:rsid w:val="00D21D54"/>
    <w:rsid w:val="00D22640"/>
    <w:rsid w:val="00D26D3A"/>
    <w:rsid w:val="00D26FBB"/>
    <w:rsid w:val="00D3058C"/>
    <w:rsid w:val="00D33949"/>
    <w:rsid w:val="00D40A41"/>
    <w:rsid w:val="00D42D80"/>
    <w:rsid w:val="00D45EE3"/>
    <w:rsid w:val="00D50618"/>
    <w:rsid w:val="00D509E9"/>
    <w:rsid w:val="00D523B2"/>
    <w:rsid w:val="00D53B1C"/>
    <w:rsid w:val="00D67F3A"/>
    <w:rsid w:val="00D704A8"/>
    <w:rsid w:val="00D704FB"/>
    <w:rsid w:val="00D72E62"/>
    <w:rsid w:val="00D7393E"/>
    <w:rsid w:val="00D80444"/>
    <w:rsid w:val="00D8314B"/>
    <w:rsid w:val="00D84BA1"/>
    <w:rsid w:val="00D85435"/>
    <w:rsid w:val="00D8644B"/>
    <w:rsid w:val="00D92731"/>
    <w:rsid w:val="00D92C56"/>
    <w:rsid w:val="00DA0DCD"/>
    <w:rsid w:val="00DA19CA"/>
    <w:rsid w:val="00DA1B12"/>
    <w:rsid w:val="00DA25E1"/>
    <w:rsid w:val="00DA4356"/>
    <w:rsid w:val="00DA46DD"/>
    <w:rsid w:val="00DA54C9"/>
    <w:rsid w:val="00DA6739"/>
    <w:rsid w:val="00DA6CAE"/>
    <w:rsid w:val="00DA7D1C"/>
    <w:rsid w:val="00DB1121"/>
    <w:rsid w:val="00DB1816"/>
    <w:rsid w:val="00DB1A9E"/>
    <w:rsid w:val="00DB31D6"/>
    <w:rsid w:val="00DB4005"/>
    <w:rsid w:val="00DB54D3"/>
    <w:rsid w:val="00DC34EB"/>
    <w:rsid w:val="00DC4A3A"/>
    <w:rsid w:val="00DC753C"/>
    <w:rsid w:val="00DD19D5"/>
    <w:rsid w:val="00DD75FE"/>
    <w:rsid w:val="00DE2996"/>
    <w:rsid w:val="00DE757D"/>
    <w:rsid w:val="00DF1E5B"/>
    <w:rsid w:val="00DF2275"/>
    <w:rsid w:val="00DF3F5E"/>
    <w:rsid w:val="00DF508A"/>
    <w:rsid w:val="00DF5653"/>
    <w:rsid w:val="00DF5EFD"/>
    <w:rsid w:val="00E01351"/>
    <w:rsid w:val="00E03E8F"/>
    <w:rsid w:val="00E04108"/>
    <w:rsid w:val="00E0596E"/>
    <w:rsid w:val="00E06F66"/>
    <w:rsid w:val="00E13B18"/>
    <w:rsid w:val="00E22BA8"/>
    <w:rsid w:val="00E335BD"/>
    <w:rsid w:val="00E356E5"/>
    <w:rsid w:val="00E36F81"/>
    <w:rsid w:val="00E37BE1"/>
    <w:rsid w:val="00E41F34"/>
    <w:rsid w:val="00E423BC"/>
    <w:rsid w:val="00E45765"/>
    <w:rsid w:val="00E5098C"/>
    <w:rsid w:val="00E55505"/>
    <w:rsid w:val="00E60213"/>
    <w:rsid w:val="00E63130"/>
    <w:rsid w:val="00E63DBA"/>
    <w:rsid w:val="00E661B2"/>
    <w:rsid w:val="00E66506"/>
    <w:rsid w:val="00E705C7"/>
    <w:rsid w:val="00E71FD4"/>
    <w:rsid w:val="00E74D29"/>
    <w:rsid w:val="00E75198"/>
    <w:rsid w:val="00E83C74"/>
    <w:rsid w:val="00E83CEE"/>
    <w:rsid w:val="00E8799C"/>
    <w:rsid w:val="00E910A8"/>
    <w:rsid w:val="00E918E2"/>
    <w:rsid w:val="00E91F18"/>
    <w:rsid w:val="00E9226D"/>
    <w:rsid w:val="00E926C6"/>
    <w:rsid w:val="00EA0BBF"/>
    <w:rsid w:val="00EA416C"/>
    <w:rsid w:val="00EA5941"/>
    <w:rsid w:val="00EA6575"/>
    <w:rsid w:val="00EA7F6A"/>
    <w:rsid w:val="00EB60CE"/>
    <w:rsid w:val="00EB7D53"/>
    <w:rsid w:val="00EC27C9"/>
    <w:rsid w:val="00EC6342"/>
    <w:rsid w:val="00ED55D8"/>
    <w:rsid w:val="00EE1ED2"/>
    <w:rsid w:val="00EE3146"/>
    <w:rsid w:val="00EE51EF"/>
    <w:rsid w:val="00EF15F8"/>
    <w:rsid w:val="00EF3434"/>
    <w:rsid w:val="00EF368F"/>
    <w:rsid w:val="00EF4B15"/>
    <w:rsid w:val="00EF50BB"/>
    <w:rsid w:val="00EF53FF"/>
    <w:rsid w:val="00EF6D81"/>
    <w:rsid w:val="00F00192"/>
    <w:rsid w:val="00F01DF6"/>
    <w:rsid w:val="00F0340D"/>
    <w:rsid w:val="00F059A6"/>
    <w:rsid w:val="00F05AE0"/>
    <w:rsid w:val="00F21E79"/>
    <w:rsid w:val="00F22CFB"/>
    <w:rsid w:val="00F22DCF"/>
    <w:rsid w:val="00F23756"/>
    <w:rsid w:val="00F2523A"/>
    <w:rsid w:val="00F25FFA"/>
    <w:rsid w:val="00F26D3B"/>
    <w:rsid w:val="00F310D2"/>
    <w:rsid w:val="00F31F70"/>
    <w:rsid w:val="00F32CB6"/>
    <w:rsid w:val="00F36B8A"/>
    <w:rsid w:val="00F36F3D"/>
    <w:rsid w:val="00F37B5D"/>
    <w:rsid w:val="00F40614"/>
    <w:rsid w:val="00F454BB"/>
    <w:rsid w:val="00F477AA"/>
    <w:rsid w:val="00F477BD"/>
    <w:rsid w:val="00F53254"/>
    <w:rsid w:val="00F53369"/>
    <w:rsid w:val="00F53491"/>
    <w:rsid w:val="00F539C2"/>
    <w:rsid w:val="00F625FB"/>
    <w:rsid w:val="00F65A1C"/>
    <w:rsid w:val="00F66F50"/>
    <w:rsid w:val="00F709FA"/>
    <w:rsid w:val="00F7528B"/>
    <w:rsid w:val="00F82FF8"/>
    <w:rsid w:val="00F8330D"/>
    <w:rsid w:val="00F84305"/>
    <w:rsid w:val="00F84689"/>
    <w:rsid w:val="00F8485C"/>
    <w:rsid w:val="00F87149"/>
    <w:rsid w:val="00F87FFE"/>
    <w:rsid w:val="00F947BB"/>
    <w:rsid w:val="00F954C9"/>
    <w:rsid w:val="00F979F4"/>
    <w:rsid w:val="00FA0E88"/>
    <w:rsid w:val="00FA1F88"/>
    <w:rsid w:val="00FA24FD"/>
    <w:rsid w:val="00FA4CF0"/>
    <w:rsid w:val="00FA61AA"/>
    <w:rsid w:val="00FA69A4"/>
    <w:rsid w:val="00FB0A1D"/>
    <w:rsid w:val="00FB1279"/>
    <w:rsid w:val="00FB1495"/>
    <w:rsid w:val="00FB4E81"/>
    <w:rsid w:val="00FC708B"/>
    <w:rsid w:val="00FD0D8A"/>
    <w:rsid w:val="00FD1694"/>
    <w:rsid w:val="00FD1A1F"/>
    <w:rsid w:val="00FD7636"/>
    <w:rsid w:val="00FD764D"/>
    <w:rsid w:val="00FE0E37"/>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5EC2C10-FA8C-4CEF-A98F-1B55A747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281"/>
    <w:pPr>
      <w:spacing w:after="160" w:line="25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Bullet">
    <w:name w:val="Bullet"/>
    <w:aliases w:val="b,b1,b + line,Body"/>
    <w:basedOn w:val="Normal"/>
    <w:qFormat/>
    <w:rsid w:val="00995B87"/>
    <w:pPr>
      <w:numPr>
        <w:numId w:val="7"/>
      </w:numPr>
      <w:spacing w:after="240" w:line="240" w:lineRule="auto"/>
    </w:pPr>
    <w:rPr>
      <w:rFonts w:ascii="Times New Roman" w:eastAsia="Times New Roman" w:hAnsi="Times New Roman" w:cs="Times New Roman"/>
      <w:sz w:val="24"/>
      <w:szCs w:val="20"/>
      <w:lang w:eastAsia="en-AU"/>
    </w:rPr>
  </w:style>
  <w:style w:type="paragraph" w:customStyle="1" w:styleId="Dash">
    <w:name w:val="Dash"/>
    <w:basedOn w:val="Normal"/>
    <w:link w:val="DashChar"/>
    <w:qFormat/>
    <w:rsid w:val="00995B87"/>
    <w:pPr>
      <w:numPr>
        <w:ilvl w:val="1"/>
        <w:numId w:val="7"/>
      </w:numPr>
      <w:spacing w:after="240" w:line="240" w:lineRule="auto"/>
    </w:pPr>
    <w:rPr>
      <w:rFonts w:ascii="Times New Roman" w:eastAsia="Times New Roman" w:hAnsi="Times New Roman" w:cs="Times New Roman"/>
      <w:sz w:val="24"/>
      <w:szCs w:val="20"/>
      <w:lang w:eastAsia="en-AU"/>
    </w:rPr>
  </w:style>
  <w:style w:type="paragraph" w:customStyle="1" w:styleId="DoubleDot">
    <w:name w:val="Double Dot"/>
    <w:basedOn w:val="Normal"/>
    <w:uiPriority w:val="99"/>
    <w:rsid w:val="00995B87"/>
    <w:pPr>
      <w:numPr>
        <w:ilvl w:val="2"/>
        <w:numId w:val="7"/>
      </w:numPr>
      <w:spacing w:after="240" w:line="240" w:lineRule="auto"/>
    </w:pPr>
    <w:rPr>
      <w:rFonts w:ascii="Times New Roman" w:eastAsia="Times New Roman" w:hAnsi="Times New Roman" w:cs="Times New Roman"/>
      <w:sz w:val="24"/>
      <w:szCs w:val="20"/>
      <w:lang w:eastAsia="en-AU"/>
    </w:rPr>
  </w:style>
  <w:style w:type="character" w:customStyle="1" w:styleId="DashChar">
    <w:name w:val="Dash Char"/>
    <w:link w:val="Dash"/>
    <w:rsid w:val="00995B87"/>
    <w:rPr>
      <w:rFonts w:ascii="Times New Roman" w:eastAsia="Times New Roman" w:hAnsi="Times New Roman"/>
      <w:sz w:val="24"/>
    </w:rPr>
  </w:style>
  <w:style w:type="character" w:styleId="CommentReference">
    <w:name w:val="annotation reference"/>
    <w:basedOn w:val="DefaultParagraphFont"/>
    <w:uiPriority w:val="99"/>
    <w:semiHidden/>
    <w:unhideWhenUsed/>
    <w:rsid w:val="00006978"/>
    <w:rPr>
      <w:sz w:val="16"/>
      <w:szCs w:val="16"/>
    </w:rPr>
  </w:style>
  <w:style w:type="paragraph" w:styleId="CommentText">
    <w:name w:val="annotation text"/>
    <w:basedOn w:val="Normal"/>
    <w:link w:val="CommentTextChar"/>
    <w:uiPriority w:val="99"/>
    <w:semiHidden/>
    <w:unhideWhenUsed/>
    <w:rsid w:val="00006978"/>
    <w:pPr>
      <w:spacing w:line="240" w:lineRule="auto"/>
    </w:pPr>
    <w:rPr>
      <w:sz w:val="20"/>
      <w:szCs w:val="20"/>
    </w:rPr>
  </w:style>
  <w:style w:type="character" w:customStyle="1" w:styleId="CommentTextChar">
    <w:name w:val="Comment Text Char"/>
    <w:basedOn w:val="DefaultParagraphFont"/>
    <w:link w:val="CommentText"/>
    <w:uiPriority w:val="99"/>
    <w:semiHidden/>
    <w:rsid w:val="0000697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06978"/>
    <w:rPr>
      <w:b/>
      <w:bCs/>
    </w:rPr>
  </w:style>
  <w:style w:type="character" w:customStyle="1" w:styleId="CommentSubjectChar">
    <w:name w:val="Comment Subject Char"/>
    <w:basedOn w:val="CommentTextChar"/>
    <w:link w:val="CommentSubject"/>
    <w:uiPriority w:val="99"/>
    <w:semiHidden/>
    <w:rsid w:val="00006978"/>
    <w:rPr>
      <w:rFonts w:asciiTheme="minorHAnsi" w:eastAsiaTheme="minorHAnsi" w:hAnsiTheme="minorHAnsi" w:cstheme="minorBidi"/>
      <w:b/>
      <w:bCs/>
      <w:lang w:eastAsia="en-US"/>
    </w:rPr>
  </w:style>
  <w:style w:type="character" w:customStyle="1" w:styleId="CERbulletsChar">
    <w:name w:val="CER bullets Char"/>
    <w:basedOn w:val="DefaultParagraphFont"/>
    <w:link w:val="CERbullets"/>
    <w:uiPriority w:val="7"/>
    <w:locked/>
    <w:rsid w:val="00302FEE"/>
    <w:rPr>
      <w:rFonts w:ascii="Calibri" w:hAnsi="Calibri" w:cs="Calibri"/>
    </w:rPr>
  </w:style>
  <w:style w:type="paragraph" w:customStyle="1" w:styleId="CERbullets">
    <w:name w:val="CER bullets"/>
    <w:basedOn w:val="Normal"/>
    <w:link w:val="CERbulletsChar"/>
    <w:uiPriority w:val="7"/>
    <w:qFormat/>
    <w:rsid w:val="00302FEE"/>
    <w:pPr>
      <w:numPr>
        <w:numId w:val="8"/>
      </w:numPr>
      <w:spacing w:before="120" w:after="120" w:line="240" w:lineRule="auto"/>
    </w:pPr>
    <w:rPr>
      <w:rFonts w:ascii="Calibri" w:eastAsia="Calibri" w:hAnsi="Calibri" w:cs="Calibri"/>
      <w:sz w:val="20"/>
      <w:szCs w:val="20"/>
      <w:lang w:eastAsia="en-AU"/>
    </w:rPr>
  </w:style>
  <w:style w:type="paragraph" w:styleId="Revision">
    <w:name w:val="Revision"/>
    <w:hidden/>
    <w:uiPriority w:val="99"/>
    <w:semiHidden/>
    <w:rsid w:val="00E22BA8"/>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14B8A"/>
    <w:rPr>
      <w:color w:val="0000FF" w:themeColor="hyperlink"/>
      <w:u w:val="single"/>
    </w:rPr>
  </w:style>
  <w:style w:type="paragraph" w:customStyle="1" w:styleId="s8">
    <w:name w:val="s8"/>
    <w:basedOn w:val="Normal"/>
    <w:rsid w:val="0091515F"/>
    <w:pPr>
      <w:spacing w:before="100" w:beforeAutospacing="1" w:after="100" w:afterAutospacing="1" w:line="240" w:lineRule="auto"/>
    </w:pPr>
    <w:rPr>
      <w:rFonts w:ascii="Times New Roman" w:hAnsi="Times New Roman" w:cs="Times New Roman"/>
      <w:sz w:val="24"/>
      <w:szCs w:val="24"/>
      <w:lang w:eastAsia="en-AU"/>
    </w:rPr>
  </w:style>
  <w:style w:type="character" w:customStyle="1" w:styleId="bumpedfont15">
    <w:name w:val="bumpedfont15"/>
    <w:basedOn w:val="DefaultParagraphFont"/>
    <w:rsid w:val="0091515F"/>
  </w:style>
  <w:style w:type="paragraph" w:customStyle="1" w:styleId="Default">
    <w:name w:val="Default"/>
    <w:rsid w:val="00D92C56"/>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uiPriority w:val="99"/>
    <w:semiHidden/>
    <w:unhideWhenUsed/>
    <w:rsid w:val="00B83D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D02"/>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83D02"/>
    <w:rPr>
      <w:vertAlign w:val="superscript"/>
    </w:rPr>
  </w:style>
  <w:style w:type="character" w:styleId="FollowedHyperlink">
    <w:name w:val="FollowedHyperlink"/>
    <w:basedOn w:val="DefaultParagraphFont"/>
    <w:uiPriority w:val="99"/>
    <w:semiHidden/>
    <w:unhideWhenUsed/>
    <w:rsid w:val="00B83D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272">
      <w:bodyDiv w:val="1"/>
      <w:marLeft w:val="0"/>
      <w:marRight w:val="0"/>
      <w:marTop w:val="0"/>
      <w:marBottom w:val="0"/>
      <w:divBdr>
        <w:top w:val="none" w:sz="0" w:space="0" w:color="auto"/>
        <w:left w:val="none" w:sz="0" w:space="0" w:color="auto"/>
        <w:bottom w:val="none" w:sz="0" w:space="0" w:color="auto"/>
        <w:right w:val="none" w:sz="0" w:space="0" w:color="auto"/>
      </w:divBdr>
    </w:div>
    <w:div w:id="299918310">
      <w:bodyDiv w:val="1"/>
      <w:marLeft w:val="0"/>
      <w:marRight w:val="0"/>
      <w:marTop w:val="0"/>
      <w:marBottom w:val="0"/>
      <w:divBdr>
        <w:top w:val="none" w:sz="0" w:space="0" w:color="auto"/>
        <w:left w:val="none" w:sz="0" w:space="0" w:color="auto"/>
        <w:bottom w:val="none" w:sz="0" w:space="0" w:color="auto"/>
        <w:right w:val="none" w:sz="0" w:space="0" w:color="auto"/>
      </w:divBdr>
    </w:div>
    <w:div w:id="423496475">
      <w:bodyDiv w:val="1"/>
      <w:marLeft w:val="0"/>
      <w:marRight w:val="0"/>
      <w:marTop w:val="0"/>
      <w:marBottom w:val="0"/>
      <w:divBdr>
        <w:top w:val="none" w:sz="0" w:space="0" w:color="auto"/>
        <w:left w:val="none" w:sz="0" w:space="0" w:color="auto"/>
        <w:bottom w:val="none" w:sz="0" w:space="0" w:color="auto"/>
        <w:right w:val="none" w:sz="0" w:space="0" w:color="auto"/>
      </w:divBdr>
    </w:div>
    <w:div w:id="645403821">
      <w:bodyDiv w:val="1"/>
      <w:marLeft w:val="0"/>
      <w:marRight w:val="0"/>
      <w:marTop w:val="0"/>
      <w:marBottom w:val="0"/>
      <w:divBdr>
        <w:top w:val="none" w:sz="0" w:space="0" w:color="auto"/>
        <w:left w:val="none" w:sz="0" w:space="0" w:color="auto"/>
        <w:bottom w:val="none" w:sz="0" w:space="0" w:color="auto"/>
        <w:right w:val="none" w:sz="0" w:space="0" w:color="auto"/>
      </w:divBdr>
    </w:div>
    <w:div w:id="717508339">
      <w:bodyDiv w:val="1"/>
      <w:marLeft w:val="0"/>
      <w:marRight w:val="0"/>
      <w:marTop w:val="0"/>
      <w:marBottom w:val="0"/>
      <w:divBdr>
        <w:top w:val="none" w:sz="0" w:space="0" w:color="auto"/>
        <w:left w:val="none" w:sz="0" w:space="0" w:color="auto"/>
        <w:bottom w:val="none" w:sz="0" w:space="0" w:color="auto"/>
        <w:right w:val="none" w:sz="0" w:space="0" w:color="auto"/>
      </w:divBdr>
    </w:div>
    <w:div w:id="732317703">
      <w:bodyDiv w:val="1"/>
      <w:marLeft w:val="0"/>
      <w:marRight w:val="0"/>
      <w:marTop w:val="0"/>
      <w:marBottom w:val="0"/>
      <w:divBdr>
        <w:top w:val="none" w:sz="0" w:space="0" w:color="auto"/>
        <w:left w:val="none" w:sz="0" w:space="0" w:color="auto"/>
        <w:bottom w:val="none" w:sz="0" w:space="0" w:color="auto"/>
        <w:right w:val="none" w:sz="0" w:space="0" w:color="auto"/>
      </w:divBdr>
    </w:div>
    <w:div w:id="871460505">
      <w:bodyDiv w:val="1"/>
      <w:marLeft w:val="0"/>
      <w:marRight w:val="0"/>
      <w:marTop w:val="0"/>
      <w:marBottom w:val="0"/>
      <w:divBdr>
        <w:top w:val="none" w:sz="0" w:space="0" w:color="auto"/>
        <w:left w:val="none" w:sz="0" w:space="0" w:color="auto"/>
        <w:bottom w:val="none" w:sz="0" w:space="0" w:color="auto"/>
        <w:right w:val="none" w:sz="0" w:space="0" w:color="auto"/>
      </w:divBdr>
    </w:div>
    <w:div w:id="1133870537">
      <w:bodyDiv w:val="1"/>
      <w:marLeft w:val="0"/>
      <w:marRight w:val="0"/>
      <w:marTop w:val="0"/>
      <w:marBottom w:val="0"/>
      <w:divBdr>
        <w:top w:val="none" w:sz="0" w:space="0" w:color="auto"/>
        <w:left w:val="none" w:sz="0" w:space="0" w:color="auto"/>
        <w:bottom w:val="none" w:sz="0" w:space="0" w:color="auto"/>
        <w:right w:val="none" w:sz="0" w:space="0" w:color="auto"/>
      </w:divBdr>
    </w:div>
    <w:div w:id="1163663723">
      <w:bodyDiv w:val="1"/>
      <w:marLeft w:val="0"/>
      <w:marRight w:val="0"/>
      <w:marTop w:val="0"/>
      <w:marBottom w:val="0"/>
      <w:divBdr>
        <w:top w:val="none" w:sz="0" w:space="0" w:color="auto"/>
        <w:left w:val="none" w:sz="0" w:space="0" w:color="auto"/>
        <w:bottom w:val="none" w:sz="0" w:space="0" w:color="auto"/>
        <w:right w:val="none" w:sz="0" w:space="0" w:color="auto"/>
      </w:divBdr>
    </w:div>
    <w:div w:id="1225988028">
      <w:bodyDiv w:val="1"/>
      <w:marLeft w:val="0"/>
      <w:marRight w:val="0"/>
      <w:marTop w:val="0"/>
      <w:marBottom w:val="0"/>
      <w:divBdr>
        <w:top w:val="none" w:sz="0" w:space="0" w:color="auto"/>
        <w:left w:val="none" w:sz="0" w:space="0" w:color="auto"/>
        <w:bottom w:val="none" w:sz="0" w:space="0" w:color="auto"/>
        <w:right w:val="none" w:sz="0" w:space="0" w:color="auto"/>
      </w:divBdr>
    </w:div>
    <w:div w:id="1454249775">
      <w:bodyDiv w:val="1"/>
      <w:marLeft w:val="0"/>
      <w:marRight w:val="0"/>
      <w:marTop w:val="0"/>
      <w:marBottom w:val="0"/>
      <w:divBdr>
        <w:top w:val="none" w:sz="0" w:space="0" w:color="auto"/>
        <w:left w:val="none" w:sz="0" w:space="0" w:color="auto"/>
        <w:bottom w:val="none" w:sz="0" w:space="0" w:color="auto"/>
        <w:right w:val="none" w:sz="0" w:space="0" w:color="auto"/>
      </w:divBdr>
    </w:div>
    <w:div w:id="1638341037">
      <w:bodyDiv w:val="1"/>
      <w:marLeft w:val="0"/>
      <w:marRight w:val="0"/>
      <w:marTop w:val="0"/>
      <w:marBottom w:val="0"/>
      <w:divBdr>
        <w:top w:val="none" w:sz="0" w:space="0" w:color="auto"/>
        <w:left w:val="none" w:sz="0" w:space="0" w:color="auto"/>
        <w:bottom w:val="none" w:sz="0" w:space="0" w:color="auto"/>
        <w:right w:val="none" w:sz="0" w:space="0" w:color="auto"/>
      </w:divBdr>
    </w:div>
    <w:div w:id="2056539648">
      <w:bodyDiv w:val="1"/>
      <w:marLeft w:val="0"/>
      <w:marRight w:val="0"/>
      <w:marTop w:val="0"/>
      <w:marBottom w:val="0"/>
      <w:divBdr>
        <w:top w:val="none" w:sz="0" w:space="0" w:color="auto"/>
        <w:left w:val="none" w:sz="0" w:space="0" w:color="auto"/>
        <w:bottom w:val="none" w:sz="0" w:space="0" w:color="auto"/>
        <w:right w:val="none" w:sz="0" w:space="0" w:color="auto"/>
      </w:divBdr>
    </w:div>
    <w:div w:id="20751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leanenergyregulator.gov.au/Infohub/Markets/buying-accus/australian-carbon-credit-unit-market-updates/statement-of-opportunities-in-the-accu-market-%E2%80%93-march-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FCB08C2E.dotm</Template>
  <TotalTime>0</TotalTime>
  <Pages>8</Pages>
  <Words>2509</Words>
  <Characters>14305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Climate Change Authority’s Review of the National Greenhouse and Energy Reporting Legislation</dc:title>
  <dc:creator>Australian Government</dc:creator>
  <cp:lastModifiedBy>Bec Durack</cp:lastModifiedBy>
  <cp:revision>2</cp:revision>
  <dcterms:created xsi:type="dcterms:W3CDTF">2019-08-02T07:20:00Z</dcterms:created>
  <dcterms:modified xsi:type="dcterms:W3CDTF">2019-08-02T07:20:00Z</dcterms:modified>
</cp:coreProperties>
</file>