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19" w:rsidRPr="00070964" w:rsidRDefault="006A41CB" w:rsidP="008060DE">
      <w:pPr>
        <w:spacing w:before="120" w:after="120" w:line="240" w:lineRule="auto"/>
        <w:jc w:val="center"/>
        <w:rPr>
          <w:rFonts w:ascii="Times New Roman" w:hAnsi="Times New Roman"/>
        </w:rPr>
      </w:pPr>
      <w:r>
        <w:rPr>
          <w:caps/>
          <w:noProof/>
          <w:lang w:eastAsia="en-AU"/>
        </w:rPr>
        <w:drawing>
          <wp:inline distT="0" distB="0" distL="0" distR="0" wp14:anchorId="51F16D62" wp14:editId="35FE2464">
            <wp:extent cx="2468880" cy="1371600"/>
            <wp:effectExtent l="19050" t="0" r="7620" b="0"/>
            <wp:docPr id="1"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7" cstate="print"/>
                    <a:srcRect/>
                    <a:stretch>
                      <a:fillRect/>
                    </a:stretch>
                  </pic:blipFill>
                  <pic:spPr bwMode="auto">
                    <a:xfrm>
                      <a:off x="0" y="0"/>
                      <a:ext cx="2468880" cy="1371600"/>
                    </a:xfrm>
                    <a:prstGeom prst="rect">
                      <a:avLst/>
                    </a:prstGeom>
                    <a:noFill/>
                    <a:ln w="9525">
                      <a:noFill/>
                      <a:miter lim="800000"/>
                      <a:headEnd/>
                      <a:tailEnd/>
                    </a:ln>
                  </pic:spPr>
                </pic:pic>
              </a:graphicData>
            </a:graphic>
          </wp:inline>
        </w:drawing>
      </w:r>
    </w:p>
    <w:p w:rsidR="008060DE" w:rsidRDefault="008060DE" w:rsidP="008060DE">
      <w:pPr>
        <w:spacing w:before="120" w:after="120" w:line="240" w:lineRule="auto"/>
        <w:jc w:val="center"/>
        <w:rPr>
          <w:rFonts w:ascii="Times New Roman" w:hAnsi="Times New Roman"/>
        </w:rPr>
      </w:pPr>
    </w:p>
    <w:p w:rsidR="00E83723" w:rsidRDefault="00E83723" w:rsidP="008060DE">
      <w:pPr>
        <w:spacing w:before="120" w:after="120" w:line="240" w:lineRule="auto"/>
        <w:jc w:val="center"/>
        <w:rPr>
          <w:rFonts w:ascii="Times New Roman" w:hAnsi="Times New Roman"/>
        </w:rPr>
      </w:pPr>
    </w:p>
    <w:p w:rsidR="00E83723" w:rsidRPr="00070964" w:rsidRDefault="00E83723" w:rsidP="008060DE">
      <w:pPr>
        <w:spacing w:before="120" w:after="120" w:line="240" w:lineRule="auto"/>
        <w:jc w:val="center"/>
        <w:rPr>
          <w:rFonts w:ascii="Times New Roman" w:hAnsi="Times New Roman"/>
        </w:rPr>
      </w:pPr>
    </w:p>
    <w:p w:rsidR="00207119" w:rsidRDefault="00207119" w:rsidP="00625698">
      <w:pPr>
        <w:spacing w:before="120" w:after="120" w:line="240" w:lineRule="auto"/>
        <w:jc w:val="center"/>
        <w:rPr>
          <w:rFonts w:ascii="Times New Roman" w:hAnsi="Times New Roman"/>
          <w:sz w:val="32"/>
          <w:szCs w:val="32"/>
        </w:rPr>
      </w:pPr>
      <w:bookmarkStart w:id="0" w:name="_GoBack"/>
      <w:r w:rsidRPr="00E83723">
        <w:rPr>
          <w:rFonts w:ascii="Times New Roman" w:hAnsi="Times New Roman"/>
          <w:sz w:val="32"/>
          <w:szCs w:val="32"/>
        </w:rPr>
        <w:t xml:space="preserve">Australian Government </w:t>
      </w:r>
      <w:r w:rsidR="00B171DE">
        <w:rPr>
          <w:rFonts w:ascii="Times New Roman" w:hAnsi="Times New Roman"/>
          <w:sz w:val="32"/>
          <w:szCs w:val="32"/>
        </w:rPr>
        <w:t>r</w:t>
      </w:r>
      <w:r w:rsidRPr="00E83723">
        <w:rPr>
          <w:rFonts w:ascii="Times New Roman" w:hAnsi="Times New Roman"/>
          <w:sz w:val="32"/>
          <w:szCs w:val="32"/>
        </w:rPr>
        <w:t>esponse</w:t>
      </w:r>
      <w:r w:rsidR="00E83723">
        <w:rPr>
          <w:rFonts w:ascii="Times New Roman" w:hAnsi="Times New Roman"/>
          <w:sz w:val="32"/>
          <w:szCs w:val="32"/>
        </w:rPr>
        <w:t xml:space="preserve"> to the </w:t>
      </w:r>
      <w:r w:rsidRPr="00070964">
        <w:rPr>
          <w:rFonts w:ascii="Times New Roman" w:hAnsi="Times New Roman"/>
          <w:sz w:val="32"/>
          <w:szCs w:val="32"/>
        </w:rPr>
        <w:t>Senate Select Committee on Red Tape</w:t>
      </w:r>
      <w:r w:rsidR="00E83723">
        <w:rPr>
          <w:rFonts w:ascii="Times New Roman" w:hAnsi="Times New Roman"/>
          <w:sz w:val="32"/>
          <w:szCs w:val="32"/>
        </w:rPr>
        <w:t xml:space="preserve"> Interim Report:</w:t>
      </w:r>
    </w:p>
    <w:p w:rsidR="00E83723" w:rsidRPr="00070964" w:rsidRDefault="00E83723" w:rsidP="008060DE">
      <w:pPr>
        <w:spacing w:before="120" w:after="120" w:line="240" w:lineRule="auto"/>
        <w:jc w:val="center"/>
        <w:rPr>
          <w:rFonts w:ascii="Times New Roman" w:hAnsi="Times New Roman"/>
          <w:sz w:val="32"/>
          <w:szCs w:val="32"/>
        </w:rPr>
      </w:pPr>
    </w:p>
    <w:p w:rsidR="00207119" w:rsidRPr="00070964" w:rsidRDefault="00207119" w:rsidP="008060DE">
      <w:pPr>
        <w:spacing w:before="120" w:after="120" w:line="240" w:lineRule="auto"/>
        <w:jc w:val="center"/>
        <w:rPr>
          <w:rFonts w:ascii="Times New Roman" w:hAnsi="Times New Roman"/>
          <w:i/>
          <w:sz w:val="32"/>
          <w:szCs w:val="32"/>
        </w:rPr>
      </w:pPr>
      <w:r w:rsidRPr="00070964">
        <w:rPr>
          <w:rFonts w:ascii="Times New Roman" w:hAnsi="Times New Roman"/>
          <w:i/>
          <w:sz w:val="32"/>
          <w:szCs w:val="32"/>
        </w:rPr>
        <w:t>Effects of red tape on environmental assessment and approvals</w:t>
      </w:r>
    </w:p>
    <w:bookmarkEnd w:id="0"/>
    <w:p w:rsidR="00207119" w:rsidRPr="00070964" w:rsidRDefault="00207119" w:rsidP="008060DE">
      <w:pPr>
        <w:spacing w:before="120" w:after="120" w:line="240" w:lineRule="auto"/>
        <w:jc w:val="center"/>
        <w:rPr>
          <w:rFonts w:ascii="Times New Roman" w:hAnsi="Times New Roman"/>
          <w:i/>
          <w:sz w:val="32"/>
          <w:szCs w:val="32"/>
        </w:rPr>
      </w:pPr>
    </w:p>
    <w:p w:rsidR="008060DE" w:rsidRPr="00070964" w:rsidRDefault="008060DE" w:rsidP="008060DE">
      <w:pPr>
        <w:spacing w:before="120" w:after="120" w:line="240" w:lineRule="auto"/>
        <w:jc w:val="center"/>
        <w:rPr>
          <w:rFonts w:ascii="Times New Roman" w:hAnsi="Times New Roman"/>
          <w:i/>
          <w:sz w:val="32"/>
          <w:szCs w:val="32"/>
        </w:rPr>
      </w:pPr>
    </w:p>
    <w:p w:rsidR="008060DE" w:rsidRPr="00070964" w:rsidRDefault="008060DE" w:rsidP="008060DE">
      <w:pPr>
        <w:spacing w:before="120" w:after="120" w:line="240" w:lineRule="auto"/>
        <w:jc w:val="center"/>
        <w:rPr>
          <w:rFonts w:ascii="Times New Roman" w:hAnsi="Times New Roman"/>
          <w:i/>
          <w:sz w:val="32"/>
          <w:szCs w:val="32"/>
        </w:rPr>
      </w:pPr>
    </w:p>
    <w:p w:rsidR="00207119" w:rsidRPr="00070964" w:rsidRDefault="00207119" w:rsidP="008060DE">
      <w:pPr>
        <w:spacing w:before="120" w:after="120" w:line="240" w:lineRule="auto"/>
        <w:jc w:val="center"/>
        <w:rPr>
          <w:rFonts w:ascii="Times New Roman" w:hAnsi="Times New Roman"/>
          <w:sz w:val="32"/>
          <w:szCs w:val="32"/>
        </w:rPr>
      </w:pPr>
    </w:p>
    <w:p w:rsidR="00207119" w:rsidRPr="00070964" w:rsidRDefault="00207119" w:rsidP="008060DE">
      <w:pPr>
        <w:spacing w:before="120" w:after="120" w:line="240" w:lineRule="auto"/>
        <w:jc w:val="center"/>
        <w:rPr>
          <w:rFonts w:ascii="Times New Roman" w:hAnsi="Times New Roman"/>
          <w:sz w:val="32"/>
          <w:szCs w:val="32"/>
        </w:rPr>
      </w:pPr>
    </w:p>
    <w:p w:rsidR="00207119" w:rsidRPr="00070964" w:rsidRDefault="00207119"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8060DE" w:rsidRPr="00070964" w:rsidRDefault="008060DE" w:rsidP="008060DE">
      <w:pPr>
        <w:spacing w:before="120" w:after="120" w:line="240" w:lineRule="auto"/>
        <w:jc w:val="center"/>
        <w:rPr>
          <w:rFonts w:ascii="Times New Roman" w:hAnsi="Times New Roman"/>
          <w:sz w:val="32"/>
          <w:szCs w:val="32"/>
        </w:rPr>
      </w:pPr>
    </w:p>
    <w:p w:rsidR="00207119" w:rsidRPr="00070964" w:rsidRDefault="00386881" w:rsidP="00B171DE">
      <w:pPr>
        <w:spacing w:before="120" w:after="120" w:line="240" w:lineRule="auto"/>
        <w:jc w:val="right"/>
        <w:rPr>
          <w:rFonts w:ascii="Times New Roman" w:hAnsi="Times New Roman"/>
          <w:sz w:val="28"/>
          <w:szCs w:val="28"/>
          <w:highlight w:val="yellow"/>
        </w:rPr>
      </w:pPr>
      <w:r>
        <w:rPr>
          <w:rFonts w:ascii="Times New Roman" w:hAnsi="Times New Roman"/>
          <w:sz w:val="28"/>
          <w:szCs w:val="28"/>
        </w:rPr>
        <w:t>July</w:t>
      </w:r>
      <w:r w:rsidR="00207119" w:rsidRPr="00070964">
        <w:rPr>
          <w:rFonts w:ascii="Times New Roman" w:hAnsi="Times New Roman"/>
          <w:sz w:val="28"/>
          <w:szCs w:val="28"/>
        </w:rPr>
        <w:t xml:space="preserve"> </w:t>
      </w:r>
      <w:r w:rsidR="006B02B1" w:rsidRPr="00070964">
        <w:rPr>
          <w:rFonts w:ascii="Times New Roman" w:hAnsi="Times New Roman"/>
          <w:sz w:val="28"/>
          <w:szCs w:val="28"/>
        </w:rPr>
        <w:t>201</w:t>
      </w:r>
      <w:r w:rsidR="00C1617F">
        <w:rPr>
          <w:rFonts w:ascii="Times New Roman" w:hAnsi="Times New Roman"/>
          <w:sz w:val="28"/>
          <w:szCs w:val="28"/>
        </w:rPr>
        <w:t>8</w:t>
      </w:r>
    </w:p>
    <w:p w:rsidR="00207119" w:rsidRPr="00332FAF" w:rsidRDefault="00207119" w:rsidP="008060DE">
      <w:pPr>
        <w:spacing w:before="120" w:after="120" w:line="240" w:lineRule="auto"/>
        <w:rPr>
          <w:rFonts w:ascii="Times New Roman" w:hAnsi="Times New Roman"/>
          <w:b/>
          <w:sz w:val="24"/>
          <w:szCs w:val="24"/>
        </w:rPr>
      </w:pPr>
      <w:r w:rsidRPr="00332FAF">
        <w:rPr>
          <w:rFonts w:ascii="Times New Roman" w:hAnsi="Times New Roman"/>
          <w:b/>
          <w:sz w:val="24"/>
          <w:szCs w:val="24"/>
        </w:rPr>
        <w:lastRenderedPageBreak/>
        <w:t>Introduction</w:t>
      </w:r>
    </w:p>
    <w:p w:rsidR="00C76BAA" w:rsidRDefault="00207119" w:rsidP="00C1617F">
      <w:pPr>
        <w:spacing w:before="120" w:after="120" w:line="240" w:lineRule="auto"/>
        <w:rPr>
          <w:rFonts w:ascii="Times New Roman" w:hAnsi="Times New Roman"/>
        </w:rPr>
      </w:pPr>
      <w:r w:rsidRPr="00070964">
        <w:rPr>
          <w:rFonts w:ascii="Times New Roman" w:hAnsi="Times New Roman"/>
        </w:rPr>
        <w:t xml:space="preserve">On </w:t>
      </w:r>
      <w:r w:rsidR="00C76BAA">
        <w:rPr>
          <w:rFonts w:ascii="Times New Roman" w:hAnsi="Times New Roman"/>
        </w:rPr>
        <w:t>11 October 2016, the</w:t>
      </w:r>
      <w:r w:rsidRPr="00070964">
        <w:rPr>
          <w:rFonts w:ascii="Times New Roman" w:hAnsi="Times New Roman"/>
        </w:rPr>
        <w:t xml:space="preserve"> Senate </w:t>
      </w:r>
      <w:r w:rsidR="00C76BAA">
        <w:rPr>
          <w:rFonts w:ascii="Times New Roman" w:hAnsi="Times New Roman"/>
        </w:rPr>
        <w:t xml:space="preserve">established the Select Committee on Red Tape (the committee) to inquire into and report on the effect of restrictions and prohibitions on business (red tape) on the economy and community, by 1 December 2017. </w:t>
      </w:r>
    </w:p>
    <w:p w:rsidR="00C76BAA" w:rsidRDefault="00C76BAA" w:rsidP="00C1617F">
      <w:pPr>
        <w:autoSpaceDE w:val="0"/>
        <w:autoSpaceDN w:val="0"/>
        <w:adjustRightInd w:val="0"/>
        <w:spacing w:before="120" w:after="120" w:line="240" w:lineRule="auto"/>
        <w:rPr>
          <w:rFonts w:ascii="Times New Roman" w:hAnsi="Times New Roman"/>
        </w:rPr>
      </w:pPr>
      <w:r w:rsidRPr="00070964">
        <w:rPr>
          <w:rFonts w:ascii="Times New Roman" w:hAnsi="Times New Roman"/>
          <w:color w:val="212221"/>
          <w:lang w:eastAsia="en-AU"/>
        </w:rPr>
        <w:t xml:space="preserve">On </w:t>
      </w:r>
      <w:r>
        <w:rPr>
          <w:rFonts w:ascii="Times New Roman" w:hAnsi="Times New Roman"/>
          <w:color w:val="212221"/>
          <w:lang w:eastAsia="en-AU"/>
        </w:rPr>
        <w:t>18 October 2017</w:t>
      </w:r>
      <w:r w:rsidRPr="00070964">
        <w:rPr>
          <w:rFonts w:ascii="Times New Roman" w:hAnsi="Times New Roman"/>
          <w:color w:val="212221"/>
          <w:lang w:eastAsia="en-AU"/>
        </w:rPr>
        <w:t xml:space="preserve">, the </w:t>
      </w:r>
      <w:r>
        <w:rPr>
          <w:rFonts w:ascii="Times New Roman" w:hAnsi="Times New Roman"/>
          <w:color w:val="212221"/>
          <w:lang w:eastAsia="en-AU"/>
        </w:rPr>
        <w:t xml:space="preserve">committee </w:t>
      </w:r>
      <w:r w:rsidRPr="00070964">
        <w:rPr>
          <w:rFonts w:ascii="Times New Roman" w:hAnsi="Times New Roman"/>
          <w:color w:val="212221"/>
          <w:lang w:eastAsia="en-AU"/>
        </w:rPr>
        <w:t>tabled its interim report</w:t>
      </w:r>
      <w:r>
        <w:rPr>
          <w:rFonts w:ascii="Times New Roman" w:hAnsi="Times New Roman"/>
          <w:color w:val="212221"/>
          <w:lang w:eastAsia="en-AU"/>
        </w:rPr>
        <w:t xml:space="preserve">, which </w:t>
      </w:r>
      <w:r>
        <w:rPr>
          <w:rFonts w:ascii="Times New Roman" w:hAnsi="Times New Roman"/>
        </w:rPr>
        <w:t>presents the committee’s findings and conclusions about the effect of red tape on environmental assessment and approvals.</w:t>
      </w:r>
    </w:p>
    <w:p w:rsidR="00070964" w:rsidRPr="00070964" w:rsidRDefault="00070964" w:rsidP="00C1617F">
      <w:pP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color w:val="212221"/>
          <w:lang w:eastAsia="en-AU"/>
        </w:rPr>
        <w:t xml:space="preserve">The Australian Government welcomes the opportunity to respond to this </w:t>
      </w:r>
      <w:r w:rsidR="009B547B">
        <w:rPr>
          <w:rFonts w:ascii="Times New Roman" w:hAnsi="Times New Roman"/>
          <w:color w:val="212221"/>
          <w:lang w:eastAsia="en-AU"/>
        </w:rPr>
        <w:t xml:space="preserve">interim </w:t>
      </w:r>
      <w:r w:rsidRPr="00070964">
        <w:rPr>
          <w:rFonts w:ascii="Times New Roman" w:hAnsi="Times New Roman"/>
          <w:color w:val="212221"/>
          <w:lang w:eastAsia="en-AU"/>
        </w:rPr>
        <w:t>report.</w:t>
      </w:r>
    </w:p>
    <w:p w:rsidR="00070964" w:rsidRDefault="00207119" w:rsidP="00C1617F">
      <w:pP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color w:val="212221"/>
          <w:lang w:eastAsia="en-AU"/>
        </w:rPr>
        <w:t>The Australian Government has considered the recommendations of the committee</w:t>
      </w:r>
      <w:r w:rsidRPr="00070964">
        <w:rPr>
          <w:rFonts w:ascii="Times New Roman" w:hAnsi="Times New Roman"/>
          <w:color w:val="3E403E"/>
          <w:lang w:eastAsia="en-AU"/>
        </w:rPr>
        <w:t>'</w:t>
      </w:r>
      <w:r w:rsidRPr="00070964">
        <w:rPr>
          <w:rFonts w:ascii="Times New Roman" w:hAnsi="Times New Roman"/>
          <w:color w:val="212221"/>
          <w:lang w:eastAsia="en-AU"/>
        </w:rPr>
        <w:t>s r</w:t>
      </w:r>
      <w:r w:rsidRPr="00070964">
        <w:rPr>
          <w:rFonts w:ascii="Times New Roman" w:hAnsi="Times New Roman"/>
          <w:color w:val="3E403E"/>
          <w:lang w:eastAsia="en-AU"/>
        </w:rPr>
        <w:t>e</w:t>
      </w:r>
      <w:r w:rsidRPr="00070964">
        <w:rPr>
          <w:rFonts w:ascii="Times New Roman" w:hAnsi="Times New Roman"/>
          <w:color w:val="212221"/>
          <w:lang w:eastAsia="en-AU"/>
        </w:rPr>
        <w:t>p</w:t>
      </w:r>
      <w:r w:rsidRPr="00070964">
        <w:rPr>
          <w:rFonts w:ascii="Times New Roman" w:hAnsi="Times New Roman"/>
          <w:color w:val="3E403E"/>
          <w:lang w:eastAsia="en-AU"/>
        </w:rPr>
        <w:t>o</w:t>
      </w:r>
      <w:r w:rsidRPr="00070964">
        <w:rPr>
          <w:rFonts w:ascii="Times New Roman" w:hAnsi="Times New Roman"/>
          <w:color w:val="212221"/>
          <w:lang w:eastAsia="en-AU"/>
        </w:rPr>
        <w:t>rt and has provided the responses below.</w:t>
      </w:r>
    </w:p>
    <w:p w:rsidR="00E83723" w:rsidRDefault="00E83723" w:rsidP="00C1617F">
      <w:pPr>
        <w:spacing w:before="120" w:after="120" w:line="240" w:lineRule="auto"/>
        <w:rPr>
          <w:rFonts w:ascii="Times New Roman" w:hAnsi="Times New Roman"/>
          <w:b/>
        </w:rPr>
      </w:pPr>
      <w:r>
        <w:rPr>
          <w:rFonts w:ascii="Times New Roman" w:hAnsi="Times New Roman"/>
          <w:b/>
        </w:rPr>
        <w:br w:type="page"/>
      </w:r>
    </w:p>
    <w:p w:rsidR="00207119" w:rsidRPr="00332FAF" w:rsidRDefault="00070964" w:rsidP="00E83723">
      <w:pPr>
        <w:spacing w:before="240" w:after="240" w:line="240" w:lineRule="auto"/>
        <w:rPr>
          <w:rFonts w:ascii="Times New Roman" w:hAnsi="Times New Roman"/>
          <w:b/>
          <w:sz w:val="24"/>
          <w:szCs w:val="24"/>
        </w:rPr>
      </w:pPr>
      <w:r w:rsidRPr="00332FAF">
        <w:rPr>
          <w:rFonts w:ascii="Times New Roman" w:hAnsi="Times New Roman"/>
          <w:b/>
          <w:sz w:val="24"/>
          <w:szCs w:val="24"/>
        </w:rPr>
        <w:lastRenderedPageBreak/>
        <w:t>Response to recommendations</w:t>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1</w:t>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color w:val="212221"/>
          <w:lang w:eastAsia="en-AU"/>
        </w:rPr>
        <w:t xml:space="preserve">2.1 The committee recommends that the Australian Government expedite its review of the </w:t>
      </w:r>
      <w:r w:rsidRPr="00070964">
        <w:rPr>
          <w:rFonts w:ascii="Times New Roman" w:hAnsi="Times New Roman"/>
          <w:i/>
          <w:color w:val="212221"/>
          <w:lang w:eastAsia="en-AU"/>
        </w:rPr>
        <w:t xml:space="preserve">Environment Protection and Biodiversity Conservation Act 1999 </w:t>
      </w:r>
      <w:r w:rsidRPr="00070964">
        <w:rPr>
          <w:rFonts w:ascii="Times New Roman" w:hAnsi="Times New Roman"/>
          <w:color w:val="212221"/>
          <w:lang w:eastAsia="en-AU"/>
        </w:rPr>
        <w:t>(</w:t>
      </w:r>
      <w:proofErr w:type="spellStart"/>
      <w:r w:rsidRPr="00070964">
        <w:rPr>
          <w:rFonts w:ascii="Times New Roman" w:hAnsi="Times New Roman"/>
          <w:color w:val="212221"/>
          <w:lang w:eastAsia="en-AU"/>
        </w:rPr>
        <w:t>Cth</w:t>
      </w:r>
      <w:proofErr w:type="spellEnd"/>
      <w:r w:rsidRPr="00070964">
        <w:rPr>
          <w:rFonts w:ascii="Times New Roman" w:hAnsi="Times New Roman"/>
          <w:color w:val="212221"/>
          <w:lang w:eastAsia="en-AU"/>
        </w:rPr>
        <w:t>), as required under section 522A of that Act, by bringing it forward to 2018.</w:t>
      </w:r>
    </w:p>
    <w:p w:rsidR="00207119"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00207119" w:rsidRPr="00070964">
        <w:rPr>
          <w:rFonts w:ascii="Times New Roman" w:hAnsi="Times New Roman"/>
          <w:b/>
          <w:color w:val="212221"/>
          <w:lang w:eastAsia="en-AU"/>
        </w:rPr>
        <w:t>esponse</w:t>
      </w:r>
    </w:p>
    <w:p w:rsidR="00070964" w:rsidRDefault="0091179E" w:rsidP="008060DE">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Noted</w:t>
      </w:r>
      <w:r w:rsidR="00070964">
        <w:rPr>
          <w:rFonts w:ascii="Times New Roman" w:hAnsi="Times New Roman"/>
          <w:color w:val="212221"/>
          <w:lang w:eastAsia="en-AU"/>
        </w:rPr>
        <w:t>.</w:t>
      </w:r>
    </w:p>
    <w:p w:rsidR="00070964" w:rsidRPr="00347ABA" w:rsidRDefault="00347ABA" w:rsidP="00347ABA">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 xml:space="preserve">The </w:t>
      </w:r>
      <w:r w:rsidR="009B547B">
        <w:rPr>
          <w:rFonts w:ascii="Times New Roman" w:hAnsi="Times New Roman"/>
          <w:color w:val="212221"/>
          <w:lang w:eastAsia="en-AU"/>
        </w:rPr>
        <w:t>next statutory</w:t>
      </w:r>
      <w:r>
        <w:rPr>
          <w:rFonts w:ascii="Times New Roman" w:hAnsi="Times New Roman"/>
          <w:color w:val="212221"/>
          <w:lang w:eastAsia="en-AU"/>
        </w:rPr>
        <w:t xml:space="preserve"> review of the </w:t>
      </w:r>
      <w:r>
        <w:rPr>
          <w:rFonts w:ascii="Times New Roman" w:hAnsi="Times New Roman"/>
          <w:i/>
          <w:color w:val="212221"/>
          <w:lang w:eastAsia="en-AU"/>
        </w:rPr>
        <w:t xml:space="preserve">Environment Protection and Biodiversity Conservation Act 1999 </w:t>
      </w:r>
      <w:r w:rsidR="002F5A13">
        <w:rPr>
          <w:rFonts w:ascii="Times New Roman" w:hAnsi="Times New Roman"/>
          <w:color w:val="212221"/>
          <w:lang w:eastAsia="en-AU"/>
        </w:rPr>
        <w:t xml:space="preserve">(EPBC Act) </w:t>
      </w:r>
      <w:r>
        <w:rPr>
          <w:rFonts w:ascii="Times New Roman" w:hAnsi="Times New Roman"/>
          <w:color w:val="212221"/>
          <w:lang w:eastAsia="en-AU"/>
        </w:rPr>
        <w:t>is due to commence by October 2019.</w:t>
      </w:r>
    </w:p>
    <w:p w:rsidR="00207119" w:rsidRPr="00070964" w:rsidRDefault="00207119"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2</w:t>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 xml:space="preserve">2.2 The committee recommends that the 'water trigger' be removed from the </w:t>
      </w:r>
      <w:r w:rsidRPr="00070964">
        <w:rPr>
          <w:rFonts w:ascii="Times New Roman" w:hAnsi="Times New Roman"/>
          <w:bCs/>
          <w:i/>
          <w:iCs/>
          <w:lang w:eastAsia="en-AU"/>
        </w:rPr>
        <w:t xml:space="preserve">Environment Protection and Biodiversity Conservation Act 1999 </w:t>
      </w:r>
      <w:r w:rsidRPr="00070964">
        <w:rPr>
          <w:rFonts w:ascii="Times New Roman" w:hAnsi="Times New Roman"/>
          <w:bCs/>
          <w:lang w:eastAsia="en-AU"/>
        </w:rPr>
        <w:t>(</w:t>
      </w:r>
      <w:proofErr w:type="spellStart"/>
      <w:r w:rsidRPr="00070964">
        <w:rPr>
          <w:rFonts w:ascii="Times New Roman" w:hAnsi="Times New Roman"/>
          <w:bCs/>
          <w:lang w:eastAsia="en-AU"/>
        </w:rPr>
        <w:t>Cth</w:t>
      </w:r>
      <w:proofErr w:type="spellEnd"/>
      <w:r w:rsidRPr="00070964">
        <w:rPr>
          <w:rFonts w:ascii="Times New Roman" w:hAnsi="Times New Roman"/>
          <w:bCs/>
          <w:lang w:eastAsia="en-AU"/>
        </w:rPr>
        <w:t>).</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Pr="00070964">
        <w:rPr>
          <w:rFonts w:ascii="Times New Roman" w:hAnsi="Times New Roman"/>
          <w:b/>
          <w:color w:val="212221"/>
          <w:lang w:eastAsia="en-AU"/>
        </w:rPr>
        <w:t>esponse</w:t>
      </w:r>
    </w:p>
    <w:p w:rsidR="008060DE" w:rsidRDefault="00163D98" w:rsidP="008060DE">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 agreed.</w:t>
      </w:r>
    </w:p>
    <w:p w:rsidR="00163D98" w:rsidRDefault="00163D98" w:rsidP="00163D98">
      <w:pPr>
        <w:autoSpaceDE w:val="0"/>
        <w:autoSpaceDN w:val="0"/>
        <w:adjustRightInd w:val="0"/>
        <w:spacing w:before="120" w:after="120" w:line="240" w:lineRule="auto"/>
        <w:rPr>
          <w:rFonts w:ascii="Times New Roman" w:hAnsi="Times New Roman"/>
          <w:color w:val="212221"/>
          <w:lang w:eastAsia="en-AU"/>
        </w:rPr>
      </w:pPr>
      <w:r w:rsidRPr="00163D98">
        <w:rPr>
          <w:rFonts w:ascii="Times New Roman" w:hAnsi="Times New Roman"/>
          <w:color w:val="212221"/>
          <w:lang w:eastAsia="en-AU"/>
        </w:rPr>
        <w:t xml:space="preserve">The EPBC Amendment Act 2013 (known as the ‘water trigger’) was passed by the Australian Parliament on 19 June 2013 and came into effect on 22 June 2013. The amendment added the protection of water resources from coal seam gas and large coal mining developments as an additional matter of national environmental significance under the EPBC Act. </w:t>
      </w:r>
    </w:p>
    <w:p w:rsidR="003B1079" w:rsidRPr="003B1079" w:rsidRDefault="003B1079" w:rsidP="003B1079">
      <w:pPr>
        <w:autoSpaceDE w:val="0"/>
        <w:autoSpaceDN w:val="0"/>
        <w:adjustRightInd w:val="0"/>
        <w:spacing w:before="120" w:after="120" w:line="240" w:lineRule="auto"/>
        <w:rPr>
          <w:rFonts w:ascii="Times New Roman" w:hAnsi="Times New Roman"/>
          <w:color w:val="212221"/>
          <w:lang w:eastAsia="en-AU"/>
        </w:rPr>
      </w:pPr>
      <w:r w:rsidRPr="003B1079">
        <w:rPr>
          <w:rFonts w:ascii="Times New Roman" w:hAnsi="Times New Roman"/>
          <w:color w:val="212221"/>
          <w:lang w:eastAsia="en-AU"/>
        </w:rPr>
        <w:t>The effectiveness of the water trigger le</w:t>
      </w:r>
      <w:r>
        <w:rPr>
          <w:rFonts w:ascii="Times New Roman" w:hAnsi="Times New Roman"/>
          <w:color w:val="212221"/>
          <w:lang w:eastAsia="en-AU"/>
        </w:rPr>
        <w:t xml:space="preserve">gislation was </w:t>
      </w:r>
      <w:r w:rsidR="002F5484">
        <w:rPr>
          <w:rFonts w:ascii="Times New Roman" w:hAnsi="Times New Roman"/>
          <w:color w:val="212221"/>
          <w:lang w:eastAsia="en-AU"/>
        </w:rPr>
        <w:t xml:space="preserve">independently </w:t>
      </w:r>
      <w:r>
        <w:rPr>
          <w:rFonts w:ascii="Times New Roman" w:hAnsi="Times New Roman"/>
          <w:color w:val="212221"/>
          <w:lang w:eastAsia="en-AU"/>
        </w:rPr>
        <w:t>reviewed in 2017</w:t>
      </w:r>
      <w:r w:rsidRPr="003B1079">
        <w:rPr>
          <w:rFonts w:ascii="Times New Roman" w:hAnsi="Times New Roman"/>
          <w:color w:val="212221"/>
          <w:lang w:eastAsia="en-AU"/>
        </w:rPr>
        <w:t xml:space="preserve">. The </w:t>
      </w:r>
      <w:r w:rsidR="006A41CB">
        <w:rPr>
          <w:rFonts w:ascii="Times New Roman" w:hAnsi="Times New Roman"/>
          <w:color w:val="212221"/>
          <w:lang w:eastAsia="en-AU"/>
        </w:rPr>
        <w:t>r</w:t>
      </w:r>
      <w:r w:rsidRPr="003B1079">
        <w:rPr>
          <w:rFonts w:ascii="Times New Roman" w:hAnsi="Times New Roman"/>
          <w:color w:val="212221"/>
          <w:lang w:eastAsia="en-AU"/>
        </w:rPr>
        <w:t>eview concluded that the water trigger is an appropriate public policy response to the potential risks associated with coal seam gas and large coal mining, and did not recommend any legislative changes.</w:t>
      </w:r>
    </w:p>
    <w:p w:rsidR="00207119" w:rsidRPr="00070964" w:rsidRDefault="00207119"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3</w:t>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color w:val="212221"/>
          <w:lang w:eastAsia="en-AU"/>
        </w:rPr>
        <w:t xml:space="preserve">2.3 The committee recommends that uranium mining not be included as part of the 'nuclear actions' matter of national environmental significance in the </w:t>
      </w:r>
      <w:r w:rsidRPr="00070964">
        <w:rPr>
          <w:rFonts w:ascii="Times New Roman" w:hAnsi="Times New Roman"/>
          <w:i/>
          <w:color w:val="212221"/>
          <w:lang w:eastAsia="en-AU"/>
        </w:rPr>
        <w:t>Environment Protection and Biodiversity Conservation Act 1999</w:t>
      </w:r>
      <w:r w:rsidRPr="00070964">
        <w:rPr>
          <w:rFonts w:ascii="Times New Roman" w:hAnsi="Times New Roman"/>
          <w:color w:val="212221"/>
          <w:lang w:eastAsia="en-AU"/>
        </w:rPr>
        <w:t xml:space="preserve"> (</w:t>
      </w:r>
      <w:proofErr w:type="spellStart"/>
      <w:r w:rsidRPr="00070964">
        <w:rPr>
          <w:rFonts w:ascii="Times New Roman" w:hAnsi="Times New Roman"/>
          <w:color w:val="212221"/>
          <w:lang w:eastAsia="en-AU"/>
        </w:rPr>
        <w:t>Cth</w:t>
      </w:r>
      <w:proofErr w:type="spellEnd"/>
      <w:r w:rsidRPr="00070964">
        <w:rPr>
          <w:rFonts w:ascii="Times New Roman" w:hAnsi="Times New Roman"/>
          <w:color w:val="212221"/>
          <w:lang w:eastAsia="en-AU"/>
        </w:rPr>
        <w:t>).</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Pr="00070964">
        <w:rPr>
          <w:rFonts w:ascii="Times New Roman" w:hAnsi="Times New Roman"/>
          <w:b/>
          <w:color w:val="212221"/>
          <w:lang w:eastAsia="en-AU"/>
        </w:rPr>
        <w:t>esponse</w:t>
      </w:r>
    </w:p>
    <w:p w:rsidR="008060DE" w:rsidRDefault="002E21D2" w:rsidP="008060DE">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w:t>
      </w:r>
      <w:r w:rsidR="00CB76A7">
        <w:rPr>
          <w:rFonts w:ascii="Times New Roman" w:hAnsi="Times New Roman"/>
          <w:color w:val="212221"/>
          <w:lang w:eastAsia="en-AU"/>
        </w:rPr>
        <w:t>ed</w:t>
      </w:r>
      <w:r w:rsidR="00070964">
        <w:rPr>
          <w:rFonts w:ascii="Times New Roman" w:hAnsi="Times New Roman"/>
          <w:color w:val="212221"/>
          <w:lang w:eastAsia="en-AU"/>
        </w:rPr>
        <w:t>.</w:t>
      </w:r>
    </w:p>
    <w:p w:rsidR="00207119" w:rsidRDefault="002E21D2" w:rsidP="00347ABA">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 xml:space="preserve">All mining operations pose some level of environmental risk. </w:t>
      </w:r>
      <w:r w:rsidR="009B547B">
        <w:rPr>
          <w:rFonts w:ascii="Times New Roman" w:hAnsi="Times New Roman"/>
          <w:color w:val="212221"/>
          <w:lang w:eastAsia="en-AU"/>
        </w:rPr>
        <w:t>Currently, any</w:t>
      </w:r>
      <w:r w:rsidR="00347ABA" w:rsidRPr="00347ABA">
        <w:rPr>
          <w:rFonts w:ascii="Times New Roman" w:hAnsi="Times New Roman"/>
          <w:color w:val="212221"/>
          <w:lang w:eastAsia="en-AU"/>
        </w:rPr>
        <w:t xml:space="preserve"> new uranium mine, or</w:t>
      </w:r>
      <w:r w:rsidR="002F5A13">
        <w:rPr>
          <w:rFonts w:ascii="Times New Roman" w:hAnsi="Times New Roman"/>
          <w:color w:val="212221"/>
          <w:lang w:eastAsia="en-AU"/>
        </w:rPr>
        <w:t xml:space="preserve"> </w:t>
      </w:r>
      <w:r w:rsidR="00347ABA" w:rsidRPr="00347ABA">
        <w:rPr>
          <w:rFonts w:ascii="Times New Roman" w:hAnsi="Times New Roman"/>
          <w:color w:val="212221"/>
          <w:lang w:eastAsia="en-AU"/>
        </w:rPr>
        <w:t>significant alteration to an existing mine, require</w:t>
      </w:r>
      <w:r w:rsidR="009B547B">
        <w:rPr>
          <w:rFonts w:ascii="Times New Roman" w:hAnsi="Times New Roman"/>
          <w:color w:val="212221"/>
          <w:lang w:eastAsia="en-AU"/>
        </w:rPr>
        <w:t>s</w:t>
      </w:r>
      <w:r w:rsidR="00347ABA" w:rsidRPr="00347ABA">
        <w:rPr>
          <w:rFonts w:ascii="Times New Roman" w:hAnsi="Times New Roman"/>
          <w:color w:val="212221"/>
          <w:lang w:eastAsia="en-AU"/>
        </w:rPr>
        <w:t xml:space="preserve"> a whole-of-environment</w:t>
      </w:r>
      <w:r w:rsidR="002F5A13">
        <w:rPr>
          <w:rFonts w:ascii="Times New Roman" w:hAnsi="Times New Roman"/>
          <w:color w:val="212221"/>
          <w:lang w:eastAsia="en-AU"/>
        </w:rPr>
        <w:t xml:space="preserve"> </w:t>
      </w:r>
      <w:r w:rsidR="00347ABA" w:rsidRPr="00347ABA">
        <w:rPr>
          <w:rFonts w:ascii="Times New Roman" w:hAnsi="Times New Roman"/>
          <w:color w:val="212221"/>
          <w:lang w:eastAsia="en-AU"/>
        </w:rPr>
        <w:t xml:space="preserve">assessment under the EPBC Act to ensure </w:t>
      </w:r>
      <w:r w:rsidR="009B547B">
        <w:rPr>
          <w:rFonts w:ascii="Times New Roman" w:hAnsi="Times New Roman"/>
          <w:color w:val="212221"/>
          <w:lang w:eastAsia="en-AU"/>
        </w:rPr>
        <w:t>environmental</w:t>
      </w:r>
      <w:r w:rsidR="009B547B" w:rsidRPr="00347ABA">
        <w:rPr>
          <w:rFonts w:ascii="Times New Roman" w:hAnsi="Times New Roman"/>
          <w:color w:val="212221"/>
          <w:lang w:eastAsia="en-AU"/>
        </w:rPr>
        <w:t xml:space="preserve"> </w:t>
      </w:r>
      <w:r w:rsidR="00347ABA" w:rsidRPr="00347ABA">
        <w:rPr>
          <w:rFonts w:ascii="Times New Roman" w:hAnsi="Times New Roman"/>
          <w:color w:val="212221"/>
          <w:lang w:eastAsia="en-AU"/>
        </w:rPr>
        <w:t xml:space="preserve">risks </w:t>
      </w:r>
      <w:r w:rsidR="009B547B">
        <w:rPr>
          <w:rFonts w:ascii="Times New Roman" w:hAnsi="Times New Roman"/>
          <w:color w:val="212221"/>
          <w:lang w:eastAsia="en-AU"/>
        </w:rPr>
        <w:t xml:space="preserve">and impacts </w:t>
      </w:r>
      <w:r w:rsidR="00347ABA" w:rsidRPr="00347ABA">
        <w:rPr>
          <w:rFonts w:ascii="Times New Roman" w:hAnsi="Times New Roman"/>
          <w:color w:val="212221"/>
          <w:lang w:eastAsia="en-AU"/>
        </w:rPr>
        <w:t>are appropriately managed. This include</w:t>
      </w:r>
      <w:r w:rsidR="009B547B">
        <w:rPr>
          <w:rFonts w:ascii="Times New Roman" w:hAnsi="Times New Roman"/>
          <w:color w:val="212221"/>
          <w:lang w:eastAsia="en-AU"/>
        </w:rPr>
        <w:t>s</w:t>
      </w:r>
      <w:r w:rsidR="00347ABA" w:rsidRPr="00347ABA">
        <w:rPr>
          <w:rFonts w:ascii="Times New Roman" w:hAnsi="Times New Roman"/>
          <w:color w:val="212221"/>
          <w:lang w:eastAsia="en-AU"/>
        </w:rPr>
        <w:t xml:space="preserve"> a site-specific</w:t>
      </w:r>
      <w:r w:rsidR="002F5A13">
        <w:rPr>
          <w:rFonts w:ascii="Times New Roman" w:hAnsi="Times New Roman"/>
          <w:color w:val="212221"/>
          <w:lang w:eastAsia="en-AU"/>
        </w:rPr>
        <w:t xml:space="preserve"> </w:t>
      </w:r>
      <w:r w:rsidR="00347ABA" w:rsidRPr="00347ABA">
        <w:rPr>
          <w:rFonts w:ascii="Times New Roman" w:hAnsi="Times New Roman"/>
          <w:color w:val="212221"/>
          <w:lang w:eastAsia="en-AU"/>
        </w:rPr>
        <w:t>assessment of risks and mitigation strategies appropriate to the environment in which the mine</w:t>
      </w:r>
      <w:r w:rsidR="002F5A13">
        <w:rPr>
          <w:rFonts w:ascii="Times New Roman" w:hAnsi="Times New Roman"/>
          <w:color w:val="212221"/>
          <w:lang w:eastAsia="en-AU"/>
        </w:rPr>
        <w:t xml:space="preserve"> </w:t>
      </w:r>
      <w:r w:rsidR="00347ABA" w:rsidRPr="00347ABA">
        <w:rPr>
          <w:rFonts w:ascii="Times New Roman" w:hAnsi="Times New Roman"/>
          <w:color w:val="212221"/>
          <w:lang w:eastAsia="en-AU"/>
        </w:rPr>
        <w:t>is located and the</w:t>
      </w:r>
      <w:r w:rsidR="002F5A13">
        <w:rPr>
          <w:rFonts w:ascii="Times New Roman" w:hAnsi="Times New Roman"/>
          <w:color w:val="212221"/>
          <w:lang w:eastAsia="en-AU"/>
        </w:rPr>
        <w:t xml:space="preserve"> method used to extract the ore</w:t>
      </w:r>
      <w:r w:rsidR="00347ABA" w:rsidRPr="00347ABA">
        <w:rPr>
          <w:rFonts w:ascii="Times New Roman" w:hAnsi="Times New Roman"/>
          <w:color w:val="212221"/>
          <w:lang w:eastAsia="en-AU"/>
        </w:rPr>
        <w:t>.</w:t>
      </w:r>
      <w:r w:rsidR="002F5A13">
        <w:rPr>
          <w:rFonts w:ascii="Times New Roman" w:hAnsi="Times New Roman"/>
          <w:color w:val="212221"/>
          <w:lang w:eastAsia="en-AU"/>
        </w:rPr>
        <w:t xml:space="preserve"> </w:t>
      </w:r>
    </w:p>
    <w:p w:rsidR="002E21D2" w:rsidRDefault="002E21D2" w:rsidP="00347ABA">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This regulatory framework is based on internationally-recognised standards and fulfils obligations under treaties and conventions that Australia has ratified.</w:t>
      </w:r>
    </w:p>
    <w:p w:rsidR="009828CB" w:rsidRDefault="009828CB" w:rsidP="00347ABA">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4</w:t>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color w:val="212221"/>
          <w:lang w:eastAsia="en-AU"/>
        </w:rPr>
        <w:t>2.4 The committee recommends that the Australian, state and territory g</w:t>
      </w:r>
      <w:r w:rsidR="008605DD">
        <w:rPr>
          <w:rFonts w:ascii="Times New Roman" w:hAnsi="Times New Roman"/>
          <w:color w:val="212221"/>
          <w:lang w:eastAsia="en-AU"/>
        </w:rPr>
        <w:t xml:space="preserve">overnments re-commit to the One </w:t>
      </w:r>
      <w:r w:rsidRPr="00070964">
        <w:rPr>
          <w:rFonts w:ascii="Times New Roman" w:hAnsi="Times New Roman"/>
          <w:color w:val="212221"/>
          <w:lang w:eastAsia="en-AU"/>
        </w:rPr>
        <w:t>Stop Shop initiative.</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lastRenderedPageBreak/>
        <w:t>Government r</w:t>
      </w:r>
      <w:r w:rsidRPr="00070964">
        <w:rPr>
          <w:rFonts w:ascii="Times New Roman" w:hAnsi="Times New Roman"/>
          <w:b/>
          <w:color w:val="212221"/>
          <w:lang w:eastAsia="en-AU"/>
        </w:rPr>
        <w:t>esponse</w:t>
      </w:r>
    </w:p>
    <w:p w:rsidR="002B0B3D" w:rsidRDefault="002E21D2" w:rsidP="00D03D18">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Noted</w:t>
      </w:r>
      <w:r w:rsidR="00070964">
        <w:rPr>
          <w:rFonts w:ascii="Times New Roman" w:hAnsi="Times New Roman"/>
          <w:color w:val="212221"/>
          <w:lang w:eastAsia="en-AU"/>
        </w:rPr>
        <w:t>.</w:t>
      </w:r>
      <w:r w:rsidR="009B547B">
        <w:rPr>
          <w:rFonts w:ascii="Times New Roman" w:hAnsi="Times New Roman"/>
          <w:color w:val="212221"/>
          <w:lang w:eastAsia="en-AU"/>
        </w:rPr>
        <w:t xml:space="preserve"> </w:t>
      </w:r>
    </w:p>
    <w:p w:rsidR="00070964" w:rsidRPr="009828CB" w:rsidRDefault="009B547B" w:rsidP="00D03D18">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 xml:space="preserve">The </w:t>
      </w:r>
      <w:r w:rsidR="002E21D2">
        <w:rPr>
          <w:rFonts w:ascii="Times New Roman" w:hAnsi="Times New Roman"/>
          <w:color w:val="212221"/>
          <w:lang w:eastAsia="en-AU"/>
        </w:rPr>
        <w:t xml:space="preserve">One-Stop Shop reform remains </w:t>
      </w:r>
      <w:r w:rsidR="00D03D18">
        <w:rPr>
          <w:rFonts w:ascii="Times New Roman" w:hAnsi="Times New Roman"/>
          <w:color w:val="212221"/>
          <w:lang w:eastAsia="en-AU"/>
        </w:rPr>
        <w:t xml:space="preserve">Australian Government </w:t>
      </w:r>
      <w:r w:rsidR="002E21D2">
        <w:rPr>
          <w:rFonts w:ascii="Times New Roman" w:hAnsi="Times New Roman"/>
          <w:color w:val="212221"/>
          <w:lang w:eastAsia="en-AU"/>
        </w:rPr>
        <w:t>policy</w:t>
      </w:r>
      <w:r>
        <w:rPr>
          <w:rFonts w:ascii="Times New Roman" w:hAnsi="Times New Roman"/>
          <w:color w:val="212221"/>
          <w:lang w:eastAsia="en-AU"/>
        </w:rPr>
        <w:t>.</w:t>
      </w:r>
      <w:r w:rsidR="00A12E5F">
        <w:rPr>
          <w:rFonts w:ascii="Times New Roman" w:hAnsi="Times New Roman"/>
          <w:color w:val="212221"/>
          <w:lang w:eastAsia="en-AU"/>
        </w:rPr>
        <w:t xml:space="preserve"> Also s</w:t>
      </w:r>
      <w:r w:rsidR="002E21D2">
        <w:rPr>
          <w:rFonts w:ascii="Times New Roman" w:hAnsi="Times New Roman"/>
          <w:color w:val="212221"/>
          <w:lang w:eastAsia="en-AU"/>
        </w:rPr>
        <w:t>ee Recommendation 5.</w:t>
      </w:r>
    </w:p>
    <w:p w:rsidR="00207119" w:rsidRPr="00070964" w:rsidRDefault="00207119"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5</w:t>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2.5 In the context of a One Stop Shop approach, the committee recommends that the Australian Government investigate ways in which environmental assessment and approval processes could be consolidated into the remit of a single regulator.</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Pr="00070964">
        <w:rPr>
          <w:rFonts w:ascii="Times New Roman" w:hAnsi="Times New Roman"/>
          <w:b/>
          <w:color w:val="212221"/>
          <w:lang w:eastAsia="en-AU"/>
        </w:rPr>
        <w:t>esponse</w:t>
      </w:r>
    </w:p>
    <w:p w:rsidR="008060DE" w:rsidRDefault="00683251" w:rsidP="008060DE">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Noted</w:t>
      </w:r>
      <w:r w:rsidR="00070964">
        <w:rPr>
          <w:rFonts w:ascii="Times New Roman" w:hAnsi="Times New Roman"/>
          <w:color w:val="212221"/>
          <w:lang w:eastAsia="en-AU"/>
        </w:rPr>
        <w:t>.</w:t>
      </w:r>
    </w:p>
    <w:p w:rsidR="009828CB" w:rsidRDefault="00D03D18" w:rsidP="00D03D18">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Substantial benefits have already been achieved under the One-Stop Shop reforms, with assessment bilateral agreements in place with every juris</w:t>
      </w:r>
      <w:r w:rsidR="002B0B3D">
        <w:rPr>
          <w:rFonts w:ascii="Times New Roman" w:hAnsi="Times New Roman"/>
          <w:color w:val="212221"/>
          <w:lang w:eastAsia="en-AU"/>
        </w:rPr>
        <w:t>diction. These agreements allow</w:t>
      </w:r>
      <w:r>
        <w:rPr>
          <w:rFonts w:ascii="Times New Roman" w:hAnsi="Times New Roman"/>
          <w:color w:val="212221"/>
          <w:lang w:eastAsia="en-AU"/>
        </w:rPr>
        <w:t xml:space="preserve"> the Commonwealth and each state and territory to assess proposals using a single set</w:t>
      </w:r>
      <w:r w:rsidR="002B0B3D">
        <w:rPr>
          <w:rFonts w:ascii="Times New Roman" w:hAnsi="Times New Roman"/>
          <w:color w:val="212221"/>
          <w:lang w:eastAsia="en-AU"/>
        </w:rPr>
        <w:t xml:space="preserve"> of</w:t>
      </w:r>
      <w:r>
        <w:rPr>
          <w:rFonts w:ascii="Times New Roman" w:hAnsi="Times New Roman"/>
          <w:color w:val="212221"/>
          <w:lang w:eastAsia="en-AU"/>
        </w:rPr>
        <w:t xml:space="preserve"> project document</w:t>
      </w:r>
      <w:r w:rsidR="002B0B3D">
        <w:rPr>
          <w:rFonts w:ascii="Times New Roman" w:hAnsi="Times New Roman"/>
          <w:color w:val="212221"/>
          <w:lang w:eastAsia="en-AU"/>
        </w:rPr>
        <w:t>ation</w:t>
      </w:r>
      <w:r>
        <w:rPr>
          <w:rFonts w:ascii="Times New Roman" w:hAnsi="Times New Roman"/>
          <w:color w:val="212221"/>
          <w:lang w:eastAsia="en-AU"/>
        </w:rPr>
        <w:t>.</w:t>
      </w:r>
    </w:p>
    <w:p w:rsidR="009B547B" w:rsidRPr="009828CB" w:rsidRDefault="009B547B" w:rsidP="00D03D18">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 xml:space="preserve">Further work </w:t>
      </w:r>
      <w:r w:rsidR="009334A8">
        <w:rPr>
          <w:rFonts w:ascii="Times New Roman" w:hAnsi="Times New Roman"/>
          <w:color w:val="212221"/>
          <w:lang w:eastAsia="en-AU"/>
        </w:rPr>
        <w:t>to</w:t>
      </w:r>
      <w:r w:rsidR="009653CD" w:rsidRPr="009653CD">
        <w:rPr>
          <w:rFonts w:ascii="Times New Roman" w:hAnsi="Times New Roman"/>
          <w:color w:val="212221"/>
          <w:lang w:eastAsia="en-AU"/>
        </w:rPr>
        <w:t xml:space="preserve"> </w:t>
      </w:r>
      <w:r w:rsidR="009653CD">
        <w:rPr>
          <w:rFonts w:ascii="Times New Roman" w:hAnsi="Times New Roman"/>
          <w:color w:val="212221"/>
          <w:lang w:eastAsia="en-AU"/>
        </w:rPr>
        <w:t>reduc</w:t>
      </w:r>
      <w:r w:rsidR="009334A8">
        <w:rPr>
          <w:rFonts w:ascii="Times New Roman" w:hAnsi="Times New Roman"/>
          <w:color w:val="212221"/>
          <w:lang w:eastAsia="en-AU"/>
        </w:rPr>
        <w:t>e</w:t>
      </w:r>
      <w:r w:rsidR="009653CD">
        <w:rPr>
          <w:rFonts w:ascii="Times New Roman" w:hAnsi="Times New Roman"/>
          <w:color w:val="212221"/>
          <w:lang w:eastAsia="en-AU"/>
        </w:rPr>
        <w:t xml:space="preserve"> regulatory duplication and</w:t>
      </w:r>
      <w:r>
        <w:rPr>
          <w:rFonts w:ascii="Times New Roman" w:hAnsi="Times New Roman"/>
          <w:color w:val="212221"/>
          <w:lang w:eastAsia="en-AU"/>
        </w:rPr>
        <w:t xml:space="preserve"> improving coordination with the states and territories is ongoing.</w:t>
      </w:r>
    </w:p>
    <w:p w:rsidR="00207119" w:rsidRPr="00070964" w:rsidRDefault="00207119"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6</w:t>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2.6 The committee recommends that, if not already implemented, the Council of Australian Governments pursue the adoption of a risk-matrix based on international standards, with capacity to incorporate general risks and specific risks.</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Pr="00070964">
        <w:rPr>
          <w:rFonts w:ascii="Times New Roman" w:hAnsi="Times New Roman"/>
          <w:b/>
          <w:color w:val="212221"/>
          <w:lang w:eastAsia="en-AU"/>
        </w:rPr>
        <w:t>esponse</w:t>
      </w:r>
    </w:p>
    <w:p w:rsidR="00207119" w:rsidRDefault="009653CD" w:rsidP="008060DE">
      <w:pPr>
        <w:autoSpaceDE w:val="0"/>
        <w:autoSpaceDN w:val="0"/>
        <w:adjustRightInd w:val="0"/>
        <w:spacing w:before="120" w:after="120" w:line="240" w:lineRule="auto"/>
        <w:rPr>
          <w:rFonts w:ascii="Times New Roman" w:hAnsi="Times New Roman"/>
          <w:color w:val="212221"/>
          <w:lang w:eastAsia="en-AU"/>
        </w:rPr>
      </w:pPr>
      <w:r w:rsidRPr="00D441B1">
        <w:rPr>
          <w:rFonts w:ascii="Times New Roman" w:hAnsi="Times New Roman"/>
          <w:color w:val="212221"/>
          <w:lang w:eastAsia="en-AU"/>
        </w:rPr>
        <w:t>Noted</w:t>
      </w:r>
      <w:r w:rsidR="00070964" w:rsidRPr="00D441B1">
        <w:rPr>
          <w:rFonts w:ascii="Times New Roman" w:hAnsi="Times New Roman"/>
          <w:color w:val="212221"/>
          <w:lang w:eastAsia="en-AU"/>
        </w:rPr>
        <w:t>.</w:t>
      </w:r>
      <w:r w:rsidR="0058474F" w:rsidRPr="00D441B1">
        <w:rPr>
          <w:rFonts w:ascii="Times New Roman" w:hAnsi="Times New Roman"/>
          <w:color w:val="212221"/>
          <w:lang w:eastAsia="en-AU"/>
        </w:rPr>
        <w:t xml:space="preserve"> </w:t>
      </w:r>
    </w:p>
    <w:p w:rsidR="00070F5C" w:rsidRPr="00C1617F" w:rsidRDefault="00070F5C" w:rsidP="00070F5C">
      <w:pPr>
        <w:autoSpaceDE w:val="0"/>
        <w:autoSpaceDN w:val="0"/>
        <w:adjustRightInd w:val="0"/>
        <w:spacing w:before="120" w:after="120" w:line="240" w:lineRule="auto"/>
        <w:rPr>
          <w:rFonts w:ascii="Times New Roman" w:hAnsi="Times New Roman"/>
          <w:lang w:eastAsia="en-AU"/>
        </w:rPr>
      </w:pPr>
      <w:r>
        <w:rPr>
          <w:rFonts w:ascii="Times New Roman" w:hAnsi="Times New Roman"/>
          <w:color w:val="212221"/>
          <w:lang w:eastAsia="en-AU"/>
        </w:rPr>
        <w:t xml:space="preserve">The Australian Government supports a </w:t>
      </w:r>
      <w:r w:rsidRPr="00C1617F">
        <w:rPr>
          <w:rFonts w:ascii="Times New Roman" w:hAnsi="Times New Roman"/>
          <w:lang w:eastAsia="en-AU"/>
        </w:rPr>
        <w:t xml:space="preserve">risk based approach to developing and implementing regulatory responses, whereby regulatory responses are consistent, efficient and proportionate to the risk. </w:t>
      </w:r>
    </w:p>
    <w:p w:rsidR="00251ED1" w:rsidRPr="00C1617F" w:rsidRDefault="00116FE4" w:rsidP="00070F5C">
      <w:pPr>
        <w:autoSpaceDE w:val="0"/>
        <w:autoSpaceDN w:val="0"/>
        <w:adjustRightInd w:val="0"/>
        <w:spacing w:before="120" w:after="120" w:line="240" w:lineRule="auto"/>
        <w:rPr>
          <w:rFonts w:ascii="Times New Roman" w:hAnsi="Times New Roman"/>
          <w:lang w:eastAsia="en-AU"/>
        </w:rPr>
      </w:pPr>
      <w:r w:rsidRPr="00C1617F">
        <w:rPr>
          <w:rFonts w:ascii="Times New Roman" w:hAnsi="Times New Roman"/>
          <w:lang w:eastAsia="en-AU"/>
        </w:rPr>
        <w:t>For example, t</w:t>
      </w:r>
      <w:r w:rsidR="00251ED1" w:rsidRPr="00C1617F">
        <w:rPr>
          <w:rFonts w:ascii="Times New Roman" w:hAnsi="Times New Roman"/>
          <w:lang w:eastAsia="en-AU"/>
        </w:rPr>
        <w:t xml:space="preserve">he EPBC Act </w:t>
      </w:r>
      <w:hyperlink r:id="rId8" w:history="1">
        <w:r w:rsidR="00251ED1" w:rsidRPr="00C1617F">
          <w:rPr>
            <w:rStyle w:val="Hyperlink"/>
            <w:rFonts w:ascii="Times New Roman" w:hAnsi="Times New Roman"/>
            <w:i/>
            <w:color w:val="auto"/>
            <w:sz w:val="22"/>
            <w:szCs w:val="22"/>
            <w:u w:val="none"/>
            <w:bdr w:val="none" w:sz="0" w:space="0" w:color="auto"/>
            <w:lang w:eastAsia="en-AU"/>
          </w:rPr>
          <w:t>Environment Assessment Manual 2012</w:t>
        </w:r>
      </w:hyperlink>
      <w:r w:rsidR="00251ED1" w:rsidRPr="00C1617F">
        <w:rPr>
          <w:rFonts w:ascii="Times New Roman" w:hAnsi="Times New Roman"/>
          <w:i/>
          <w:lang w:eastAsia="en-AU"/>
        </w:rPr>
        <w:t xml:space="preserve"> </w:t>
      </w:r>
      <w:r w:rsidR="00251ED1" w:rsidRPr="00C1617F">
        <w:rPr>
          <w:rFonts w:ascii="Times New Roman" w:hAnsi="Times New Roman"/>
          <w:lang w:eastAsia="en-AU"/>
        </w:rPr>
        <w:t xml:space="preserve">sets out </w:t>
      </w:r>
      <w:r w:rsidRPr="00C1617F">
        <w:rPr>
          <w:rFonts w:ascii="Times New Roman" w:hAnsi="Times New Roman"/>
          <w:lang w:eastAsia="en-AU"/>
        </w:rPr>
        <w:t xml:space="preserve">a risk-based approach for </w:t>
      </w:r>
      <w:r w:rsidR="00251ED1" w:rsidRPr="00C1617F">
        <w:rPr>
          <w:rFonts w:ascii="Times New Roman" w:hAnsi="Times New Roman"/>
          <w:lang w:eastAsia="en-AU"/>
        </w:rPr>
        <w:t>determin</w:t>
      </w:r>
      <w:r w:rsidRPr="00C1617F">
        <w:rPr>
          <w:rFonts w:ascii="Times New Roman" w:hAnsi="Times New Roman"/>
          <w:lang w:eastAsia="en-AU"/>
        </w:rPr>
        <w:t>ing</w:t>
      </w:r>
      <w:r w:rsidR="00251ED1" w:rsidRPr="00C1617F">
        <w:rPr>
          <w:rFonts w:ascii="Times New Roman" w:hAnsi="Times New Roman"/>
          <w:lang w:eastAsia="en-AU"/>
        </w:rPr>
        <w:t xml:space="preserve"> </w:t>
      </w:r>
      <w:r w:rsidR="00E93920" w:rsidRPr="00C1617F">
        <w:rPr>
          <w:rFonts w:ascii="Times New Roman" w:hAnsi="Times New Roman"/>
          <w:lang w:eastAsia="en-AU"/>
        </w:rPr>
        <w:t>an</w:t>
      </w:r>
      <w:r w:rsidR="00251ED1" w:rsidRPr="00C1617F">
        <w:rPr>
          <w:rFonts w:ascii="Times New Roman" w:hAnsi="Times New Roman"/>
          <w:lang w:eastAsia="en-AU"/>
        </w:rPr>
        <w:t xml:space="preserve"> appropriate assessment pathway, which includes considering the number of protected matters that are affected; the scale and nature of the impacts; and the extent to which potential relevant impacts have already been assessed under state legislation.</w:t>
      </w:r>
    </w:p>
    <w:p w:rsidR="00E93920" w:rsidRDefault="00116FE4" w:rsidP="00070F5C">
      <w:pPr>
        <w:autoSpaceDE w:val="0"/>
        <w:autoSpaceDN w:val="0"/>
        <w:adjustRightInd w:val="0"/>
        <w:spacing w:before="120" w:after="120" w:line="240" w:lineRule="auto"/>
        <w:rPr>
          <w:rFonts w:ascii="Times New Roman" w:hAnsi="Times New Roman"/>
          <w:color w:val="212221"/>
          <w:lang w:eastAsia="en-AU"/>
        </w:rPr>
      </w:pPr>
      <w:r w:rsidRPr="00C1617F">
        <w:rPr>
          <w:rFonts w:ascii="Times New Roman" w:hAnsi="Times New Roman"/>
          <w:lang w:eastAsia="en-AU"/>
        </w:rPr>
        <w:t>Similarly, t</w:t>
      </w:r>
      <w:r w:rsidR="00E93920" w:rsidRPr="00C1617F">
        <w:rPr>
          <w:rFonts w:ascii="Times New Roman" w:hAnsi="Times New Roman"/>
          <w:lang w:eastAsia="en-AU"/>
        </w:rPr>
        <w:t xml:space="preserve">he EPBC Act </w:t>
      </w:r>
      <w:hyperlink r:id="rId9" w:history="1">
        <w:r w:rsidR="00E93920" w:rsidRPr="00C1617F">
          <w:rPr>
            <w:rStyle w:val="Hyperlink"/>
            <w:rFonts w:ascii="Times New Roman" w:hAnsi="Times New Roman"/>
            <w:i/>
            <w:color w:val="auto"/>
            <w:sz w:val="22"/>
            <w:szCs w:val="22"/>
            <w:u w:val="none"/>
            <w:bdr w:val="none" w:sz="0" w:space="0" w:color="auto"/>
            <w:lang w:eastAsia="en-AU"/>
          </w:rPr>
          <w:t>Outcomes-based Conditions Policy 2015</w:t>
        </w:r>
      </w:hyperlink>
      <w:r w:rsidR="00E93920" w:rsidRPr="00C1617F">
        <w:rPr>
          <w:rFonts w:ascii="Times New Roman" w:hAnsi="Times New Roman"/>
          <w:lang w:eastAsia="en-AU"/>
        </w:rPr>
        <w:t xml:space="preserve"> outlines the Australian Government’s approach to using outcomes-based conditions under section 134 of the EPBC Act. </w:t>
      </w:r>
      <w:r w:rsidR="00A13194" w:rsidRPr="00C1617F">
        <w:rPr>
          <w:rFonts w:ascii="Times New Roman" w:hAnsi="Times New Roman"/>
          <w:lang w:eastAsia="en-AU"/>
        </w:rPr>
        <w:t xml:space="preserve">Outcomes-based conditions </w:t>
      </w:r>
      <w:r w:rsidRPr="00C1617F">
        <w:rPr>
          <w:rFonts w:ascii="Times New Roman" w:hAnsi="Times New Roman"/>
          <w:lang w:eastAsia="en-AU"/>
        </w:rPr>
        <w:t>can be applied to projects that are deemed low</w:t>
      </w:r>
      <w:r>
        <w:rPr>
          <w:rFonts w:ascii="Times New Roman" w:hAnsi="Times New Roman"/>
          <w:color w:val="212221"/>
          <w:lang w:eastAsia="en-AU"/>
        </w:rPr>
        <w:t xml:space="preserve"> risk. They </w:t>
      </w:r>
      <w:r w:rsidR="00A13194">
        <w:rPr>
          <w:rFonts w:ascii="Times New Roman" w:hAnsi="Times New Roman"/>
          <w:color w:val="212221"/>
          <w:lang w:eastAsia="en-AU"/>
        </w:rPr>
        <w:t xml:space="preserve">specify the environmental outcomes that must be achieved by an approval holder without prescribing how that outcome should be achieved. </w:t>
      </w:r>
      <w:r w:rsidR="00E93920">
        <w:rPr>
          <w:rFonts w:ascii="Times New Roman" w:hAnsi="Times New Roman"/>
          <w:color w:val="212221"/>
          <w:lang w:eastAsia="en-AU"/>
        </w:rPr>
        <w:t>They</w:t>
      </w:r>
      <w:r w:rsidR="00A13194">
        <w:rPr>
          <w:rFonts w:ascii="Times New Roman" w:hAnsi="Times New Roman"/>
          <w:color w:val="212221"/>
          <w:lang w:eastAsia="en-AU"/>
        </w:rPr>
        <w:t xml:space="preserve"> give approval </w:t>
      </w:r>
      <w:r w:rsidR="00E93920">
        <w:rPr>
          <w:rFonts w:ascii="Times New Roman" w:hAnsi="Times New Roman"/>
          <w:color w:val="212221"/>
          <w:lang w:eastAsia="en-AU"/>
        </w:rPr>
        <w:t>holders</w:t>
      </w:r>
      <w:r w:rsidR="00A13194">
        <w:rPr>
          <w:rFonts w:ascii="Times New Roman" w:hAnsi="Times New Roman"/>
          <w:color w:val="212221"/>
          <w:lang w:eastAsia="en-AU"/>
        </w:rPr>
        <w:t xml:space="preserve"> the flexibility to be innovative and achieve the desired environmental outcomes </w:t>
      </w:r>
      <w:r w:rsidR="00E93920">
        <w:rPr>
          <w:rFonts w:ascii="Times New Roman" w:hAnsi="Times New Roman"/>
          <w:color w:val="212221"/>
          <w:lang w:eastAsia="en-AU"/>
        </w:rPr>
        <w:t>i</w:t>
      </w:r>
      <w:r w:rsidR="00A13194">
        <w:rPr>
          <w:rFonts w:ascii="Times New Roman" w:hAnsi="Times New Roman"/>
          <w:color w:val="212221"/>
          <w:lang w:eastAsia="en-AU"/>
        </w:rPr>
        <w:t xml:space="preserve">n the most effective and </w:t>
      </w:r>
      <w:r w:rsidR="00E93920">
        <w:rPr>
          <w:rFonts w:ascii="Times New Roman" w:hAnsi="Times New Roman"/>
          <w:color w:val="212221"/>
          <w:lang w:eastAsia="en-AU"/>
        </w:rPr>
        <w:t xml:space="preserve">efficient manner. </w:t>
      </w:r>
    </w:p>
    <w:p w:rsidR="002179F3" w:rsidRPr="00070964" w:rsidRDefault="002179F3"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7</w:t>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 xml:space="preserve">2.7 The committee recommends that the Australian Government re-introduce legislation to repeal section 487 of the </w:t>
      </w:r>
      <w:r w:rsidRPr="00070964">
        <w:rPr>
          <w:rFonts w:ascii="Times New Roman" w:hAnsi="Times New Roman"/>
          <w:bCs/>
          <w:i/>
          <w:iCs/>
          <w:lang w:eastAsia="en-AU"/>
        </w:rPr>
        <w:t xml:space="preserve">Environment Protection and Biodiversity Conservation Act 1999 </w:t>
      </w:r>
      <w:r w:rsidRPr="00070964">
        <w:rPr>
          <w:rFonts w:ascii="Times New Roman" w:hAnsi="Times New Roman"/>
          <w:bCs/>
          <w:lang w:eastAsia="en-AU"/>
        </w:rPr>
        <w:t>(</w:t>
      </w:r>
      <w:proofErr w:type="spellStart"/>
      <w:r w:rsidRPr="00070964">
        <w:rPr>
          <w:rFonts w:ascii="Times New Roman" w:hAnsi="Times New Roman"/>
          <w:bCs/>
          <w:lang w:eastAsia="en-AU"/>
        </w:rPr>
        <w:t>Cth</w:t>
      </w:r>
      <w:proofErr w:type="spellEnd"/>
      <w:r w:rsidRPr="00070964">
        <w:rPr>
          <w:rFonts w:ascii="Times New Roman" w:hAnsi="Times New Roman"/>
          <w:bCs/>
          <w:lang w:eastAsia="en-AU"/>
        </w:rPr>
        <w:t>).</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Pr="00070964">
        <w:rPr>
          <w:rFonts w:ascii="Times New Roman" w:hAnsi="Times New Roman"/>
          <w:b/>
          <w:color w:val="212221"/>
          <w:lang w:eastAsia="en-AU"/>
        </w:rPr>
        <w:t>esponse</w:t>
      </w:r>
    </w:p>
    <w:p w:rsidR="008060DE" w:rsidRDefault="006923E0" w:rsidP="008060DE">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Noted</w:t>
      </w:r>
      <w:r w:rsidR="00070964">
        <w:rPr>
          <w:rFonts w:ascii="Times New Roman" w:hAnsi="Times New Roman"/>
          <w:color w:val="212221"/>
          <w:lang w:eastAsia="en-AU"/>
        </w:rPr>
        <w:t>.</w:t>
      </w:r>
    </w:p>
    <w:p w:rsidR="008B201B" w:rsidRPr="008B201B" w:rsidRDefault="00804B00" w:rsidP="008B201B">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lastRenderedPageBreak/>
        <w:t>The Australian</w:t>
      </w:r>
      <w:r w:rsidR="008B201B" w:rsidRPr="008B201B">
        <w:rPr>
          <w:rFonts w:ascii="Times New Roman" w:hAnsi="Times New Roman"/>
          <w:color w:val="212221"/>
          <w:lang w:eastAsia="en-AU"/>
        </w:rPr>
        <w:t xml:space="preserve"> Government remains committed to ensuring an appropriate balance is struck between protecting the rights of affected parties</w:t>
      </w:r>
      <w:r w:rsidR="00B325A6">
        <w:rPr>
          <w:rFonts w:ascii="Times New Roman" w:hAnsi="Times New Roman"/>
          <w:color w:val="212221"/>
          <w:lang w:eastAsia="en-AU"/>
        </w:rPr>
        <w:t xml:space="preserve"> under the EPBC Act</w:t>
      </w:r>
      <w:r w:rsidR="008B201B" w:rsidRPr="008B201B">
        <w:rPr>
          <w:rFonts w:ascii="Times New Roman" w:hAnsi="Times New Roman"/>
          <w:color w:val="212221"/>
          <w:lang w:eastAsia="en-AU"/>
        </w:rPr>
        <w:t xml:space="preserve">, while discouraging the use of the courts to pursue </w:t>
      </w:r>
      <w:r w:rsidR="006A4470">
        <w:rPr>
          <w:rFonts w:ascii="Times New Roman" w:hAnsi="Times New Roman"/>
          <w:color w:val="212221"/>
          <w:lang w:eastAsia="en-AU"/>
        </w:rPr>
        <w:t>‘disrupt and delay’ lawsuits.</w:t>
      </w:r>
    </w:p>
    <w:p w:rsidR="00B325A6" w:rsidRPr="00070964" w:rsidRDefault="00B325A6" w:rsidP="008B201B">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8</w:t>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 xml:space="preserve">2.8 The committee recommends that the Australian Government amend the </w:t>
      </w:r>
      <w:r w:rsidRPr="00070964">
        <w:rPr>
          <w:rFonts w:ascii="Times New Roman" w:hAnsi="Times New Roman"/>
          <w:bCs/>
          <w:i/>
          <w:iCs/>
          <w:lang w:eastAsia="en-AU"/>
        </w:rPr>
        <w:t xml:space="preserve">Aboriginal Land Rights (Northern Territory) Act 1976 </w:t>
      </w:r>
      <w:r w:rsidRPr="00070964">
        <w:rPr>
          <w:rFonts w:ascii="Times New Roman" w:hAnsi="Times New Roman"/>
          <w:bCs/>
          <w:lang w:eastAsia="en-AU"/>
        </w:rPr>
        <w:t>(</w:t>
      </w:r>
      <w:proofErr w:type="spellStart"/>
      <w:r w:rsidRPr="00070964">
        <w:rPr>
          <w:rFonts w:ascii="Times New Roman" w:hAnsi="Times New Roman"/>
          <w:bCs/>
          <w:lang w:eastAsia="en-AU"/>
        </w:rPr>
        <w:t>Cth</w:t>
      </w:r>
      <w:proofErr w:type="spellEnd"/>
      <w:r w:rsidRPr="00070964">
        <w:rPr>
          <w:rFonts w:ascii="Times New Roman" w:hAnsi="Times New Roman"/>
          <w:bCs/>
          <w:lang w:eastAsia="en-AU"/>
        </w:rPr>
        <w:t>) to remove Land</w:t>
      </w:r>
      <w:r w:rsidR="008060DE" w:rsidRPr="00070964">
        <w:rPr>
          <w:rFonts w:ascii="Times New Roman" w:hAnsi="Times New Roman"/>
          <w:bCs/>
          <w:lang w:eastAsia="en-AU"/>
        </w:rPr>
        <w:t xml:space="preserve"> </w:t>
      </w:r>
      <w:r w:rsidRPr="00070964">
        <w:rPr>
          <w:rFonts w:ascii="Times New Roman" w:hAnsi="Times New Roman"/>
          <w:bCs/>
          <w:lang w:eastAsia="en-AU"/>
        </w:rPr>
        <w:t>Councils' ability to veto applications for exploration and/or mining licences.</w:t>
      </w:r>
    </w:p>
    <w:p w:rsidR="00070964" w:rsidRPr="001221C3" w:rsidRDefault="00070964" w:rsidP="00E83723">
      <w:pPr>
        <w:autoSpaceDE w:val="0"/>
        <w:autoSpaceDN w:val="0"/>
        <w:adjustRightInd w:val="0"/>
        <w:spacing w:before="240" w:after="120" w:line="240" w:lineRule="auto"/>
        <w:rPr>
          <w:rFonts w:ascii="Times New Roman" w:hAnsi="Times New Roman"/>
          <w:b/>
          <w:lang w:eastAsia="en-AU"/>
        </w:rPr>
      </w:pPr>
      <w:r w:rsidRPr="001221C3">
        <w:rPr>
          <w:rFonts w:ascii="Times New Roman" w:hAnsi="Times New Roman"/>
          <w:b/>
          <w:lang w:eastAsia="en-AU"/>
        </w:rPr>
        <w:t>Government response</w:t>
      </w:r>
    </w:p>
    <w:p w:rsidR="003E6656" w:rsidRPr="00C1617F" w:rsidRDefault="00070964" w:rsidP="00C1617F">
      <w:pPr>
        <w:autoSpaceDE w:val="0"/>
        <w:autoSpaceDN w:val="0"/>
        <w:adjustRightInd w:val="0"/>
        <w:spacing w:before="120" w:after="120" w:line="240" w:lineRule="auto"/>
        <w:rPr>
          <w:rFonts w:ascii="Times New Roman" w:hAnsi="Times New Roman"/>
          <w:lang w:eastAsia="en-AU"/>
        </w:rPr>
      </w:pPr>
      <w:r w:rsidRPr="00C1617F">
        <w:rPr>
          <w:rFonts w:ascii="Times New Roman" w:hAnsi="Times New Roman"/>
          <w:lang w:eastAsia="en-AU"/>
        </w:rPr>
        <w:t>Not agreed</w:t>
      </w:r>
      <w:r w:rsidR="00CB4864" w:rsidRPr="00C1617F">
        <w:rPr>
          <w:rFonts w:ascii="Times New Roman" w:hAnsi="Times New Roman"/>
          <w:lang w:eastAsia="en-AU"/>
        </w:rPr>
        <w:t xml:space="preserve">. </w:t>
      </w:r>
    </w:p>
    <w:p w:rsidR="001221C3" w:rsidRPr="00C1617F" w:rsidRDefault="001221C3" w:rsidP="00C1617F">
      <w:pPr>
        <w:autoSpaceDE w:val="0"/>
        <w:autoSpaceDN w:val="0"/>
        <w:spacing w:before="120" w:after="120" w:line="240" w:lineRule="auto"/>
        <w:rPr>
          <w:rFonts w:ascii="Times New Roman" w:hAnsi="Times New Roman"/>
          <w:lang w:eastAsia="en-AU"/>
        </w:rPr>
      </w:pPr>
      <w:r w:rsidRPr="00C1617F">
        <w:rPr>
          <w:rFonts w:ascii="Times New Roman" w:hAnsi="Times New Roman"/>
          <w:lang w:eastAsia="en-AU"/>
        </w:rPr>
        <w:t xml:space="preserve">The Government supports the longstanding right of traditional Aboriginal land owners, to control Aboriginal land use within the framework provided by the </w:t>
      </w:r>
      <w:r w:rsidRPr="00C1617F">
        <w:rPr>
          <w:rFonts w:ascii="Times New Roman" w:hAnsi="Times New Roman"/>
          <w:i/>
          <w:iCs/>
          <w:lang w:eastAsia="en-AU"/>
        </w:rPr>
        <w:t xml:space="preserve">Aboriginal Land Rights (Northern Territory) Act 1976 </w:t>
      </w:r>
      <w:r w:rsidRPr="00C1617F">
        <w:rPr>
          <w:rFonts w:ascii="Times New Roman" w:hAnsi="Times New Roman"/>
          <w:lang w:eastAsia="en-AU"/>
        </w:rPr>
        <w:t xml:space="preserve">(Land Rights Act). </w:t>
      </w:r>
    </w:p>
    <w:p w:rsidR="001221C3" w:rsidRPr="00C1617F" w:rsidRDefault="001221C3" w:rsidP="00C1617F">
      <w:pPr>
        <w:autoSpaceDE w:val="0"/>
        <w:autoSpaceDN w:val="0"/>
        <w:spacing w:before="120" w:after="120" w:line="240" w:lineRule="auto"/>
        <w:rPr>
          <w:rFonts w:ascii="Times New Roman" w:hAnsi="Times New Roman"/>
        </w:rPr>
      </w:pPr>
      <w:r w:rsidRPr="00C1617F">
        <w:rPr>
          <w:rFonts w:ascii="Times New Roman" w:hAnsi="Times New Roman"/>
        </w:rPr>
        <w:t xml:space="preserve">In December 2015, the </w:t>
      </w:r>
      <w:hyperlink r:id="rId10" w:history="1">
        <w:r w:rsidRPr="00C1617F">
          <w:rPr>
            <w:rStyle w:val="Hyperlink"/>
            <w:rFonts w:ascii="Times New Roman" w:hAnsi="Times New Roman"/>
            <w:i/>
            <w:iCs/>
            <w:color w:val="auto"/>
            <w:sz w:val="22"/>
            <w:szCs w:val="22"/>
            <w:u w:val="none"/>
          </w:rPr>
          <w:t>Investigation into Indigenous Land Administration and Use Report to the Council of Australian Governments</w:t>
        </w:r>
      </w:hyperlink>
      <w:r w:rsidRPr="00C1617F">
        <w:rPr>
          <w:rFonts w:ascii="Times New Roman" w:hAnsi="Times New Roman"/>
        </w:rPr>
        <w:t xml:space="preserve"> recommended that the Commonwealth work with the Northern Territory Government, Northern Territory Land Councils and industry to assess whether the exploration and mining provisions of the Land Rights Act can operate more effectively and efficiently. This included an assessment of the appropriateness of implementing the recommendations of the 2013 </w:t>
      </w:r>
      <w:hyperlink r:id="rId11" w:history="1">
        <w:r w:rsidRPr="00C1617F">
          <w:rPr>
            <w:rStyle w:val="Hyperlink"/>
            <w:rFonts w:ascii="Times New Roman" w:hAnsi="Times New Roman"/>
            <w:i/>
            <w:iCs/>
            <w:color w:val="auto"/>
            <w:sz w:val="22"/>
            <w:szCs w:val="22"/>
            <w:u w:val="none"/>
          </w:rPr>
          <w:t>Report on Review of Part IV of the Aboriginal Land Rights (Northern Territory) Act 1976</w:t>
        </w:r>
      </w:hyperlink>
      <w:r w:rsidRPr="00C1617F">
        <w:rPr>
          <w:rFonts w:ascii="Times New Roman" w:hAnsi="Times New Roman"/>
        </w:rPr>
        <w:t xml:space="preserve"> (the Review Report). </w:t>
      </w:r>
    </w:p>
    <w:p w:rsidR="001221C3" w:rsidRPr="00C1617F" w:rsidRDefault="001221C3" w:rsidP="00C1617F">
      <w:pPr>
        <w:autoSpaceDE w:val="0"/>
        <w:autoSpaceDN w:val="0"/>
        <w:spacing w:before="120" w:after="120" w:line="240" w:lineRule="auto"/>
        <w:rPr>
          <w:rFonts w:ascii="Times New Roman" w:hAnsi="Times New Roman"/>
          <w:lang w:eastAsia="en-AU"/>
        </w:rPr>
      </w:pPr>
      <w:r w:rsidRPr="00C1617F">
        <w:rPr>
          <w:rFonts w:ascii="Times New Roman" w:hAnsi="Times New Roman"/>
        </w:rPr>
        <w:t>The Review Report did not recommend abolishing the right of traditional Aboriginal owners to veto the grant of an exploration licence by refusing to consent to it, as provided by section 42(6)(a) of the Land Rights Act. A</w:t>
      </w:r>
      <w:r w:rsidRPr="00C1617F">
        <w:rPr>
          <w:rFonts w:ascii="Times New Roman" w:hAnsi="Times New Roman"/>
          <w:lang w:eastAsia="en-AU"/>
        </w:rPr>
        <w:t xml:space="preserve"> Working Group consisting of Commonwealth, Northern Territory Government and Land Council representatives has been established to develop an agreed package of reforms to the exploration and mining provisions of the Land Rights Act. The Working Group expects to consult this year with peak industry bodies on potential reforms. </w:t>
      </w:r>
    </w:p>
    <w:p w:rsidR="00207119" w:rsidRPr="001221C3" w:rsidRDefault="00207119" w:rsidP="008060DE">
      <w:pPr>
        <w:autoSpaceDE w:val="0"/>
        <w:autoSpaceDN w:val="0"/>
        <w:adjustRightInd w:val="0"/>
        <w:spacing w:before="120" w:after="120" w:line="240" w:lineRule="auto"/>
        <w:rPr>
          <w:rFonts w:ascii="Times New Roman" w:hAnsi="Times New Roman"/>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9</w:t>
      </w:r>
    </w:p>
    <w:p w:rsidR="008060DE" w:rsidRPr="00070964" w:rsidRDefault="008060DE"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2.9 The committee recommends that, if not already implemented, Commonwealth, state and territory governments should develop guidelines to assist proponents to clearly identify the costs/benefits of proposed projects, including shared economic benefits such as royalties, to landowners and other stakeholders.</w:t>
      </w:r>
    </w:p>
    <w:p w:rsidR="00070964" w:rsidRPr="00D441B1" w:rsidRDefault="00070964" w:rsidP="00E83723">
      <w:pPr>
        <w:autoSpaceDE w:val="0"/>
        <w:autoSpaceDN w:val="0"/>
        <w:adjustRightInd w:val="0"/>
        <w:spacing w:before="240" w:after="120" w:line="240" w:lineRule="auto"/>
        <w:rPr>
          <w:rFonts w:ascii="Times New Roman" w:hAnsi="Times New Roman"/>
          <w:b/>
          <w:color w:val="212221"/>
          <w:lang w:eastAsia="en-AU"/>
        </w:rPr>
      </w:pPr>
      <w:r w:rsidRPr="00D441B1">
        <w:rPr>
          <w:rFonts w:ascii="Times New Roman" w:hAnsi="Times New Roman"/>
          <w:b/>
          <w:color w:val="212221"/>
          <w:lang w:eastAsia="en-AU"/>
        </w:rPr>
        <w:t>Government response</w:t>
      </w:r>
    </w:p>
    <w:p w:rsidR="003E6656" w:rsidRPr="00D441B1" w:rsidRDefault="00B65516" w:rsidP="00C1617F">
      <w:pPr>
        <w:autoSpaceDE w:val="0"/>
        <w:autoSpaceDN w:val="0"/>
        <w:adjustRightInd w:val="0"/>
        <w:spacing w:before="120" w:after="120" w:line="240" w:lineRule="auto"/>
        <w:rPr>
          <w:rFonts w:ascii="Times New Roman" w:hAnsi="Times New Roman"/>
          <w:color w:val="212221"/>
          <w:lang w:eastAsia="en-AU"/>
        </w:rPr>
      </w:pPr>
      <w:r w:rsidRPr="00D441B1">
        <w:rPr>
          <w:rFonts w:ascii="Times New Roman" w:hAnsi="Times New Roman"/>
          <w:color w:val="212221"/>
          <w:lang w:eastAsia="en-AU"/>
        </w:rPr>
        <w:t>Noted</w:t>
      </w:r>
      <w:r w:rsidR="00070964" w:rsidRPr="00D441B1">
        <w:rPr>
          <w:rFonts w:ascii="Times New Roman" w:hAnsi="Times New Roman"/>
          <w:color w:val="212221"/>
          <w:lang w:eastAsia="en-AU"/>
        </w:rPr>
        <w:t>.</w:t>
      </w:r>
      <w:r w:rsidR="00A40A04" w:rsidRPr="00D441B1">
        <w:rPr>
          <w:rFonts w:ascii="Times New Roman" w:hAnsi="Times New Roman"/>
          <w:color w:val="212221"/>
          <w:lang w:eastAsia="en-AU"/>
        </w:rPr>
        <w:t xml:space="preserve"> </w:t>
      </w:r>
    </w:p>
    <w:p w:rsidR="00C1617F" w:rsidRPr="00116FE4" w:rsidRDefault="00C1617F" w:rsidP="00C1617F">
      <w:pPr>
        <w:pStyle w:val="Default"/>
        <w:spacing w:before="120" w:after="120"/>
        <w:rPr>
          <w:rFonts w:ascii="Times New Roman" w:hAnsi="Times New Roman" w:cs="Times New Roman"/>
          <w:color w:val="212221"/>
          <w:sz w:val="22"/>
          <w:szCs w:val="22"/>
        </w:rPr>
      </w:pPr>
      <w:r w:rsidRPr="003B1079">
        <w:rPr>
          <w:rFonts w:ascii="Times New Roman" w:hAnsi="Times New Roman" w:cs="Times New Roman"/>
          <w:color w:val="212221"/>
          <w:sz w:val="22"/>
          <w:szCs w:val="22"/>
        </w:rPr>
        <w:t xml:space="preserve">Under </w:t>
      </w:r>
      <w:r>
        <w:rPr>
          <w:rFonts w:ascii="Times New Roman" w:hAnsi="Times New Roman" w:cs="Times New Roman"/>
          <w:color w:val="212221"/>
          <w:sz w:val="22"/>
          <w:szCs w:val="22"/>
        </w:rPr>
        <w:t>section 136(1</w:t>
      </w:r>
      <w:proofErr w:type="gramStart"/>
      <w:r>
        <w:rPr>
          <w:rFonts w:ascii="Times New Roman" w:hAnsi="Times New Roman" w:cs="Times New Roman"/>
          <w:color w:val="212221"/>
          <w:sz w:val="22"/>
          <w:szCs w:val="22"/>
        </w:rPr>
        <w:t>)(</w:t>
      </w:r>
      <w:proofErr w:type="gramEnd"/>
      <w:r>
        <w:rPr>
          <w:rFonts w:ascii="Times New Roman" w:hAnsi="Times New Roman" w:cs="Times New Roman"/>
          <w:color w:val="212221"/>
          <w:sz w:val="22"/>
          <w:szCs w:val="22"/>
        </w:rPr>
        <w:t xml:space="preserve">b) of </w:t>
      </w:r>
      <w:r w:rsidRPr="003B1079">
        <w:rPr>
          <w:rFonts w:ascii="Times New Roman" w:hAnsi="Times New Roman" w:cs="Times New Roman"/>
          <w:color w:val="212221"/>
          <w:sz w:val="22"/>
          <w:szCs w:val="22"/>
        </w:rPr>
        <w:t xml:space="preserve">the EPBC Act, the Australian Government Environment Minister is required to consider </w:t>
      </w:r>
      <w:r>
        <w:rPr>
          <w:rFonts w:ascii="Times New Roman" w:hAnsi="Times New Roman" w:cs="Times New Roman"/>
          <w:color w:val="212221"/>
          <w:sz w:val="22"/>
          <w:szCs w:val="22"/>
        </w:rPr>
        <w:t>‘</w:t>
      </w:r>
      <w:r w:rsidRPr="003B1079">
        <w:rPr>
          <w:rFonts w:ascii="Times New Roman" w:hAnsi="Times New Roman" w:cs="Times New Roman"/>
          <w:color w:val="212221"/>
          <w:sz w:val="22"/>
          <w:szCs w:val="22"/>
        </w:rPr>
        <w:t>social and economic matters</w:t>
      </w:r>
      <w:r>
        <w:rPr>
          <w:rFonts w:ascii="Times New Roman" w:hAnsi="Times New Roman" w:cs="Times New Roman"/>
          <w:color w:val="212221"/>
          <w:sz w:val="22"/>
          <w:szCs w:val="22"/>
        </w:rPr>
        <w:t>’</w:t>
      </w:r>
      <w:r w:rsidRPr="003B1079">
        <w:rPr>
          <w:rFonts w:ascii="Times New Roman" w:hAnsi="Times New Roman" w:cs="Times New Roman"/>
          <w:color w:val="212221"/>
          <w:sz w:val="22"/>
          <w:szCs w:val="22"/>
        </w:rPr>
        <w:t xml:space="preserve"> </w:t>
      </w:r>
      <w:r>
        <w:rPr>
          <w:rFonts w:ascii="Times New Roman" w:hAnsi="Times New Roman" w:cs="Times New Roman"/>
          <w:color w:val="212221"/>
          <w:sz w:val="22"/>
          <w:szCs w:val="22"/>
        </w:rPr>
        <w:t>when</w:t>
      </w:r>
      <w:r w:rsidRPr="003B1079">
        <w:rPr>
          <w:rFonts w:ascii="Times New Roman" w:hAnsi="Times New Roman" w:cs="Times New Roman"/>
          <w:color w:val="212221"/>
          <w:sz w:val="22"/>
          <w:szCs w:val="22"/>
        </w:rPr>
        <w:t xml:space="preserve"> deciding whether or not to approve the taking of an action, and what conditions to attach to an approval</w:t>
      </w:r>
      <w:r>
        <w:rPr>
          <w:rFonts w:ascii="Times New Roman" w:hAnsi="Times New Roman"/>
          <w:color w:val="212221"/>
        </w:rPr>
        <w:t xml:space="preserve">. </w:t>
      </w:r>
      <w:r w:rsidRPr="00116FE4">
        <w:rPr>
          <w:rFonts w:ascii="Times New Roman" w:hAnsi="Times New Roman" w:cs="Times New Roman"/>
          <w:color w:val="212221"/>
          <w:sz w:val="22"/>
          <w:szCs w:val="22"/>
        </w:rPr>
        <w:t xml:space="preserve">The Department of the Environment and Energy </w:t>
      </w:r>
      <w:r>
        <w:rPr>
          <w:rFonts w:ascii="Times New Roman" w:hAnsi="Times New Roman" w:cs="Times New Roman"/>
          <w:color w:val="212221"/>
          <w:sz w:val="22"/>
          <w:szCs w:val="22"/>
        </w:rPr>
        <w:t>guides</w:t>
      </w:r>
      <w:r w:rsidRPr="00116FE4">
        <w:rPr>
          <w:rFonts w:ascii="Times New Roman" w:hAnsi="Times New Roman" w:cs="Times New Roman"/>
          <w:color w:val="212221"/>
          <w:sz w:val="22"/>
          <w:szCs w:val="22"/>
        </w:rPr>
        <w:t xml:space="preserve"> proponents in </w:t>
      </w:r>
      <w:r>
        <w:rPr>
          <w:rFonts w:ascii="Times New Roman" w:hAnsi="Times New Roman" w:cs="Times New Roman"/>
          <w:color w:val="212221"/>
          <w:sz w:val="22"/>
          <w:szCs w:val="22"/>
        </w:rPr>
        <w:t>relation to the type of information that is useful to consider in the context of seeking an EPBC Act approval.</w:t>
      </w:r>
      <w:r w:rsidRPr="00116FE4">
        <w:rPr>
          <w:rFonts w:ascii="Times New Roman" w:hAnsi="Times New Roman" w:cs="Times New Roman"/>
          <w:color w:val="212221"/>
          <w:sz w:val="22"/>
          <w:szCs w:val="22"/>
        </w:rPr>
        <w:t xml:space="preserve"> </w:t>
      </w:r>
    </w:p>
    <w:p w:rsidR="00BD5B40" w:rsidRPr="00116FE4" w:rsidRDefault="00C1617F" w:rsidP="00C1617F">
      <w:pPr>
        <w:pStyle w:val="Default"/>
        <w:spacing w:before="120" w:after="120"/>
        <w:rPr>
          <w:rFonts w:ascii="Times New Roman" w:hAnsi="Times New Roman" w:cs="Times New Roman"/>
          <w:color w:val="212221"/>
          <w:sz w:val="22"/>
          <w:szCs w:val="22"/>
        </w:rPr>
      </w:pPr>
      <w:r w:rsidRPr="00116FE4">
        <w:rPr>
          <w:rFonts w:ascii="Times New Roman" w:hAnsi="Times New Roman" w:cs="Times New Roman"/>
          <w:color w:val="212221"/>
          <w:sz w:val="22"/>
          <w:szCs w:val="22"/>
        </w:rPr>
        <w:t>Many state and territory government agencies have economic and social impact assessment guidelines available on the internet.</w:t>
      </w:r>
    </w:p>
    <w:p w:rsidR="00CA247C" w:rsidRDefault="00CA247C">
      <w:pPr>
        <w:spacing w:after="0" w:line="240" w:lineRule="auto"/>
        <w:rPr>
          <w:rFonts w:ascii="Times New Roman" w:hAnsi="Times New Roman"/>
          <w:color w:val="212221"/>
          <w:lang w:eastAsia="en-AU"/>
        </w:rPr>
      </w:pPr>
      <w:r>
        <w:rPr>
          <w:rFonts w:ascii="Times New Roman" w:hAnsi="Times New Roman"/>
          <w:color w:val="212221"/>
          <w:lang w:eastAsia="en-AU"/>
        </w:rPr>
        <w:br w:type="page"/>
      </w: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lastRenderedPageBreak/>
        <w:t>Recommendation 10</w:t>
      </w:r>
    </w:p>
    <w:p w:rsidR="008060DE" w:rsidRPr="00070964" w:rsidRDefault="008060DE"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2.10 The committee recommends that, in conducting their next review of land access, state and territory governments consider a statutory right to royalties for freehold landowners whose permission is sought for environmental assessment and approval purposes.</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Pr="00070964">
        <w:rPr>
          <w:rFonts w:ascii="Times New Roman" w:hAnsi="Times New Roman"/>
          <w:b/>
          <w:color w:val="212221"/>
          <w:lang w:eastAsia="en-AU"/>
        </w:rPr>
        <w:t>esponse</w:t>
      </w:r>
    </w:p>
    <w:p w:rsidR="008060DE" w:rsidRDefault="00E83723" w:rsidP="008060DE">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Noted</w:t>
      </w:r>
      <w:r w:rsidR="00070964">
        <w:rPr>
          <w:rFonts w:ascii="Times New Roman" w:hAnsi="Times New Roman"/>
          <w:color w:val="212221"/>
          <w:lang w:eastAsia="en-AU"/>
        </w:rPr>
        <w:t>.</w:t>
      </w:r>
    </w:p>
    <w:p w:rsidR="00070964" w:rsidRPr="00D800D0" w:rsidRDefault="00D800D0" w:rsidP="00D800D0">
      <w:pPr>
        <w:autoSpaceDE w:val="0"/>
        <w:autoSpaceDN w:val="0"/>
        <w:adjustRightInd w:val="0"/>
        <w:spacing w:before="120" w:after="120" w:line="240" w:lineRule="auto"/>
        <w:rPr>
          <w:rFonts w:ascii="Times New Roman" w:hAnsi="Times New Roman"/>
          <w:color w:val="212221"/>
          <w:lang w:eastAsia="en-AU"/>
        </w:rPr>
      </w:pPr>
      <w:r w:rsidRPr="00D800D0">
        <w:rPr>
          <w:rFonts w:ascii="Times New Roman" w:hAnsi="Times New Roman"/>
          <w:color w:val="212221"/>
          <w:lang w:eastAsia="en-AU"/>
        </w:rPr>
        <w:t>T</w:t>
      </w:r>
      <w:r w:rsidR="00E83723" w:rsidRPr="00D800D0">
        <w:rPr>
          <w:rFonts w:ascii="Times New Roman" w:hAnsi="Times New Roman"/>
          <w:color w:val="212221"/>
          <w:lang w:eastAsia="en-AU"/>
        </w:rPr>
        <w:t>his is a matter for state and territory governments</w:t>
      </w:r>
      <w:r w:rsidR="00070964" w:rsidRPr="00D800D0">
        <w:rPr>
          <w:rFonts w:ascii="Times New Roman" w:hAnsi="Times New Roman"/>
          <w:color w:val="212221"/>
          <w:lang w:eastAsia="en-AU"/>
        </w:rPr>
        <w:t>.</w:t>
      </w:r>
    </w:p>
    <w:p w:rsidR="008060DE" w:rsidRPr="00070964" w:rsidRDefault="008060DE"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11</w:t>
      </w:r>
    </w:p>
    <w:p w:rsidR="008060DE" w:rsidRPr="00070964" w:rsidRDefault="008060DE"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Cs/>
          <w:lang w:eastAsia="en-AU"/>
        </w:rPr>
      </w:pPr>
      <w:r w:rsidRPr="00070964">
        <w:rPr>
          <w:rFonts w:ascii="Times New Roman" w:hAnsi="Times New Roman"/>
          <w:bCs/>
          <w:lang w:eastAsia="en-AU"/>
        </w:rPr>
        <w:t xml:space="preserve">2.11 The committee recommends that state and territory </w:t>
      </w:r>
      <w:proofErr w:type="gramStart"/>
      <w:r w:rsidRPr="00070964">
        <w:rPr>
          <w:rFonts w:ascii="Times New Roman" w:hAnsi="Times New Roman"/>
          <w:bCs/>
          <w:lang w:eastAsia="en-AU"/>
        </w:rPr>
        <w:t>governments</w:t>
      </w:r>
      <w:proofErr w:type="gramEnd"/>
      <w:r w:rsidRPr="00070964">
        <w:rPr>
          <w:rFonts w:ascii="Times New Roman" w:hAnsi="Times New Roman"/>
          <w:bCs/>
          <w:lang w:eastAsia="en-AU"/>
        </w:rPr>
        <w:t xml:space="preserve"> review land access policy, legislation and regulation:</w:t>
      </w:r>
    </w:p>
    <w:p w:rsidR="008060DE" w:rsidRPr="00070964" w:rsidRDefault="008060DE" w:rsidP="008060DE">
      <w:pPr>
        <w:pStyle w:val="ListBullet"/>
        <w:pBdr>
          <w:top w:val="single" w:sz="4" w:space="4" w:color="auto"/>
          <w:left w:val="single" w:sz="4" w:space="4" w:color="auto"/>
          <w:bottom w:val="single" w:sz="4" w:space="4" w:color="auto"/>
          <w:right w:val="single" w:sz="4" w:space="4" w:color="auto"/>
        </w:pBdr>
        <w:spacing w:before="120" w:after="120" w:line="240" w:lineRule="auto"/>
        <w:rPr>
          <w:rFonts w:ascii="Times New Roman" w:hAnsi="Times New Roman"/>
          <w:lang w:eastAsia="en-AU"/>
        </w:rPr>
      </w:pPr>
      <w:r w:rsidRPr="00070964">
        <w:rPr>
          <w:rFonts w:ascii="Times New Roman" w:hAnsi="Times New Roman"/>
          <w:lang w:eastAsia="en-AU"/>
        </w:rPr>
        <w:t>to identify opportunities to facilitate the conversion of leasehold title to freehold title; and/or</w:t>
      </w:r>
    </w:p>
    <w:p w:rsidR="008060DE" w:rsidRPr="00070964" w:rsidRDefault="008060DE" w:rsidP="008060DE">
      <w:pPr>
        <w:pStyle w:val="ListBullet"/>
        <w:pBdr>
          <w:top w:val="single" w:sz="4" w:space="4" w:color="auto"/>
          <w:left w:val="single" w:sz="4" w:space="4" w:color="auto"/>
          <w:bottom w:val="single" w:sz="4" w:space="4" w:color="auto"/>
          <w:right w:val="single" w:sz="4" w:space="4" w:color="auto"/>
        </w:pBdr>
        <w:spacing w:before="120" w:after="120" w:line="240" w:lineRule="auto"/>
        <w:rPr>
          <w:rFonts w:ascii="Times New Roman" w:hAnsi="Times New Roman"/>
          <w:color w:val="212221"/>
          <w:lang w:eastAsia="en-AU"/>
        </w:rPr>
      </w:pPr>
      <w:proofErr w:type="gramStart"/>
      <w:r w:rsidRPr="00070964">
        <w:rPr>
          <w:rFonts w:ascii="Times New Roman" w:hAnsi="Times New Roman"/>
          <w:lang w:eastAsia="en-AU"/>
        </w:rPr>
        <w:t>to</w:t>
      </w:r>
      <w:proofErr w:type="gramEnd"/>
      <w:r w:rsidRPr="00070964">
        <w:rPr>
          <w:rFonts w:ascii="Times New Roman" w:hAnsi="Times New Roman"/>
          <w:lang w:eastAsia="en-AU"/>
        </w:rPr>
        <w:t xml:space="preserve"> remove regulatory oversight of activities on leasehold land, to put it on the same basis as freehold.</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Pr="00070964">
        <w:rPr>
          <w:rFonts w:ascii="Times New Roman" w:hAnsi="Times New Roman"/>
          <w:b/>
          <w:color w:val="212221"/>
          <w:lang w:eastAsia="en-AU"/>
        </w:rPr>
        <w:t>esponse</w:t>
      </w:r>
    </w:p>
    <w:p w:rsidR="00E83723" w:rsidRDefault="00E83723" w:rsidP="00E83723">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Noted.</w:t>
      </w:r>
    </w:p>
    <w:p w:rsidR="00E83723" w:rsidRPr="00070964" w:rsidRDefault="00E83723" w:rsidP="00D800D0">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This is a matter for state and territory governments.</w:t>
      </w:r>
    </w:p>
    <w:p w:rsidR="008060DE" w:rsidRPr="00070964" w:rsidRDefault="008060DE"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12</w:t>
      </w:r>
    </w:p>
    <w:p w:rsidR="008060DE" w:rsidRPr="00070964" w:rsidRDefault="008060DE"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2.12 The committee recommends that the Australian Government initiate an independent review into the impact of the Deregulation Agenda on the Department of the Environment and Energy.</w:t>
      </w:r>
    </w:p>
    <w:p w:rsidR="00070964" w:rsidRPr="00D441B1" w:rsidRDefault="00070964" w:rsidP="00E83723">
      <w:pPr>
        <w:autoSpaceDE w:val="0"/>
        <w:autoSpaceDN w:val="0"/>
        <w:adjustRightInd w:val="0"/>
        <w:spacing w:before="240" w:after="120" w:line="240" w:lineRule="auto"/>
        <w:rPr>
          <w:rFonts w:ascii="Times New Roman" w:hAnsi="Times New Roman"/>
          <w:b/>
          <w:color w:val="212221"/>
          <w:lang w:eastAsia="en-AU"/>
        </w:rPr>
      </w:pPr>
      <w:r w:rsidRPr="00D441B1">
        <w:rPr>
          <w:rFonts w:ascii="Times New Roman" w:hAnsi="Times New Roman"/>
          <w:b/>
          <w:color w:val="212221"/>
          <w:lang w:eastAsia="en-AU"/>
        </w:rPr>
        <w:t>Government response</w:t>
      </w:r>
    </w:p>
    <w:p w:rsidR="003E6656" w:rsidRPr="00D441B1" w:rsidRDefault="00D800D0" w:rsidP="00C1617F">
      <w:pPr>
        <w:autoSpaceDE w:val="0"/>
        <w:autoSpaceDN w:val="0"/>
        <w:adjustRightInd w:val="0"/>
        <w:spacing w:before="120" w:after="120" w:line="240" w:lineRule="auto"/>
        <w:rPr>
          <w:rFonts w:ascii="Times New Roman" w:hAnsi="Times New Roman"/>
          <w:color w:val="212221"/>
          <w:lang w:eastAsia="en-AU"/>
        </w:rPr>
      </w:pPr>
      <w:r w:rsidRPr="00D441B1">
        <w:rPr>
          <w:rFonts w:ascii="Times New Roman" w:hAnsi="Times New Roman"/>
          <w:color w:val="212221"/>
          <w:lang w:eastAsia="en-AU"/>
        </w:rPr>
        <w:t>Not agreed</w:t>
      </w:r>
      <w:r w:rsidR="00070964" w:rsidRPr="00D441B1">
        <w:rPr>
          <w:rFonts w:ascii="Times New Roman" w:hAnsi="Times New Roman"/>
          <w:color w:val="212221"/>
          <w:lang w:eastAsia="en-AU"/>
        </w:rPr>
        <w:t>.</w:t>
      </w:r>
      <w:r w:rsidR="009D302B" w:rsidRPr="00D441B1">
        <w:rPr>
          <w:rFonts w:ascii="Times New Roman" w:hAnsi="Times New Roman"/>
          <w:color w:val="212221"/>
          <w:lang w:eastAsia="en-AU"/>
        </w:rPr>
        <w:t xml:space="preserve"> </w:t>
      </w:r>
    </w:p>
    <w:p w:rsidR="00070964" w:rsidRDefault="00D441B1" w:rsidP="00C1617F">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The Australian Government tracks the Regulatory Reform Agenda periodically through its annual reports on the agenda, which are publically available.</w:t>
      </w:r>
    </w:p>
    <w:p w:rsidR="008060DE" w:rsidRPr="00070964" w:rsidRDefault="008060DE"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13</w:t>
      </w:r>
    </w:p>
    <w:p w:rsidR="008060DE" w:rsidRPr="00070964" w:rsidRDefault="008060DE"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2.13 The committee recommends that state and territory governments explore options for facilitating reasonable access to existing Aboriginal heritage surveys.</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Pr="00070964">
        <w:rPr>
          <w:rFonts w:ascii="Times New Roman" w:hAnsi="Times New Roman"/>
          <w:b/>
          <w:color w:val="212221"/>
          <w:lang w:eastAsia="en-AU"/>
        </w:rPr>
        <w:t>esponse</w:t>
      </w:r>
    </w:p>
    <w:p w:rsidR="00A46D26" w:rsidRDefault="00A46D26" w:rsidP="00A46D26">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Noted.</w:t>
      </w:r>
    </w:p>
    <w:p w:rsidR="00A46D26" w:rsidRPr="00070964" w:rsidRDefault="00A46D26" w:rsidP="00A46D26">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This is a matter for state and territory governments.</w:t>
      </w:r>
    </w:p>
    <w:p w:rsidR="008060DE" w:rsidRPr="00070964" w:rsidRDefault="008060DE"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14</w:t>
      </w:r>
    </w:p>
    <w:p w:rsidR="008060DE" w:rsidRPr="00070964" w:rsidRDefault="008060DE"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2.14 The committee recommends that Commonwealth, state and territory governments review departmental policies and budgets to support the conduct of site inspections by decision-makers during the environmental assessment process.</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lastRenderedPageBreak/>
        <w:t>Government r</w:t>
      </w:r>
      <w:r w:rsidRPr="00070964">
        <w:rPr>
          <w:rFonts w:ascii="Times New Roman" w:hAnsi="Times New Roman"/>
          <w:b/>
          <w:color w:val="212221"/>
          <w:lang w:eastAsia="en-AU"/>
        </w:rPr>
        <w:t>esponse</w:t>
      </w:r>
    </w:p>
    <w:p w:rsidR="002B0B3D" w:rsidRDefault="00C41BBF" w:rsidP="00070964">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Noted</w:t>
      </w:r>
      <w:r w:rsidR="00070964">
        <w:rPr>
          <w:rFonts w:ascii="Times New Roman" w:hAnsi="Times New Roman"/>
          <w:color w:val="212221"/>
          <w:lang w:eastAsia="en-AU"/>
        </w:rPr>
        <w:t>.</w:t>
      </w:r>
      <w:r w:rsidR="00644CEF">
        <w:rPr>
          <w:rFonts w:ascii="Times New Roman" w:hAnsi="Times New Roman"/>
          <w:color w:val="212221"/>
          <w:lang w:eastAsia="en-AU"/>
        </w:rPr>
        <w:t xml:space="preserve"> </w:t>
      </w:r>
    </w:p>
    <w:p w:rsidR="00070964" w:rsidRDefault="00644CEF" w:rsidP="00070964">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The Min</w:t>
      </w:r>
      <w:r w:rsidR="0073506F">
        <w:rPr>
          <w:rFonts w:ascii="Times New Roman" w:hAnsi="Times New Roman"/>
          <w:color w:val="212221"/>
          <w:lang w:eastAsia="en-AU"/>
        </w:rPr>
        <w:t xml:space="preserve">ister </w:t>
      </w:r>
      <w:r w:rsidR="003770AF">
        <w:rPr>
          <w:rFonts w:ascii="Times New Roman" w:hAnsi="Times New Roman"/>
          <w:color w:val="212221"/>
          <w:lang w:eastAsia="en-AU"/>
        </w:rPr>
        <w:t xml:space="preserve">for the Environment and Energy </w:t>
      </w:r>
      <w:r w:rsidR="0073506F">
        <w:rPr>
          <w:rFonts w:ascii="Times New Roman" w:hAnsi="Times New Roman"/>
          <w:color w:val="212221"/>
          <w:lang w:eastAsia="en-AU"/>
        </w:rPr>
        <w:t xml:space="preserve">and </w:t>
      </w:r>
      <w:r w:rsidR="003770AF">
        <w:rPr>
          <w:rFonts w:ascii="Times New Roman" w:hAnsi="Times New Roman"/>
          <w:color w:val="212221"/>
          <w:lang w:eastAsia="en-AU"/>
        </w:rPr>
        <w:t>senior Departmental officials</w:t>
      </w:r>
      <w:r>
        <w:rPr>
          <w:rFonts w:ascii="Times New Roman" w:hAnsi="Times New Roman"/>
          <w:color w:val="212221"/>
          <w:lang w:eastAsia="en-AU"/>
        </w:rPr>
        <w:t xml:space="preserve"> </w:t>
      </w:r>
      <w:r w:rsidR="0041578A">
        <w:rPr>
          <w:rFonts w:ascii="Times New Roman" w:hAnsi="Times New Roman"/>
          <w:color w:val="212221"/>
          <w:lang w:eastAsia="en-AU"/>
        </w:rPr>
        <w:t>frequently</w:t>
      </w:r>
      <w:r>
        <w:rPr>
          <w:rFonts w:ascii="Times New Roman" w:hAnsi="Times New Roman"/>
          <w:color w:val="212221"/>
          <w:lang w:eastAsia="en-AU"/>
        </w:rPr>
        <w:t xml:space="preserve"> </w:t>
      </w:r>
      <w:r w:rsidR="0073506F">
        <w:rPr>
          <w:rFonts w:ascii="Times New Roman" w:hAnsi="Times New Roman"/>
          <w:color w:val="212221"/>
          <w:lang w:eastAsia="en-AU"/>
        </w:rPr>
        <w:t>conduct site visits during the EPBC Act assessment process</w:t>
      </w:r>
      <w:r w:rsidR="003770AF">
        <w:rPr>
          <w:rFonts w:ascii="Times New Roman" w:hAnsi="Times New Roman"/>
          <w:color w:val="212221"/>
          <w:lang w:eastAsia="en-AU"/>
        </w:rPr>
        <w:t xml:space="preserve"> to inform </w:t>
      </w:r>
      <w:r w:rsidR="00804B00">
        <w:rPr>
          <w:rFonts w:ascii="Times New Roman" w:hAnsi="Times New Roman"/>
          <w:color w:val="212221"/>
          <w:lang w:eastAsia="en-AU"/>
        </w:rPr>
        <w:t xml:space="preserve">the </w:t>
      </w:r>
      <w:r w:rsidR="003770AF">
        <w:rPr>
          <w:rFonts w:ascii="Times New Roman" w:hAnsi="Times New Roman"/>
          <w:color w:val="212221"/>
          <w:lang w:eastAsia="en-AU"/>
        </w:rPr>
        <w:t>decision-making</w:t>
      </w:r>
      <w:r w:rsidR="00804B00">
        <w:rPr>
          <w:rFonts w:ascii="Times New Roman" w:hAnsi="Times New Roman"/>
          <w:color w:val="212221"/>
          <w:lang w:eastAsia="en-AU"/>
        </w:rPr>
        <w:t xml:space="preserve"> process</w:t>
      </w:r>
      <w:r w:rsidR="0073506F">
        <w:rPr>
          <w:rFonts w:ascii="Times New Roman" w:hAnsi="Times New Roman"/>
          <w:color w:val="212221"/>
          <w:lang w:eastAsia="en-AU"/>
        </w:rPr>
        <w:t xml:space="preserve">. </w:t>
      </w:r>
      <w:r w:rsidR="00122ECB">
        <w:rPr>
          <w:rFonts w:ascii="Times New Roman" w:hAnsi="Times New Roman"/>
          <w:color w:val="212221"/>
          <w:lang w:eastAsia="en-AU"/>
        </w:rPr>
        <w:t>Expenditures</w:t>
      </w:r>
      <w:r>
        <w:rPr>
          <w:rFonts w:ascii="Times New Roman" w:hAnsi="Times New Roman"/>
          <w:color w:val="212221"/>
          <w:lang w:eastAsia="en-AU"/>
        </w:rPr>
        <w:t xml:space="preserve"> for </w:t>
      </w:r>
      <w:r w:rsidR="00804B00">
        <w:rPr>
          <w:rFonts w:ascii="Times New Roman" w:hAnsi="Times New Roman"/>
          <w:color w:val="212221"/>
          <w:lang w:eastAsia="en-AU"/>
        </w:rPr>
        <w:t>these activities</w:t>
      </w:r>
      <w:r>
        <w:rPr>
          <w:rFonts w:ascii="Times New Roman" w:hAnsi="Times New Roman"/>
          <w:color w:val="212221"/>
          <w:lang w:eastAsia="en-AU"/>
        </w:rPr>
        <w:t xml:space="preserve"> </w:t>
      </w:r>
      <w:r w:rsidR="00122ECB">
        <w:rPr>
          <w:rFonts w:ascii="Times New Roman" w:hAnsi="Times New Roman"/>
          <w:color w:val="212221"/>
          <w:lang w:eastAsia="en-AU"/>
        </w:rPr>
        <w:t xml:space="preserve">are </w:t>
      </w:r>
      <w:r w:rsidR="0073506F">
        <w:rPr>
          <w:rFonts w:ascii="Times New Roman" w:hAnsi="Times New Roman"/>
          <w:color w:val="212221"/>
          <w:lang w:eastAsia="en-AU"/>
        </w:rPr>
        <w:t xml:space="preserve">reviewed </w:t>
      </w:r>
      <w:r w:rsidR="0041578A">
        <w:rPr>
          <w:rFonts w:ascii="Times New Roman" w:hAnsi="Times New Roman"/>
          <w:color w:val="212221"/>
          <w:lang w:eastAsia="en-AU"/>
        </w:rPr>
        <w:t xml:space="preserve">regularly </w:t>
      </w:r>
      <w:r w:rsidR="0073506F">
        <w:rPr>
          <w:rFonts w:ascii="Times New Roman" w:hAnsi="Times New Roman"/>
          <w:color w:val="212221"/>
          <w:lang w:eastAsia="en-AU"/>
        </w:rPr>
        <w:t>as part of the annual budget cycle.</w:t>
      </w:r>
    </w:p>
    <w:p w:rsidR="00CB760B" w:rsidRDefault="00007763" w:rsidP="008060DE">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Departmental policies and budgets at the state and territory level are a matter for the relevant state or territory government.</w:t>
      </w:r>
    </w:p>
    <w:p w:rsidR="002B0B3D" w:rsidRPr="00070964" w:rsidRDefault="002B0B3D" w:rsidP="008060DE">
      <w:pPr>
        <w:autoSpaceDE w:val="0"/>
        <w:autoSpaceDN w:val="0"/>
        <w:adjustRightInd w:val="0"/>
        <w:spacing w:before="120" w:after="120" w:line="240" w:lineRule="auto"/>
        <w:rPr>
          <w:rFonts w:ascii="Times New Roman" w:hAnsi="Times New Roman"/>
          <w:color w:val="212221"/>
          <w:lang w:eastAsia="en-AU"/>
        </w:rPr>
      </w:pPr>
    </w:p>
    <w:p w:rsidR="00207119" w:rsidRPr="00070964" w:rsidRDefault="00207119"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b/>
          <w:color w:val="212221"/>
          <w:lang w:eastAsia="en-AU"/>
        </w:rPr>
      </w:pPr>
      <w:r w:rsidRPr="00070964">
        <w:rPr>
          <w:rFonts w:ascii="Times New Roman" w:hAnsi="Times New Roman"/>
          <w:b/>
          <w:color w:val="212221"/>
          <w:lang w:eastAsia="en-AU"/>
        </w:rPr>
        <w:t>Recommendation 15</w:t>
      </w:r>
    </w:p>
    <w:p w:rsidR="00207119" w:rsidRPr="00070964" w:rsidRDefault="008060DE" w:rsidP="008060DE">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rPr>
          <w:rFonts w:ascii="Times New Roman" w:hAnsi="Times New Roman"/>
          <w:color w:val="212221"/>
          <w:lang w:eastAsia="en-AU"/>
        </w:rPr>
      </w:pPr>
      <w:r w:rsidRPr="00070964">
        <w:rPr>
          <w:rFonts w:ascii="Times New Roman" w:hAnsi="Times New Roman"/>
          <w:bCs/>
          <w:lang w:eastAsia="en-AU"/>
        </w:rPr>
        <w:t xml:space="preserve">2.15 The committee recommends that Commonwealth, state and territory governments investigate options for the greater utilisation of local </w:t>
      </w:r>
      <w:r w:rsidRPr="00E94BAE">
        <w:rPr>
          <w:rFonts w:ascii="Times New Roman" w:hAnsi="Times New Roman"/>
          <w:bCs/>
          <w:lang w:eastAsia="en-AU"/>
        </w:rPr>
        <w:t>knowledge and experience, including through the employment of local decision-makers.</w:t>
      </w:r>
    </w:p>
    <w:p w:rsidR="00070964" w:rsidRPr="00070964" w:rsidRDefault="00070964" w:rsidP="00E83723">
      <w:pPr>
        <w:autoSpaceDE w:val="0"/>
        <w:autoSpaceDN w:val="0"/>
        <w:adjustRightInd w:val="0"/>
        <w:spacing w:before="240" w:after="120" w:line="240" w:lineRule="auto"/>
        <w:rPr>
          <w:rFonts w:ascii="Times New Roman" w:hAnsi="Times New Roman"/>
          <w:b/>
          <w:color w:val="212221"/>
          <w:lang w:eastAsia="en-AU"/>
        </w:rPr>
      </w:pPr>
      <w:r>
        <w:rPr>
          <w:rFonts w:ascii="Times New Roman" w:hAnsi="Times New Roman"/>
          <w:b/>
          <w:color w:val="212221"/>
          <w:lang w:eastAsia="en-AU"/>
        </w:rPr>
        <w:t>Government r</w:t>
      </w:r>
      <w:r w:rsidRPr="00070964">
        <w:rPr>
          <w:rFonts w:ascii="Times New Roman" w:hAnsi="Times New Roman"/>
          <w:b/>
          <w:color w:val="212221"/>
          <w:lang w:eastAsia="en-AU"/>
        </w:rPr>
        <w:t>esponse</w:t>
      </w:r>
    </w:p>
    <w:p w:rsidR="00B325A6" w:rsidRDefault="00E94BAE" w:rsidP="00070964">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Noted</w:t>
      </w:r>
      <w:r w:rsidR="00070964">
        <w:rPr>
          <w:rFonts w:ascii="Times New Roman" w:hAnsi="Times New Roman"/>
          <w:color w:val="212221"/>
          <w:lang w:eastAsia="en-AU"/>
        </w:rPr>
        <w:t>.</w:t>
      </w:r>
      <w:r w:rsidR="00124217">
        <w:rPr>
          <w:rFonts w:ascii="Times New Roman" w:hAnsi="Times New Roman"/>
          <w:color w:val="212221"/>
          <w:lang w:eastAsia="en-AU"/>
        </w:rPr>
        <w:t xml:space="preserve"> </w:t>
      </w:r>
    </w:p>
    <w:p w:rsidR="00124217" w:rsidRDefault="00924A6A" w:rsidP="00070964">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 xml:space="preserve">In conducting EPBC Act assessments, the Department of the Environment and Energy regularly engages with local experts and community members. The EPBC Act also provides multiple opportunities for local community input during assessments. As part of the One-Stop Shop </w:t>
      </w:r>
      <w:r w:rsidR="002179F3">
        <w:rPr>
          <w:rFonts w:ascii="Times New Roman" w:hAnsi="Times New Roman"/>
          <w:color w:val="212221"/>
          <w:lang w:eastAsia="en-AU"/>
        </w:rPr>
        <w:t xml:space="preserve">reform </w:t>
      </w:r>
      <w:r>
        <w:rPr>
          <w:rFonts w:ascii="Times New Roman" w:hAnsi="Times New Roman"/>
          <w:color w:val="212221"/>
          <w:lang w:eastAsia="en-AU"/>
        </w:rPr>
        <w:t>the Department has also improved coordination and data sharing</w:t>
      </w:r>
      <w:r w:rsidR="0059200A">
        <w:rPr>
          <w:rFonts w:ascii="Times New Roman" w:hAnsi="Times New Roman"/>
          <w:color w:val="212221"/>
          <w:lang w:eastAsia="en-AU"/>
        </w:rPr>
        <w:t xml:space="preserve"> with state and territory agencies.</w:t>
      </w:r>
      <w:r>
        <w:rPr>
          <w:rFonts w:ascii="Times New Roman" w:hAnsi="Times New Roman"/>
          <w:color w:val="212221"/>
          <w:lang w:eastAsia="en-AU"/>
        </w:rPr>
        <w:t xml:space="preserve"> </w:t>
      </w:r>
    </w:p>
    <w:p w:rsidR="00347ABA" w:rsidRPr="00CB760B" w:rsidRDefault="00924A6A" w:rsidP="00CB760B">
      <w:pPr>
        <w:autoSpaceDE w:val="0"/>
        <w:autoSpaceDN w:val="0"/>
        <w:adjustRightInd w:val="0"/>
        <w:spacing w:before="120" w:after="120" w:line="240" w:lineRule="auto"/>
        <w:rPr>
          <w:rFonts w:ascii="Times New Roman" w:hAnsi="Times New Roman"/>
          <w:color w:val="212221"/>
          <w:lang w:eastAsia="en-AU"/>
        </w:rPr>
      </w:pPr>
      <w:r>
        <w:rPr>
          <w:rFonts w:ascii="Times New Roman" w:hAnsi="Times New Roman"/>
          <w:color w:val="212221"/>
          <w:lang w:eastAsia="en-AU"/>
        </w:rPr>
        <w:t>The conduct of state and territory assessment processes is a matter for the relevant state or territory government.</w:t>
      </w:r>
    </w:p>
    <w:sectPr w:rsidR="00347ABA" w:rsidRPr="00CB760B" w:rsidSect="005E420F">
      <w:headerReference w:type="even" r:id="rId12"/>
      <w:headerReference w:type="default" r:id="rId13"/>
      <w:footerReference w:type="even" r:id="rId14"/>
      <w:footerReference w:type="default" r:id="rId15"/>
      <w:headerReference w:type="first" r:id="rId16"/>
      <w:footerReference w:type="first" r:id="rId17"/>
      <w:pgSz w:w="11906" w:h="16838"/>
      <w:pgMar w:top="1418" w:right="1276" w:bottom="1134"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DE0" w:rsidRDefault="008A3DE0" w:rsidP="00A60185">
      <w:pPr>
        <w:spacing w:after="0" w:line="240" w:lineRule="auto"/>
      </w:pPr>
      <w:r>
        <w:separator/>
      </w:r>
    </w:p>
  </w:endnote>
  <w:endnote w:type="continuationSeparator" w:id="0">
    <w:p w:rsidR="008A3DE0" w:rsidRDefault="008A3DE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A8" w:rsidRDefault="00EE4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9243830"/>
      <w:docPartObj>
        <w:docPartGallery w:val="Page Numbers (Bottom of Page)"/>
        <w:docPartUnique/>
      </w:docPartObj>
    </w:sdtPr>
    <w:sdtEndPr/>
    <w:sdtContent>
      <w:p w:rsidR="00100BEF" w:rsidRPr="002179F3" w:rsidRDefault="002B5656">
        <w:pPr>
          <w:pStyle w:val="Footer"/>
          <w:jc w:val="center"/>
          <w:rPr>
            <w:rFonts w:ascii="Times New Roman" w:hAnsi="Times New Roman"/>
          </w:rPr>
        </w:pPr>
        <w:r w:rsidRPr="002179F3">
          <w:rPr>
            <w:rFonts w:ascii="Times New Roman" w:hAnsi="Times New Roman"/>
          </w:rPr>
          <w:fldChar w:fldCharType="begin"/>
        </w:r>
        <w:r w:rsidRPr="002179F3">
          <w:rPr>
            <w:rFonts w:ascii="Times New Roman" w:hAnsi="Times New Roman"/>
          </w:rPr>
          <w:instrText xml:space="preserve"> PAGE   \* MERGEFORMAT </w:instrText>
        </w:r>
        <w:r w:rsidRPr="002179F3">
          <w:rPr>
            <w:rFonts w:ascii="Times New Roman" w:hAnsi="Times New Roman"/>
          </w:rPr>
          <w:fldChar w:fldCharType="separate"/>
        </w:r>
        <w:r w:rsidR="00EE48A8">
          <w:rPr>
            <w:rFonts w:ascii="Times New Roman" w:hAnsi="Times New Roman"/>
            <w:noProof/>
          </w:rPr>
          <w:t>7</w:t>
        </w:r>
        <w:r w:rsidRPr="002179F3">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A8" w:rsidRDefault="00EE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DE0" w:rsidRDefault="008A3DE0" w:rsidP="00A60185">
      <w:pPr>
        <w:spacing w:after="0" w:line="240" w:lineRule="auto"/>
      </w:pPr>
      <w:r>
        <w:separator/>
      </w:r>
    </w:p>
  </w:footnote>
  <w:footnote w:type="continuationSeparator" w:id="0">
    <w:p w:rsidR="008A3DE0" w:rsidRDefault="008A3DE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A8" w:rsidRDefault="00EE4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A8" w:rsidRDefault="00EE4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A8" w:rsidRDefault="00EE4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E8128FE"/>
    <w:multiLevelType w:val="hybridMultilevel"/>
    <w:tmpl w:val="AD0E7BE2"/>
    <w:lvl w:ilvl="0" w:tplc="B122F0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33855"/>
    <w:multiLevelType w:val="hybridMultilevel"/>
    <w:tmpl w:val="200BCA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7E554C7D"/>
    <w:multiLevelType w:val="hybridMultilevel"/>
    <w:tmpl w:val="32264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3"/>
  </w:num>
  <w:num w:numId="7">
    <w:abstractNumId w:val="8"/>
  </w:num>
  <w:num w:numId="8">
    <w:abstractNumId w:val="1"/>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156681"/>
    <w:rsid w:val="00004AEE"/>
    <w:rsid w:val="00005CAA"/>
    <w:rsid w:val="00007763"/>
    <w:rsid w:val="00010210"/>
    <w:rsid w:val="00012D66"/>
    <w:rsid w:val="00015ADA"/>
    <w:rsid w:val="00020C99"/>
    <w:rsid w:val="000258BB"/>
    <w:rsid w:val="0002707B"/>
    <w:rsid w:val="0005148E"/>
    <w:rsid w:val="00070964"/>
    <w:rsid w:val="00070F5C"/>
    <w:rsid w:val="00072C5A"/>
    <w:rsid w:val="000759E5"/>
    <w:rsid w:val="000823D4"/>
    <w:rsid w:val="00084AC6"/>
    <w:rsid w:val="00091608"/>
    <w:rsid w:val="00092146"/>
    <w:rsid w:val="0009333C"/>
    <w:rsid w:val="0009704F"/>
    <w:rsid w:val="000A0F11"/>
    <w:rsid w:val="000A125A"/>
    <w:rsid w:val="000A5675"/>
    <w:rsid w:val="000A57CD"/>
    <w:rsid w:val="000A6400"/>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6FE4"/>
    <w:rsid w:val="00117A45"/>
    <w:rsid w:val="001221C3"/>
    <w:rsid w:val="001224AE"/>
    <w:rsid w:val="00122ECB"/>
    <w:rsid w:val="00124217"/>
    <w:rsid w:val="001337D4"/>
    <w:rsid w:val="00147C12"/>
    <w:rsid w:val="001527A1"/>
    <w:rsid w:val="001530DC"/>
    <w:rsid w:val="00154989"/>
    <w:rsid w:val="00155A9F"/>
    <w:rsid w:val="00156681"/>
    <w:rsid w:val="00160262"/>
    <w:rsid w:val="00163D98"/>
    <w:rsid w:val="00164BF9"/>
    <w:rsid w:val="0016780A"/>
    <w:rsid w:val="001710BD"/>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07119"/>
    <w:rsid w:val="00213DE8"/>
    <w:rsid w:val="00216118"/>
    <w:rsid w:val="002179F3"/>
    <w:rsid w:val="002209AB"/>
    <w:rsid w:val="002251E3"/>
    <w:rsid w:val="00227A95"/>
    <w:rsid w:val="002316BD"/>
    <w:rsid w:val="002473FC"/>
    <w:rsid w:val="00251ED1"/>
    <w:rsid w:val="00252E3C"/>
    <w:rsid w:val="00262198"/>
    <w:rsid w:val="0026510F"/>
    <w:rsid w:val="00285F1B"/>
    <w:rsid w:val="00292B81"/>
    <w:rsid w:val="002B0B3D"/>
    <w:rsid w:val="002B18AE"/>
    <w:rsid w:val="002B5656"/>
    <w:rsid w:val="002C1C93"/>
    <w:rsid w:val="002C5066"/>
    <w:rsid w:val="002C5813"/>
    <w:rsid w:val="002D4AAC"/>
    <w:rsid w:val="002E1FD6"/>
    <w:rsid w:val="002E21D2"/>
    <w:rsid w:val="002F045A"/>
    <w:rsid w:val="002F5484"/>
    <w:rsid w:val="002F5A13"/>
    <w:rsid w:val="002F6F33"/>
    <w:rsid w:val="0030039D"/>
    <w:rsid w:val="0030326F"/>
    <w:rsid w:val="00310701"/>
    <w:rsid w:val="00315980"/>
    <w:rsid w:val="00316F7F"/>
    <w:rsid w:val="003218E8"/>
    <w:rsid w:val="00325E34"/>
    <w:rsid w:val="00330DCE"/>
    <w:rsid w:val="00331E11"/>
    <w:rsid w:val="00332FAF"/>
    <w:rsid w:val="00334761"/>
    <w:rsid w:val="00334C1D"/>
    <w:rsid w:val="00337EBC"/>
    <w:rsid w:val="00341DCD"/>
    <w:rsid w:val="003437D9"/>
    <w:rsid w:val="0034563E"/>
    <w:rsid w:val="00347ABA"/>
    <w:rsid w:val="003518D6"/>
    <w:rsid w:val="0035460C"/>
    <w:rsid w:val="003556BD"/>
    <w:rsid w:val="0035729D"/>
    <w:rsid w:val="00365147"/>
    <w:rsid w:val="0037016E"/>
    <w:rsid w:val="00372908"/>
    <w:rsid w:val="003770AF"/>
    <w:rsid w:val="00383020"/>
    <w:rsid w:val="00386881"/>
    <w:rsid w:val="00394D7E"/>
    <w:rsid w:val="003975FD"/>
    <w:rsid w:val="003A7F9A"/>
    <w:rsid w:val="003B057D"/>
    <w:rsid w:val="003B1079"/>
    <w:rsid w:val="003B60CC"/>
    <w:rsid w:val="003B6945"/>
    <w:rsid w:val="003C1B25"/>
    <w:rsid w:val="003C2443"/>
    <w:rsid w:val="003C5DA3"/>
    <w:rsid w:val="003D4BCD"/>
    <w:rsid w:val="003D6C2B"/>
    <w:rsid w:val="003E01D8"/>
    <w:rsid w:val="003E2100"/>
    <w:rsid w:val="003E6656"/>
    <w:rsid w:val="003F357A"/>
    <w:rsid w:val="003F6214"/>
    <w:rsid w:val="003F6F5B"/>
    <w:rsid w:val="0040342D"/>
    <w:rsid w:val="0041192D"/>
    <w:rsid w:val="00413EE1"/>
    <w:rsid w:val="0041578A"/>
    <w:rsid w:val="0042128E"/>
    <w:rsid w:val="00432B60"/>
    <w:rsid w:val="00440698"/>
    <w:rsid w:val="0045331B"/>
    <w:rsid w:val="004540E2"/>
    <w:rsid w:val="00454454"/>
    <w:rsid w:val="00467924"/>
    <w:rsid w:val="004712A5"/>
    <w:rsid w:val="0047266F"/>
    <w:rsid w:val="0047538C"/>
    <w:rsid w:val="00476D6B"/>
    <w:rsid w:val="00492C16"/>
    <w:rsid w:val="004A0678"/>
    <w:rsid w:val="004A48A3"/>
    <w:rsid w:val="004B0D92"/>
    <w:rsid w:val="004B0EC0"/>
    <w:rsid w:val="004B66F1"/>
    <w:rsid w:val="004C3EA0"/>
    <w:rsid w:val="004D468C"/>
    <w:rsid w:val="004D575A"/>
    <w:rsid w:val="004F7169"/>
    <w:rsid w:val="00500D66"/>
    <w:rsid w:val="00513EA0"/>
    <w:rsid w:val="0051471F"/>
    <w:rsid w:val="00514C8E"/>
    <w:rsid w:val="00531DBF"/>
    <w:rsid w:val="00545759"/>
    <w:rsid w:val="00545BE0"/>
    <w:rsid w:val="00546930"/>
    <w:rsid w:val="00551BE2"/>
    <w:rsid w:val="00554C6A"/>
    <w:rsid w:val="00562E85"/>
    <w:rsid w:val="0056332F"/>
    <w:rsid w:val="005719B3"/>
    <w:rsid w:val="0057295E"/>
    <w:rsid w:val="00581C39"/>
    <w:rsid w:val="005832C3"/>
    <w:rsid w:val="0058474F"/>
    <w:rsid w:val="005903B6"/>
    <w:rsid w:val="0059200A"/>
    <w:rsid w:val="005A0247"/>
    <w:rsid w:val="005A126E"/>
    <w:rsid w:val="005A452F"/>
    <w:rsid w:val="005B140D"/>
    <w:rsid w:val="005C1FEA"/>
    <w:rsid w:val="005C3495"/>
    <w:rsid w:val="005D4035"/>
    <w:rsid w:val="005E3DFC"/>
    <w:rsid w:val="005E420F"/>
    <w:rsid w:val="005E5942"/>
    <w:rsid w:val="005E60AF"/>
    <w:rsid w:val="005F1DEA"/>
    <w:rsid w:val="00607FC9"/>
    <w:rsid w:val="00610F2D"/>
    <w:rsid w:val="00622FE1"/>
    <w:rsid w:val="0062521C"/>
    <w:rsid w:val="00625698"/>
    <w:rsid w:val="00626BED"/>
    <w:rsid w:val="00630A2B"/>
    <w:rsid w:val="00632DC7"/>
    <w:rsid w:val="006357FB"/>
    <w:rsid w:val="006406FC"/>
    <w:rsid w:val="00640E57"/>
    <w:rsid w:val="00644CEF"/>
    <w:rsid w:val="00646122"/>
    <w:rsid w:val="00653E16"/>
    <w:rsid w:val="00657220"/>
    <w:rsid w:val="00657362"/>
    <w:rsid w:val="0066104B"/>
    <w:rsid w:val="006655EE"/>
    <w:rsid w:val="00666839"/>
    <w:rsid w:val="00667C10"/>
    <w:rsid w:val="00667EF4"/>
    <w:rsid w:val="00676FCA"/>
    <w:rsid w:val="00677177"/>
    <w:rsid w:val="00682048"/>
    <w:rsid w:val="00683251"/>
    <w:rsid w:val="0068612E"/>
    <w:rsid w:val="00687C92"/>
    <w:rsid w:val="006923E0"/>
    <w:rsid w:val="0069534E"/>
    <w:rsid w:val="0069669C"/>
    <w:rsid w:val="006A1200"/>
    <w:rsid w:val="006A41CB"/>
    <w:rsid w:val="006A4470"/>
    <w:rsid w:val="006A4F4E"/>
    <w:rsid w:val="006A6C23"/>
    <w:rsid w:val="006B02B1"/>
    <w:rsid w:val="006B14DB"/>
    <w:rsid w:val="006B21C4"/>
    <w:rsid w:val="006C4A1A"/>
    <w:rsid w:val="006D0393"/>
    <w:rsid w:val="006D1A83"/>
    <w:rsid w:val="006E1CFE"/>
    <w:rsid w:val="006F10C4"/>
    <w:rsid w:val="006F40E9"/>
    <w:rsid w:val="006F5603"/>
    <w:rsid w:val="006F7B87"/>
    <w:rsid w:val="00700C83"/>
    <w:rsid w:val="00701400"/>
    <w:rsid w:val="007037CF"/>
    <w:rsid w:val="007167C0"/>
    <w:rsid w:val="00720481"/>
    <w:rsid w:val="00733193"/>
    <w:rsid w:val="0073506F"/>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7E508A"/>
    <w:rsid w:val="007F1FB4"/>
    <w:rsid w:val="00800F64"/>
    <w:rsid w:val="00801050"/>
    <w:rsid w:val="00802F0B"/>
    <w:rsid w:val="00804B00"/>
    <w:rsid w:val="008060DE"/>
    <w:rsid w:val="00810A67"/>
    <w:rsid w:val="00833CF7"/>
    <w:rsid w:val="00834CDE"/>
    <w:rsid w:val="00842464"/>
    <w:rsid w:val="00845601"/>
    <w:rsid w:val="00855C5C"/>
    <w:rsid w:val="008605DD"/>
    <w:rsid w:val="00886EC5"/>
    <w:rsid w:val="008A3C96"/>
    <w:rsid w:val="008A3DE0"/>
    <w:rsid w:val="008B201B"/>
    <w:rsid w:val="008B4019"/>
    <w:rsid w:val="008B65C9"/>
    <w:rsid w:val="008B7168"/>
    <w:rsid w:val="008C2D4A"/>
    <w:rsid w:val="008D3900"/>
    <w:rsid w:val="008D6E1D"/>
    <w:rsid w:val="008F39B4"/>
    <w:rsid w:val="008F4162"/>
    <w:rsid w:val="00903E02"/>
    <w:rsid w:val="00905E0A"/>
    <w:rsid w:val="0091179E"/>
    <w:rsid w:val="00913175"/>
    <w:rsid w:val="00916EDB"/>
    <w:rsid w:val="00920861"/>
    <w:rsid w:val="00922B13"/>
    <w:rsid w:val="009242EF"/>
    <w:rsid w:val="00924A6A"/>
    <w:rsid w:val="0092777D"/>
    <w:rsid w:val="00932291"/>
    <w:rsid w:val="00932861"/>
    <w:rsid w:val="009334A8"/>
    <w:rsid w:val="0093408E"/>
    <w:rsid w:val="00952DDF"/>
    <w:rsid w:val="00955BD4"/>
    <w:rsid w:val="009610A3"/>
    <w:rsid w:val="00963B6A"/>
    <w:rsid w:val="009653CD"/>
    <w:rsid w:val="0096556B"/>
    <w:rsid w:val="00970950"/>
    <w:rsid w:val="009812D4"/>
    <w:rsid w:val="009828CB"/>
    <w:rsid w:val="009920D8"/>
    <w:rsid w:val="009952F5"/>
    <w:rsid w:val="009A6DB7"/>
    <w:rsid w:val="009B1ABC"/>
    <w:rsid w:val="009B38BE"/>
    <w:rsid w:val="009B547B"/>
    <w:rsid w:val="009C3D0F"/>
    <w:rsid w:val="009D302B"/>
    <w:rsid w:val="009E1B19"/>
    <w:rsid w:val="009F35E2"/>
    <w:rsid w:val="009F65F9"/>
    <w:rsid w:val="009F68BA"/>
    <w:rsid w:val="00A06277"/>
    <w:rsid w:val="00A079DC"/>
    <w:rsid w:val="00A111C2"/>
    <w:rsid w:val="00A12E5F"/>
    <w:rsid w:val="00A13194"/>
    <w:rsid w:val="00A3035B"/>
    <w:rsid w:val="00A31CEB"/>
    <w:rsid w:val="00A338E7"/>
    <w:rsid w:val="00A35CAA"/>
    <w:rsid w:val="00A36E7F"/>
    <w:rsid w:val="00A40A04"/>
    <w:rsid w:val="00A41E65"/>
    <w:rsid w:val="00A43E0A"/>
    <w:rsid w:val="00A46D26"/>
    <w:rsid w:val="00A530C7"/>
    <w:rsid w:val="00A55F5B"/>
    <w:rsid w:val="00A57AEE"/>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171DE"/>
    <w:rsid w:val="00B21195"/>
    <w:rsid w:val="00B24B22"/>
    <w:rsid w:val="00B25310"/>
    <w:rsid w:val="00B325A6"/>
    <w:rsid w:val="00B32F8F"/>
    <w:rsid w:val="00B3492A"/>
    <w:rsid w:val="00B54DE9"/>
    <w:rsid w:val="00B553EC"/>
    <w:rsid w:val="00B55E3F"/>
    <w:rsid w:val="00B63C1E"/>
    <w:rsid w:val="00B65516"/>
    <w:rsid w:val="00B93DD0"/>
    <w:rsid w:val="00B97732"/>
    <w:rsid w:val="00BA57D2"/>
    <w:rsid w:val="00BA65A8"/>
    <w:rsid w:val="00BA6D19"/>
    <w:rsid w:val="00BA7461"/>
    <w:rsid w:val="00BA7DA9"/>
    <w:rsid w:val="00BB18A8"/>
    <w:rsid w:val="00BC4215"/>
    <w:rsid w:val="00BD1A6F"/>
    <w:rsid w:val="00BD5B40"/>
    <w:rsid w:val="00BE6D3C"/>
    <w:rsid w:val="00BE6E0E"/>
    <w:rsid w:val="00BE7852"/>
    <w:rsid w:val="00BF44AE"/>
    <w:rsid w:val="00BF7CEE"/>
    <w:rsid w:val="00C03880"/>
    <w:rsid w:val="00C135CF"/>
    <w:rsid w:val="00C1617F"/>
    <w:rsid w:val="00C23013"/>
    <w:rsid w:val="00C2683F"/>
    <w:rsid w:val="00C3184D"/>
    <w:rsid w:val="00C41BBF"/>
    <w:rsid w:val="00C4714E"/>
    <w:rsid w:val="00C51CCA"/>
    <w:rsid w:val="00C5504F"/>
    <w:rsid w:val="00C57B55"/>
    <w:rsid w:val="00C63376"/>
    <w:rsid w:val="00C74F97"/>
    <w:rsid w:val="00C76BAA"/>
    <w:rsid w:val="00C8276E"/>
    <w:rsid w:val="00C842AC"/>
    <w:rsid w:val="00C96688"/>
    <w:rsid w:val="00CA0723"/>
    <w:rsid w:val="00CA247C"/>
    <w:rsid w:val="00CB1690"/>
    <w:rsid w:val="00CB4864"/>
    <w:rsid w:val="00CB760B"/>
    <w:rsid w:val="00CB76A7"/>
    <w:rsid w:val="00CC4365"/>
    <w:rsid w:val="00CD11B0"/>
    <w:rsid w:val="00CE71C2"/>
    <w:rsid w:val="00CF34E9"/>
    <w:rsid w:val="00CF42D5"/>
    <w:rsid w:val="00CF4EDA"/>
    <w:rsid w:val="00D021CB"/>
    <w:rsid w:val="00D023C8"/>
    <w:rsid w:val="00D03D18"/>
    <w:rsid w:val="00D10F1A"/>
    <w:rsid w:val="00D116F8"/>
    <w:rsid w:val="00D13615"/>
    <w:rsid w:val="00D17596"/>
    <w:rsid w:val="00D21D54"/>
    <w:rsid w:val="00D22640"/>
    <w:rsid w:val="00D24376"/>
    <w:rsid w:val="00D26D3A"/>
    <w:rsid w:val="00D441B1"/>
    <w:rsid w:val="00D45EE3"/>
    <w:rsid w:val="00D50618"/>
    <w:rsid w:val="00D509E9"/>
    <w:rsid w:val="00D53B1C"/>
    <w:rsid w:val="00D63B38"/>
    <w:rsid w:val="00D72B41"/>
    <w:rsid w:val="00D800D0"/>
    <w:rsid w:val="00DA1B12"/>
    <w:rsid w:val="00DA1C44"/>
    <w:rsid w:val="00DA54C9"/>
    <w:rsid w:val="00DA6739"/>
    <w:rsid w:val="00DA6CAE"/>
    <w:rsid w:val="00DB1A9E"/>
    <w:rsid w:val="00DB31D6"/>
    <w:rsid w:val="00DB4005"/>
    <w:rsid w:val="00DC34EB"/>
    <w:rsid w:val="00DD5699"/>
    <w:rsid w:val="00DF1E5B"/>
    <w:rsid w:val="00DF2275"/>
    <w:rsid w:val="00DF3F5E"/>
    <w:rsid w:val="00DF5653"/>
    <w:rsid w:val="00DF6872"/>
    <w:rsid w:val="00E0596E"/>
    <w:rsid w:val="00E06F66"/>
    <w:rsid w:val="00E26303"/>
    <w:rsid w:val="00E356E5"/>
    <w:rsid w:val="00E36F81"/>
    <w:rsid w:val="00E45259"/>
    <w:rsid w:val="00E45765"/>
    <w:rsid w:val="00E5098C"/>
    <w:rsid w:val="00E60213"/>
    <w:rsid w:val="00E6236C"/>
    <w:rsid w:val="00E661B2"/>
    <w:rsid w:val="00E71511"/>
    <w:rsid w:val="00E74D29"/>
    <w:rsid w:val="00E83723"/>
    <w:rsid w:val="00E83C74"/>
    <w:rsid w:val="00E83CEE"/>
    <w:rsid w:val="00E91F18"/>
    <w:rsid w:val="00E9226D"/>
    <w:rsid w:val="00E93920"/>
    <w:rsid w:val="00E94BAE"/>
    <w:rsid w:val="00EA12ED"/>
    <w:rsid w:val="00EA416C"/>
    <w:rsid w:val="00EA5941"/>
    <w:rsid w:val="00EB60CE"/>
    <w:rsid w:val="00EB767B"/>
    <w:rsid w:val="00EB7D53"/>
    <w:rsid w:val="00EE3146"/>
    <w:rsid w:val="00EE48A8"/>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E83723"/>
    <w:rPr>
      <w:sz w:val="16"/>
      <w:szCs w:val="16"/>
    </w:rPr>
  </w:style>
  <w:style w:type="paragraph" w:styleId="CommentText">
    <w:name w:val="annotation text"/>
    <w:basedOn w:val="Normal"/>
    <w:link w:val="CommentTextChar"/>
    <w:uiPriority w:val="99"/>
    <w:unhideWhenUsed/>
    <w:rsid w:val="00E83723"/>
    <w:pPr>
      <w:spacing w:line="240" w:lineRule="auto"/>
    </w:pPr>
    <w:rPr>
      <w:sz w:val="20"/>
      <w:szCs w:val="20"/>
    </w:rPr>
  </w:style>
  <w:style w:type="character" w:customStyle="1" w:styleId="CommentTextChar">
    <w:name w:val="Comment Text Char"/>
    <w:basedOn w:val="DefaultParagraphFont"/>
    <w:link w:val="CommentText"/>
    <w:uiPriority w:val="99"/>
    <w:rsid w:val="00E83723"/>
    <w:rPr>
      <w:lang w:eastAsia="en-US"/>
    </w:rPr>
  </w:style>
  <w:style w:type="paragraph" w:styleId="CommentSubject">
    <w:name w:val="annotation subject"/>
    <w:basedOn w:val="CommentText"/>
    <w:next w:val="CommentText"/>
    <w:link w:val="CommentSubjectChar"/>
    <w:uiPriority w:val="99"/>
    <w:semiHidden/>
    <w:unhideWhenUsed/>
    <w:rsid w:val="00E83723"/>
    <w:rPr>
      <w:b/>
      <w:bCs/>
    </w:rPr>
  </w:style>
  <w:style w:type="character" w:customStyle="1" w:styleId="CommentSubjectChar">
    <w:name w:val="Comment Subject Char"/>
    <w:basedOn w:val="CommentTextChar"/>
    <w:link w:val="CommentSubject"/>
    <w:uiPriority w:val="99"/>
    <w:semiHidden/>
    <w:rsid w:val="00E83723"/>
    <w:rPr>
      <w:b/>
      <w:bCs/>
      <w:lang w:eastAsia="en-US"/>
    </w:rPr>
  </w:style>
  <w:style w:type="character" w:styleId="Hyperlink">
    <w:name w:val="Hyperlink"/>
    <w:basedOn w:val="DefaultParagraphFont"/>
    <w:uiPriority w:val="99"/>
    <w:unhideWhenUsed/>
    <w:rsid w:val="00163D98"/>
    <w:rPr>
      <w:strike w:val="0"/>
      <w:dstrike w:val="0"/>
      <w:color w:val="0062A0"/>
      <w:sz w:val="24"/>
      <w:szCs w:val="24"/>
      <w:u w:val="single"/>
      <w:effect w:val="none"/>
      <w:bdr w:val="none" w:sz="0" w:space="0" w:color="auto" w:frame="1"/>
      <w:vertAlign w:val="baseline"/>
    </w:rPr>
  </w:style>
  <w:style w:type="paragraph" w:styleId="NormalWeb">
    <w:name w:val="Normal (Web)"/>
    <w:basedOn w:val="Normal"/>
    <w:uiPriority w:val="99"/>
    <w:semiHidden/>
    <w:unhideWhenUsed/>
    <w:rsid w:val="00163D98"/>
    <w:pPr>
      <w:spacing w:after="180" w:line="240" w:lineRule="auto"/>
      <w:textAlignment w:val="baseline"/>
    </w:pPr>
    <w:rPr>
      <w:rFonts w:ascii="Times New Roman" w:eastAsia="Times New Roman" w:hAnsi="Times New Roman"/>
      <w:sz w:val="24"/>
      <w:szCs w:val="24"/>
      <w:lang w:eastAsia="en-AU"/>
    </w:rPr>
  </w:style>
  <w:style w:type="character" w:customStyle="1" w:styleId="element-invisible1">
    <w:name w:val="element-invisible1"/>
    <w:basedOn w:val="DefaultParagraphFont"/>
    <w:rsid w:val="00163D98"/>
    <w:rPr>
      <w:sz w:val="24"/>
      <w:szCs w:val="24"/>
      <w:bdr w:val="none" w:sz="0" w:space="0" w:color="auto" w:frame="1"/>
      <w:vertAlign w:val="baseline"/>
    </w:rPr>
  </w:style>
  <w:style w:type="paragraph" w:customStyle="1" w:styleId="Default">
    <w:name w:val="Default"/>
    <w:rsid w:val="00070F5C"/>
    <w:pPr>
      <w:autoSpaceDE w:val="0"/>
      <w:autoSpaceDN w:val="0"/>
      <w:adjustRightInd w:val="0"/>
    </w:pPr>
    <w:rPr>
      <w:rFonts w:ascii="Myriad Pro" w:hAnsi="Myriad Pro" w:cs="Myriad Pro"/>
      <w:color w:val="000000"/>
      <w:sz w:val="24"/>
      <w:szCs w:val="24"/>
    </w:rPr>
  </w:style>
  <w:style w:type="paragraph" w:customStyle="1" w:styleId="Pa20">
    <w:name w:val="Pa20"/>
    <w:basedOn w:val="Default"/>
    <w:next w:val="Default"/>
    <w:uiPriority w:val="99"/>
    <w:rsid w:val="00070F5C"/>
    <w:pPr>
      <w:spacing w:line="281" w:lineRule="atLeast"/>
    </w:pPr>
    <w:rPr>
      <w:rFonts w:cs="Times New Roman"/>
      <w:color w:val="auto"/>
    </w:rPr>
  </w:style>
  <w:style w:type="paragraph" w:styleId="Revision">
    <w:name w:val="Revision"/>
    <w:hidden/>
    <w:uiPriority w:val="99"/>
    <w:semiHidden/>
    <w:rsid w:val="002E21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10596">
      <w:bodyDiv w:val="1"/>
      <w:marLeft w:val="0"/>
      <w:marRight w:val="0"/>
      <w:marTop w:val="0"/>
      <w:marBottom w:val="0"/>
      <w:divBdr>
        <w:top w:val="none" w:sz="0" w:space="0" w:color="auto"/>
        <w:left w:val="none" w:sz="0" w:space="0" w:color="auto"/>
        <w:bottom w:val="none" w:sz="0" w:space="0" w:color="auto"/>
        <w:right w:val="none" w:sz="0" w:space="0" w:color="auto"/>
      </w:divBdr>
    </w:div>
    <w:div w:id="2115778985">
      <w:bodyDiv w:val="1"/>
      <w:marLeft w:val="0"/>
      <w:marRight w:val="0"/>
      <w:marTop w:val="0"/>
      <w:marBottom w:val="0"/>
      <w:divBdr>
        <w:top w:val="none" w:sz="0" w:space="0" w:color="auto"/>
        <w:left w:val="none" w:sz="0" w:space="0" w:color="auto"/>
        <w:bottom w:val="none" w:sz="0" w:space="0" w:color="auto"/>
        <w:right w:val="none" w:sz="0" w:space="0" w:color="auto"/>
      </w:divBdr>
      <w:divsChild>
        <w:div w:id="10572245">
          <w:marLeft w:val="0"/>
          <w:marRight w:val="0"/>
          <w:marTop w:val="0"/>
          <w:marBottom w:val="0"/>
          <w:divBdr>
            <w:top w:val="none" w:sz="0" w:space="0" w:color="auto"/>
            <w:left w:val="none" w:sz="0" w:space="0" w:color="auto"/>
            <w:bottom w:val="none" w:sz="0" w:space="0" w:color="auto"/>
            <w:right w:val="none" w:sz="0" w:space="0" w:color="auto"/>
          </w:divBdr>
          <w:divsChild>
            <w:div w:id="1962759738">
              <w:marLeft w:val="0"/>
              <w:marRight w:val="0"/>
              <w:marTop w:val="0"/>
              <w:marBottom w:val="0"/>
              <w:divBdr>
                <w:top w:val="none" w:sz="0" w:space="0" w:color="auto"/>
                <w:left w:val="none" w:sz="0" w:space="0" w:color="auto"/>
                <w:bottom w:val="none" w:sz="0" w:space="0" w:color="auto"/>
                <w:right w:val="none" w:sz="0" w:space="0" w:color="auto"/>
              </w:divBdr>
              <w:divsChild>
                <w:div w:id="863782603">
                  <w:marLeft w:val="0"/>
                  <w:marRight w:val="0"/>
                  <w:marTop w:val="0"/>
                  <w:marBottom w:val="0"/>
                  <w:divBdr>
                    <w:top w:val="none" w:sz="0" w:space="0" w:color="auto"/>
                    <w:left w:val="none" w:sz="0" w:space="0" w:color="auto"/>
                    <w:bottom w:val="none" w:sz="0" w:space="0" w:color="auto"/>
                    <w:right w:val="none" w:sz="0" w:space="0" w:color="auto"/>
                  </w:divBdr>
                  <w:divsChild>
                    <w:div w:id="1793741094">
                      <w:marLeft w:val="150"/>
                      <w:marRight w:val="150"/>
                      <w:marTop w:val="0"/>
                      <w:marBottom w:val="0"/>
                      <w:divBdr>
                        <w:top w:val="none" w:sz="0" w:space="0" w:color="auto"/>
                        <w:left w:val="none" w:sz="0" w:space="0" w:color="auto"/>
                        <w:bottom w:val="none" w:sz="0" w:space="0" w:color="auto"/>
                        <w:right w:val="none" w:sz="0" w:space="0" w:color="auto"/>
                      </w:divBdr>
                      <w:divsChild>
                        <w:div w:id="434063618">
                          <w:marLeft w:val="0"/>
                          <w:marRight w:val="0"/>
                          <w:marTop w:val="0"/>
                          <w:marBottom w:val="0"/>
                          <w:divBdr>
                            <w:top w:val="none" w:sz="0" w:space="0" w:color="auto"/>
                            <w:left w:val="none" w:sz="0" w:space="0" w:color="auto"/>
                            <w:bottom w:val="none" w:sz="0" w:space="0" w:color="auto"/>
                            <w:right w:val="none" w:sz="0" w:space="0" w:color="auto"/>
                          </w:divBdr>
                          <w:divsChild>
                            <w:div w:id="295645441">
                              <w:marLeft w:val="0"/>
                              <w:marRight w:val="0"/>
                              <w:marTop w:val="0"/>
                              <w:marBottom w:val="240"/>
                              <w:divBdr>
                                <w:top w:val="none" w:sz="0" w:space="0" w:color="auto"/>
                                <w:left w:val="none" w:sz="0" w:space="0" w:color="auto"/>
                                <w:bottom w:val="none" w:sz="0" w:space="0" w:color="auto"/>
                                <w:right w:val="none" w:sz="0" w:space="0" w:color="auto"/>
                              </w:divBdr>
                              <w:divsChild>
                                <w:div w:id="1275090180">
                                  <w:marLeft w:val="0"/>
                                  <w:marRight w:val="0"/>
                                  <w:marTop w:val="0"/>
                                  <w:marBottom w:val="0"/>
                                  <w:divBdr>
                                    <w:top w:val="none" w:sz="0" w:space="0" w:color="auto"/>
                                    <w:left w:val="none" w:sz="0" w:space="0" w:color="auto"/>
                                    <w:bottom w:val="none" w:sz="0" w:space="0" w:color="auto"/>
                                    <w:right w:val="none" w:sz="0" w:space="0" w:color="auto"/>
                                  </w:divBdr>
                                  <w:divsChild>
                                    <w:div w:id="1175337646">
                                      <w:marLeft w:val="0"/>
                                      <w:marRight w:val="0"/>
                                      <w:marTop w:val="0"/>
                                      <w:marBottom w:val="0"/>
                                      <w:divBdr>
                                        <w:top w:val="none" w:sz="0" w:space="0" w:color="auto"/>
                                        <w:left w:val="none" w:sz="0" w:space="0" w:color="auto"/>
                                        <w:bottom w:val="none" w:sz="0" w:space="0" w:color="auto"/>
                                        <w:right w:val="none" w:sz="0" w:space="0" w:color="auto"/>
                                      </w:divBdr>
                                      <w:divsChild>
                                        <w:div w:id="1923024968">
                                          <w:marLeft w:val="0"/>
                                          <w:marRight w:val="0"/>
                                          <w:marTop w:val="0"/>
                                          <w:marBottom w:val="0"/>
                                          <w:divBdr>
                                            <w:top w:val="none" w:sz="0" w:space="0" w:color="auto"/>
                                            <w:left w:val="none" w:sz="0" w:space="0" w:color="auto"/>
                                            <w:bottom w:val="none" w:sz="0" w:space="0" w:color="auto"/>
                                            <w:right w:val="none" w:sz="0" w:space="0" w:color="auto"/>
                                          </w:divBdr>
                                          <w:divsChild>
                                            <w:div w:id="1921480732">
                                              <w:marLeft w:val="0"/>
                                              <w:marRight w:val="0"/>
                                              <w:marTop w:val="0"/>
                                              <w:marBottom w:val="0"/>
                                              <w:divBdr>
                                                <w:top w:val="none" w:sz="0" w:space="0" w:color="auto"/>
                                                <w:left w:val="none" w:sz="0" w:space="0" w:color="auto"/>
                                                <w:bottom w:val="none" w:sz="0" w:space="0" w:color="auto"/>
                                                <w:right w:val="none" w:sz="0" w:space="0" w:color="auto"/>
                                              </w:divBdr>
                                              <w:divsChild>
                                                <w:div w:id="1058557530">
                                                  <w:marLeft w:val="0"/>
                                                  <w:marRight w:val="0"/>
                                                  <w:marTop w:val="0"/>
                                                  <w:marBottom w:val="0"/>
                                                  <w:divBdr>
                                                    <w:top w:val="none" w:sz="0" w:space="0" w:color="auto"/>
                                                    <w:left w:val="none" w:sz="0" w:space="0" w:color="auto"/>
                                                    <w:bottom w:val="none" w:sz="0" w:space="0" w:color="auto"/>
                                                    <w:right w:val="none" w:sz="0" w:space="0" w:color="auto"/>
                                                  </w:divBdr>
                                                  <w:divsChild>
                                                    <w:div w:id="13754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ystem/files/resources/0b0cfb1e-6e28-4b23-9a97-fdadda0f111c/files/environment-assessment-manual.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linfo.aph.gov.au/parlInfo/search/display/display.w3p;query=Id%3A%22publications%2Ftabledpapers%2F68985%2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mc.gov.au/sites/default/files/files/COAG_Investigation_into_Indigenous_Land_Administration_and_Us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vironment.gov.au/epbc/publications/outcomes-based-conditions-policy-guid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BF51145E.dotm</Template>
  <TotalTime>0</TotalTime>
  <Pages>7</Pages>
  <Words>1751</Words>
  <Characters>9983</Characters>
  <Application>Microsoft Office Word</Application>
  <DocSecurity>4</DocSecurity>
  <Lines>83</Lines>
  <Paragraphs>23</Paragraphs>
  <ScaleCrop>false</ScaleCrop>
  <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Select Committee on Red Tape Interim Report: Effects of red tape on environmental assessment and approvals</dc:title>
  <dc:subject/>
  <dc:creator/>
  <cp:keywords/>
  <dc:description/>
  <cp:lastModifiedBy/>
  <cp:revision>1</cp:revision>
  <dcterms:created xsi:type="dcterms:W3CDTF">2018-07-13T05:05:00Z</dcterms:created>
  <dcterms:modified xsi:type="dcterms:W3CDTF">2018-07-13T05:05:00Z</dcterms:modified>
</cp:coreProperties>
</file>