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50540" w14:textId="77777777" w:rsidR="00290C9D" w:rsidRDefault="00290C9D" w:rsidP="00290C9D">
      <w:pPr>
        <w:pStyle w:val="ReportTitle"/>
        <w:ind w:left="-851" w:right="-569"/>
        <w:jc w:val="center"/>
        <w:rPr>
          <w:i/>
        </w:rPr>
      </w:pPr>
      <w:bookmarkStart w:id="0" w:name="_GoBack"/>
      <w:bookmarkEnd w:id="0"/>
    </w:p>
    <w:p w14:paraId="5B450541" w14:textId="77777777" w:rsidR="00290C9D" w:rsidRDefault="0048357C" w:rsidP="00290C9D">
      <w:pPr>
        <w:pStyle w:val="ReportTitle"/>
        <w:ind w:left="-851" w:right="-569"/>
        <w:jc w:val="center"/>
        <w:rPr>
          <w:i/>
        </w:rPr>
      </w:pPr>
      <w:r w:rsidRPr="0048357C">
        <w:t xml:space="preserve">Australian </w:t>
      </w:r>
      <w:r w:rsidR="002A7BB4" w:rsidRPr="0048357C">
        <w:t>Government Response to the Third Independent Review of the</w:t>
      </w:r>
      <w:r w:rsidR="002A7BB4">
        <w:rPr>
          <w:i/>
        </w:rPr>
        <w:t xml:space="preserve"> </w:t>
      </w:r>
    </w:p>
    <w:p w14:paraId="5B450542" w14:textId="77777777" w:rsidR="002A7BB4" w:rsidRDefault="002A7BB4" w:rsidP="00290C9D">
      <w:pPr>
        <w:pStyle w:val="ReportTitle"/>
        <w:ind w:left="-426" w:right="-569"/>
        <w:jc w:val="center"/>
      </w:pPr>
      <w:r w:rsidRPr="00A7270F">
        <w:rPr>
          <w:i/>
        </w:rPr>
        <w:t>Product Stewardship (Oil) Act 2000</w:t>
      </w:r>
      <w:r>
        <w:t xml:space="preserve"> </w:t>
      </w:r>
    </w:p>
    <w:p w14:paraId="5B450543" w14:textId="77777777" w:rsidR="002A7BB4" w:rsidRDefault="002A7BB4" w:rsidP="00BA7A84">
      <w:pPr>
        <w:pStyle w:val="ReportTitle"/>
        <w:ind w:left="1361" w:right="-285"/>
      </w:pPr>
    </w:p>
    <w:p w14:paraId="5B450544" w14:textId="77777777" w:rsidR="002A7BB4" w:rsidRPr="00290C9D" w:rsidRDefault="00E97C61" w:rsidP="00290C9D">
      <w:pPr>
        <w:pStyle w:val="Reportsubtitle"/>
        <w:ind w:left="1361" w:right="1415"/>
        <w:jc w:val="center"/>
        <w:rPr>
          <w:b/>
        </w:rPr>
      </w:pPr>
      <w:r>
        <w:rPr>
          <w:b/>
        </w:rPr>
        <w:t>November</w:t>
      </w:r>
      <w:r w:rsidR="0010248F" w:rsidRPr="00290C9D">
        <w:rPr>
          <w:b/>
        </w:rPr>
        <w:t xml:space="preserve"> </w:t>
      </w:r>
      <w:r w:rsidR="00506259" w:rsidRPr="00290C9D">
        <w:rPr>
          <w:b/>
        </w:rPr>
        <w:t>2016</w:t>
      </w:r>
    </w:p>
    <w:p w14:paraId="5B450545" w14:textId="77777777" w:rsidR="002A7BB4" w:rsidRPr="007A252C" w:rsidRDefault="002A7BB4" w:rsidP="00BA7A84">
      <w:pPr>
        <w:ind w:right="-285"/>
      </w:pPr>
    </w:p>
    <w:p w14:paraId="5B450546" w14:textId="77777777" w:rsidR="002A7BB4" w:rsidRDefault="002A7BB4" w:rsidP="00BA7A84">
      <w:pPr>
        <w:ind w:right="-285"/>
        <w:sectPr w:rsidR="002A7BB4" w:rsidSect="00C3002F">
          <w:headerReference w:type="even" r:id="rId8"/>
          <w:headerReference w:type="default" r:id="rId9"/>
          <w:footerReference w:type="even" r:id="rId10"/>
          <w:footerReference w:type="default" r:id="rId11"/>
          <w:headerReference w:type="first" r:id="rId12"/>
          <w:footerReference w:type="first" r:id="rId13"/>
          <w:pgSz w:w="11906" w:h="16838" w:code="9"/>
          <w:pgMar w:top="3403" w:right="1276" w:bottom="567" w:left="1418" w:header="425" w:footer="425" w:gutter="0"/>
          <w:pgNumType w:start="1"/>
          <w:cols w:space="708"/>
          <w:titlePg/>
          <w:docGrid w:linePitch="360"/>
        </w:sectPr>
      </w:pPr>
    </w:p>
    <w:sdt>
      <w:sdtPr>
        <w:rPr>
          <w:rFonts w:ascii="Arial" w:eastAsia="Calibri" w:hAnsi="Arial" w:cs="Times New Roman"/>
          <w:b w:val="0"/>
          <w:bCs w:val="0"/>
          <w:caps/>
          <w:color w:val="auto"/>
          <w:kern w:val="28"/>
          <w:sz w:val="22"/>
          <w:szCs w:val="22"/>
          <w:lang w:val="en-AU" w:eastAsia="en-US"/>
        </w:rPr>
        <w:id w:val="9750151"/>
        <w:docPartObj>
          <w:docPartGallery w:val="Table of Contents"/>
          <w:docPartUnique/>
        </w:docPartObj>
      </w:sdtPr>
      <w:sdtEndPr>
        <w:rPr>
          <w:rFonts w:ascii="Times New Roman" w:eastAsia="Times New Roman" w:hAnsi="Times New Roman"/>
          <w:b/>
          <w:caps w:val="0"/>
          <w:sz w:val="24"/>
          <w:szCs w:val="20"/>
          <w:lang w:eastAsia="en-AU"/>
        </w:rPr>
      </w:sdtEndPr>
      <w:sdtContent>
        <w:p w14:paraId="5B450547" w14:textId="77777777" w:rsidR="007E4FF7" w:rsidRDefault="007E4FF7" w:rsidP="00BA7A84">
          <w:pPr>
            <w:pStyle w:val="TOCHeading"/>
            <w:spacing w:before="0"/>
            <w:ind w:right="-285"/>
            <w:rPr>
              <w:rFonts w:ascii="Arial" w:eastAsia="Calibri" w:hAnsi="Arial" w:cs="Times New Roman"/>
              <w:b w:val="0"/>
              <w:bCs w:val="0"/>
              <w:caps/>
              <w:color w:val="auto"/>
              <w:sz w:val="22"/>
              <w:szCs w:val="22"/>
              <w:lang w:val="en-AU" w:eastAsia="en-US"/>
            </w:rPr>
          </w:pPr>
        </w:p>
        <w:p w14:paraId="5B450548" w14:textId="77777777" w:rsidR="007E4FF7" w:rsidRDefault="007E4FF7" w:rsidP="00BA7A84">
          <w:pPr>
            <w:pStyle w:val="TOCHeading"/>
            <w:spacing w:before="0"/>
            <w:ind w:right="-285"/>
            <w:rPr>
              <w:rFonts w:ascii="Arial" w:eastAsia="Calibri" w:hAnsi="Arial" w:cs="Times New Roman"/>
              <w:b w:val="0"/>
              <w:bCs w:val="0"/>
              <w:caps/>
              <w:color w:val="auto"/>
              <w:sz w:val="22"/>
              <w:szCs w:val="22"/>
              <w:lang w:val="en-AU" w:eastAsia="en-US"/>
            </w:rPr>
          </w:pPr>
        </w:p>
        <w:p w14:paraId="5B450549" w14:textId="77777777" w:rsidR="002A7BB4" w:rsidRDefault="002A7BB4" w:rsidP="00BA7A84">
          <w:pPr>
            <w:pStyle w:val="TOCHeading"/>
            <w:spacing w:before="0"/>
            <w:ind w:right="-285"/>
          </w:pPr>
          <w:r w:rsidRPr="005525F2">
            <w:t>Contents</w:t>
          </w:r>
        </w:p>
        <w:p w14:paraId="5B45054A" w14:textId="77777777" w:rsidR="00076D59" w:rsidRDefault="009B1EA2">
          <w:pPr>
            <w:pStyle w:val="TOC1"/>
            <w:tabs>
              <w:tab w:val="right" w:leader="dot" w:pos="9486"/>
            </w:tabs>
            <w:rPr>
              <w:rFonts w:asciiTheme="minorHAnsi" w:eastAsiaTheme="minorEastAsia" w:hAnsiTheme="minorHAnsi" w:cstheme="minorBidi"/>
              <w:b w:val="0"/>
              <w:noProof/>
              <w:lang w:eastAsia="en-AU"/>
            </w:rPr>
          </w:pPr>
          <w:r w:rsidRPr="0004579E">
            <w:rPr>
              <w:rFonts w:cs="Arial"/>
            </w:rPr>
            <w:fldChar w:fldCharType="begin"/>
          </w:r>
          <w:r w:rsidR="002A7BB4" w:rsidRPr="0004579E">
            <w:rPr>
              <w:rFonts w:cs="Arial"/>
            </w:rPr>
            <w:instrText xml:space="preserve"> TOC \o "1-3" \h \z \u </w:instrText>
          </w:r>
          <w:r w:rsidRPr="0004579E">
            <w:rPr>
              <w:rFonts w:cs="Arial"/>
            </w:rPr>
            <w:fldChar w:fldCharType="separate"/>
          </w:r>
          <w:hyperlink w:anchor="_Toc461003989" w:history="1">
            <w:r w:rsidR="00076D59" w:rsidRPr="001F1305">
              <w:rPr>
                <w:rStyle w:val="Hyperlink"/>
                <w:noProof/>
              </w:rPr>
              <w:t>Preface</w:t>
            </w:r>
            <w:r w:rsidR="00076D59">
              <w:rPr>
                <w:noProof/>
                <w:webHidden/>
              </w:rPr>
              <w:tab/>
            </w:r>
            <w:r>
              <w:rPr>
                <w:noProof/>
                <w:webHidden/>
              </w:rPr>
              <w:fldChar w:fldCharType="begin"/>
            </w:r>
            <w:r w:rsidR="00076D59">
              <w:rPr>
                <w:noProof/>
                <w:webHidden/>
              </w:rPr>
              <w:instrText xml:space="preserve"> PAGEREF _Toc461003989 \h </w:instrText>
            </w:r>
            <w:r>
              <w:rPr>
                <w:noProof/>
                <w:webHidden/>
              </w:rPr>
            </w:r>
            <w:r>
              <w:rPr>
                <w:noProof/>
                <w:webHidden/>
              </w:rPr>
              <w:fldChar w:fldCharType="separate"/>
            </w:r>
            <w:r w:rsidR="005B4740">
              <w:rPr>
                <w:noProof/>
                <w:webHidden/>
              </w:rPr>
              <w:t>2</w:t>
            </w:r>
            <w:r>
              <w:rPr>
                <w:noProof/>
                <w:webHidden/>
              </w:rPr>
              <w:fldChar w:fldCharType="end"/>
            </w:r>
          </w:hyperlink>
        </w:p>
        <w:p w14:paraId="5B45054B" w14:textId="77777777" w:rsidR="00076D59" w:rsidRDefault="00F001FF">
          <w:pPr>
            <w:pStyle w:val="TOC1"/>
            <w:tabs>
              <w:tab w:val="left" w:pos="440"/>
              <w:tab w:val="right" w:leader="dot" w:pos="9486"/>
            </w:tabs>
            <w:rPr>
              <w:rFonts w:asciiTheme="minorHAnsi" w:eastAsiaTheme="minorEastAsia" w:hAnsiTheme="minorHAnsi" w:cstheme="minorBidi"/>
              <w:b w:val="0"/>
              <w:noProof/>
              <w:lang w:eastAsia="en-AU"/>
            </w:rPr>
          </w:pPr>
          <w:hyperlink w:anchor="_Toc461003990" w:history="1">
            <w:r w:rsidR="00076D59" w:rsidRPr="001F1305">
              <w:rPr>
                <w:rStyle w:val="Hyperlink"/>
                <w:noProof/>
              </w:rPr>
              <w:t>1.</w:t>
            </w:r>
            <w:r w:rsidR="00076D59">
              <w:rPr>
                <w:rFonts w:asciiTheme="minorHAnsi" w:eastAsiaTheme="minorEastAsia" w:hAnsiTheme="minorHAnsi" w:cstheme="minorBidi"/>
                <w:b w:val="0"/>
                <w:noProof/>
                <w:lang w:eastAsia="en-AU"/>
              </w:rPr>
              <w:tab/>
            </w:r>
            <w:r w:rsidR="00076D59" w:rsidRPr="001F1305">
              <w:rPr>
                <w:rStyle w:val="Hyperlink"/>
                <w:noProof/>
              </w:rPr>
              <w:t>Introduction</w:t>
            </w:r>
            <w:r w:rsidR="00076D59">
              <w:rPr>
                <w:noProof/>
                <w:webHidden/>
              </w:rPr>
              <w:tab/>
            </w:r>
            <w:r w:rsidR="009B1EA2">
              <w:rPr>
                <w:noProof/>
                <w:webHidden/>
              </w:rPr>
              <w:fldChar w:fldCharType="begin"/>
            </w:r>
            <w:r w:rsidR="00076D59">
              <w:rPr>
                <w:noProof/>
                <w:webHidden/>
              </w:rPr>
              <w:instrText xml:space="preserve"> PAGEREF _Toc461003990 \h </w:instrText>
            </w:r>
            <w:r w:rsidR="009B1EA2">
              <w:rPr>
                <w:noProof/>
                <w:webHidden/>
              </w:rPr>
            </w:r>
            <w:r w:rsidR="009B1EA2">
              <w:rPr>
                <w:noProof/>
                <w:webHidden/>
              </w:rPr>
              <w:fldChar w:fldCharType="separate"/>
            </w:r>
            <w:r w:rsidR="005B4740">
              <w:rPr>
                <w:noProof/>
                <w:webHidden/>
              </w:rPr>
              <w:t>3</w:t>
            </w:r>
            <w:r w:rsidR="009B1EA2">
              <w:rPr>
                <w:noProof/>
                <w:webHidden/>
              </w:rPr>
              <w:fldChar w:fldCharType="end"/>
            </w:r>
          </w:hyperlink>
        </w:p>
        <w:p w14:paraId="5B45054C" w14:textId="77777777" w:rsidR="00076D59" w:rsidRDefault="00F001FF">
          <w:pPr>
            <w:pStyle w:val="TOC1"/>
            <w:tabs>
              <w:tab w:val="left" w:pos="440"/>
              <w:tab w:val="right" w:leader="dot" w:pos="9486"/>
            </w:tabs>
            <w:rPr>
              <w:rFonts w:asciiTheme="minorHAnsi" w:eastAsiaTheme="minorEastAsia" w:hAnsiTheme="minorHAnsi" w:cstheme="minorBidi"/>
              <w:b w:val="0"/>
              <w:noProof/>
              <w:lang w:eastAsia="en-AU"/>
            </w:rPr>
          </w:pPr>
          <w:hyperlink w:anchor="_Toc461003991" w:history="1">
            <w:r w:rsidR="00076D59" w:rsidRPr="001F1305">
              <w:rPr>
                <w:rStyle w:val="Hyperlink"/>
                <w:noProof/>
              </w:rPr>
              <w:t>2.</w:t>
            </w:r>
            <w:r w:rsidR="00076D59">
              <w:rPr>
                <w:rFonts w:asciiTheme="minorHAnsi" w:eastAsiaTheme="minorEastAsia" w:hAnsiTheme="minorHAnsi" w:cstheme="minorBidi"/>
                <w:b w:val="0"/>
                <w:noProof/>
                <w:lang w:eastAsia="en-AU"/>
              </w:rPr>
              <w:tab/>
            </w:r>
            <w:r w:rsidR="00076D59" w:rsidRPr="001F1305">
              <w:rPr>
                <w:rStyle w:val="Hyperlink"/>
                <w:noProof/>
              </w:rPr>
              <w:t>Responses to recommendations</w:t>
            </w:r>
            <w:r w:rsidR="00076D59">
              <w:rPr>
                <w:noProof/>
                <w:webHidden/>
              </w:rPr>
              <w:tab/>
            </w:r>
            <w:r w:rsidR="009B1EA2">
              <w:rPr>
                <w:noProof/>
                <w:webHidden/>
              </w:rPr>
              <w:fldChar w:fldCharType="begin"/>
            </w:r>
            <w:r w:rsidR="00076D59">
              <w:rPr>
                <w:noProof/>
                <w:webHidden/>
              </w:rPr>
              <w:instrText xml:space="preserve"> PAGEREF _Toc461003991 \h </w:instrText>
            </w:r>
            <w:r w:rsidR="009B1EA2">
              <w:rPr>
                <w:noProof/>
                <w:webHidden/>
              </w:rPr>
            </w:r>
            <w:r w:rsidR="009B1EA2">
              <w:rPr>
                <w:noProof/>
                <w:webHidden/>
              </w:rPr>
              <w:fldChar w:fldCharType="separate"/>
            </w:r>
            <w:r w:rsidR="005B4740">
              <w:rPr>
                <w:noProof/>
                <w:webHidden/>
              </w:rPr>
              <w:t>4</w:t>
            </w:r>
            <w:r w:rsidR="009B1EA2">
              <w:rPr>
                <w:noProof/>
                <w:webHidden/>
              </w:rPr>
              <w:fldChar w:fldCharType="end"/>
            </w:r>
          </w:hyperlink>
        </w:p>
        <w:p w14:paraId="5B45054D" w14:textId="77777777" w:rsidR="00076D59" w:rsidRDefault="00F001FF">
          <w:pPr>
            <w:pStyle w:val="TOC2"/>
            <w:tabs>
              <w:tab w:val="left" w:pos="880"/>
              <w:tab w:val="right" w:leader="dot" w:pos="9486"/>
            </w:tabs>
            <w:rPr>
              <w:rFonts w:asciiTheme="minorHAnsi" w:eastAsiaTheme="minorEastAsia" w:hAnsiTheme="minorHAnsi" w:cstheme="minorBidi"/>
              <w:noProof/>
              <w:lang w:eastAsia="en-AU"/>
            </w:rPr>
          </w:pPr>
          <w:hyperlink w:anchor="_Toc461003992" w:history="1">
            <w:r w:rsidR="00076D59" w:rsidRPr="001F1305">
              <w:rPr>
                <w:rStyle w:val="Hyperlink"/>
                <w:noProof/>
              </w:rPr>
              <w:t>2.1</w:t>
            </w:r>
            <w:r w:rsidR="00076D59">
              <w:rPr>
                <w:rFonts w:asciiTheme="minorHAnsi" w:eastAsiaTheme="minorEastAsia" w:hAnsiTheme="minorHAnsi" w:cstheme="minorBidi"/>
                <w:noProof/>
                <w:lang w:eastAsia="en-AU"/>
              </w:rPr>
              <w:tab/>
            </w:r>
            <w:r w:rsidR="00076D59" w:rsidRPr="001F1305">
              <w:rPr>
                <w:rStyle w:val="Hyperlink"/>
                <w:noProof/>
              </w:rPr>
              <w:t>Defining success and redefining objectives</w:t>
            </w:r>
            <w:r w:rsidR="00076D59">
              <w:rPr>
                <w:noProof/>
                <w:webHidden/>
              </w:rPr>
              <w:tab/>
            </w:r>
            <w:r w:rsidR="009B1EA2">
              <w:rPr>
                <w:noProof/>
                <w:webHidden/>
              </w:rPr>
              <w:fldChar w:fldCharType="begin"/>
            </w:r>
            <w:r w:rsidR="00076D59">
              <w:rPr>
                <w:noProof/>
                <w:webHidden/>
              </w:rPr>
              <w:instrText xml:space="preserve"> PAGEREF _Toc461003992 \h </w:instrText>
            </w:r>
            <w:r w:rsidR="009B1EA2">
              <w:rPr>
                <w:noProof/>
                <w:webHidden/>
              </w:rPr>
            </w:r>
            <w:r w:rsidR="009B1EA2">
              <w:rPr>
                <w:noProof/>
                <w:webHidden/>
              </w:rPr>
              <w:fldChar w:fldCharType="separate"/>
            </w:r>
            <w:r w:rsidR="005B4740">
              <w:rPr>
                <w:noProof/>
                <w:webHidden/>
              </w:rPr>
              <w:t>4</w:t>
            </w:r>
            <w:r w:rsidR="009B1EA2">
              <w:rPr>
                <w:noProof/>
                <w:webHidden/>
              </w:rPr>
              <w:fldChar w:fldCharType="end"/>
            </w:r>
          </w:hyperlink>
        </w:p>
        <w:p w14:paraId="5B45054E" w14:textId="77777777" w:rsidR="00076D59" w:rsidRDefault="00F001FF">
          <w:pPr>
            <w:pStyle w:val="TOC2"/>
            <w:tabs>
              <w:tab w:val="left" w:pos="880"/>
              <w:tab w:val="right" w:leader="dot" w:pos="9486"/>
            </w:tabs>
            <w:rPr>
              <w:rFonts w:asciiTheme="minorHAnsi" w:eastAsiaTheme="minorEastAsia" w:hAnsiTheme="minorHAnsi" w:cstheme="minorBidi"/>
              <w:noProof/>
              <w:lang w:eastAsia="en-AU"/>
            </w:rPr>
          </w:pPr>
          <w:hyperlink w:anchor="_Toc461003993" w:history="1">
            <w:r w:rsidR="00076D59" w:rsidRPr="001F1305">
              <w:rPr>
                <w:rStyle w:val="Hyperlink"/>
                <w:noProof/>
              </w:rPr>
              <w:t>2.2</w:t>
            </w:r>
            <w:r w:rsidR="00076D59">
              <w:rPr>
                <w:rFonts w:asciiTheme="minorHAnsi" w:eastAsiaTheme="minorEastAsia" w:hAnsiTheme="minorHAnsi" w:cstheme="minorBidi"/>
                <w:noProof/>
                <w:lang w:eastAsia="en-AU"/>
              </w:rPr>
              <w:tab/>
            </w:r>
            <w:r w:rsidR="00076D59" w:rsidRPr="001F1305">
              <w:rPr>
                <w:rStyle w:val="Hyperlink"/>
                <w:noProof/>
              </w:rPr>
              <w:t>Levy and benefit modifications</w:t>
            </w:r>
            <w:r w:rsidR="00076D59">
              <w:rPr>
                <w:noProof/>
                <w:webHidden/>
              </w:rPr>
              <w:tab/>
            </w:r>
            <w:r w:rsidR="009B1EA2">
              <w:rPr>
                <w:noProof/>
                <w:webHidden/>
              </w:rPr>
              <w:fldChar w:fldCharType="begin"/>
            </w:r>
            <w:r w:rsidR="00076D59">
              <w:rPr>
                <w:noProof/>
                <w:webHidden/>
              </w:rPr>
              <w:instrText xml:space="preserve"> PAGEREF _Toc461003993 \h </w:instrText>
            </w:r>
            <w:r w:rsidR="009B1EA2">
              <w:rPr>
                <w:noProof/>
                <w:webHidden/>
              </w:rPr>
            </w:r>
            <w:r w:rsidR="009B1EA2">
              <w:rPr>
                <w:noProof/>
                <w:webHidden/>
              </w:rPr>
              <w:fldChar w:fldCharType="separate"/>
            </w:r>
            <w:r w:rsidR="005B4740">
              <w:rPr>
                <w:noProof/>
                <w:webHidden/>
              </w:rPr>
              <w:t>4</w:t>
            </w:r>
            <w:r w:rsidR="009B1EA2">
              <w:rPr>
                <w:noProof/>
                <w:webHidden/>
              </w:rPr>
              <w:fldChar w:fldCharType="end"/>
            </w:r>
          </w:hyperlink>
        </w:p>
        <w:p w14:paraId="5B45054F" w14:textId="77777777" w:rsidR="00076D59" w:rsidRDefault="00F001FF">
          <w:pPr>
            <w:pStyle w:val="TOC2"/>
            <w:tabs>
              <w:tab w:val="left" w:pos="880"/>
              <w:tab w:val="right" w:leader="dot" w:pos="9486"/>
            </w:tabs>
            <w:rPr>
              <w:rFonts w:asciiTheme="minorHAnsi" w:eastAsiaTheme="minorEastAsia" w:hAnsiTheme="minorHAnsi" w:cstheme="minorBidi"/>
              <w:noProof/>
              <w:lang w:eastAsia="en-AU"/>
            </w:rPr>
          </w:pPr>
          <w:hyperlink w:anchor="_Toc461003994" w:history="1">
            <w:r w:rsidR="00076D59" w:rsidRPr="001F1305">
              <w:rPr>
                <w:rStyle w:val="Hyperlink"/>
                <w:noProof/>
              </w:rPr>
              <w:t>2.3</w:t>
            </w:r>
            <w:r w:rsidR="00076D59">
              <w:rPr>
                <w:rFonts w:asciiTheme="minorHAnsi" w:eastAsiaTheme="minorEastAsia" w:hAnsiTheme="minorHAnsi" w:cstheme="minorBidi"/>
                <w:noProof/>
                <w:lang w:eastAsia="en-AU"/>
              </w:rPr>
              <w:tab/>
            </w:r>
            <w:r w:rsidR="00076D59" w:rsidRPr="001F1305">
              <w:rPr>
                <w:rStyle w:val="Hyperlink"/>
                <w:noProof/>
              </w:rPr>
              <w:t>Definitions and compliance</w:t>
            </w:r>
            <w:r w:rsidR="00076D59">
              <w:rPr>
                <w:noProof/>
                <w:webHidden/>
              </w:rPr>
              <w:tab/>
            </w:r>
            <w:r w:rsidR="009B1EA2">
              <w:rPr>
                <w:noProof/>
                <w:webHidden/>
              </w:rPr>
              <w:fldChar w:fldCharType="begin"/>
            </w:r>
            <w:r w:rsidR="00076D59">
              <w:rPr>
                <w:noProof/>
                <w:webHidden/>
              </w:rPr>
              <w:instrText xml:space="preserve"> PAGEREF _Toc461003994 \h </w:instrText>
            </w:r>
            <w:r w:rsidR="009B1EA2">
              <w:rPr>
                <w:noProof/>
                <w:webHidden/>
              </w:rPr>
            </w:r>
            <w:r w:rsidR="009B1EA2">
              <w:rPr>
                <w:noProof/>
                <w:webHidden/>
              </w:rPr>
              <w:fldChar w:fldCharType="separate"/>
            </w:r>
            <w:r w:rsidR="005B4740">
              <w:rPr>
                <w:noProof/>
                <w:webHidden/>
              </w:rPr>
              <w:t>5</w:t>
            </w:r>
            <w:r w:rsidR="009B1EA2">
              <w:rPr>
                <w:noProof/>
                <w:webHidden/>
              </w:rPr>
              <w:fldChar w:fldCharType="end"/>
            </w:r>
          </w:hyperlink>
        </w:p>
        <w:p w14:paraId="5B450550" w14:textId="77777777" w:rsidR="00076D59" w:rsidRDefault="00F001FF">
          <w:pPr>
            <w:pStyle w:val="TOC2"/>
            <w:tabs>
              <w:tab w:val="left" w:pos="880"/>
              <w:tab w:val="right" w:leader="dot" w:pos="9486"/>
            </w:tabs>
            <w:rPr>
              <w:rFonts w:asciiTheme="minorHAnsi" w:eastAsiaTheme="minorEastAsia" w:hAnsiTheme="minorHAnsi" w:cstheme="minorBidi"/>
              <w:noProof/>
              <w:lang w:eastAsia="en-AU"/>
            </w:rPr>
          </w:pPr>
          <w:hyperlink w:anchor="_Toc461003995" w:history="1">
            <w:r w:rsidR="00076D59" w:rsidRPr="001F1305">
              <w:rPr>
                <w:rStyle w:val="Hyperlink"/>
                <w:noProof/>
              </w:rPr>
              <w:t>2.4</w:t>
            </w:r>
            <w:r w:rsidR="00076D59">
              <w:rPr>
                <w:rFonts w:asciiTheme="minorHAnsi" w:eastAsiaTheme="minorEastAsia" w:hAnsiTheme="minorHAnsi" w:cstheme="minorBidi"/>
                <w:noProof/>
                <w:lang w:eastAsia="en-AU"/>
              </w:rPr>
              <w:tab/>
            </w:r>
            <w:r w:rsidR="00076D59" w:rsidRPr="001F1305">
              <w:rPr>
                <w:rStyle w:val="Hyperlink"/>
                <w:noProof/>
              </w:rPr>
              <w:t>Imports and exports</w:t>
            </w:r>
            <w:r w:rsidR="00076D59">
              <w:rPr>
                <w:noProof/>
                <w:webHidden/>
              </w:rPr>
              <w:tab/>
            </w:r>
            <w:r w:rsidR="009B1EA2">
              <w:rPr>
                <w:noProof/>
                <w:webHidden/>
              </w:rPr>
              <w:fldChar w:fldCharType="begin"/>
            </w:r>
            <w:r w:rsidR="00076D59">
              <w:rPr>
                <w:noProof/>
                <w:webHidden/>
              </w:rPr>
              <w:instrText xml:space="preserve"> PAGEREF _Toc461003995 \h </w:instrText>
            </w:r>
            <w:r w:rsidR="009B1EA2">
              <w:rPr>
                <w:noProof/>
                <w:webHidden/>
              </w:rPr>
            </w:r>
            <w:r w:rsidR="009B1EA2">
              <w:rPr>
                <w:noProof/>
                <w:webHidden/>
              </w:rPr>
              <w:fldChar w:fldCharType="separate"/>
            </w:r>
            <w:r w:rsidR="005B4740">
              <w:rPr>
                <w:noProof/>
                <w:webHidden/>
              </w:rPr>
              <w:t>6</w:t>
            </w:r>
            <w:r w:rsidR="009B1EA2">
              <w:rPr>
                <w:noProof/>
                <w:webHidden/>
              </w:rPr>
              <w:fldChar w:fldCharType="end"/>
            </w:r>
          </w:hyperlink>
        </w:p>
        <w:p w14:paraId="5B450551" w14:textId="77777777" w:rsidR="00076D59" w:rsidRDefault="00F001FF">
          <w:pPr>
            <w:pStyle w:val="TOC2"/>
            <w:tabs>
              <w:tab w:val="left" w:pos="880"/>
              <w:tab w:val="right" w:leader="dot" w:pos="9486"/>
            </w:tabs>
            <w:rPr>
              <w:rFonts w:asciiTheme="minorHAnsi" w:eastAsiaTheme="minorEastAsia" w:hAnsiTheme="minorHAnsi" w:cstheme="minorBidi"/>
              <w:noProof/>
              <w:lang w:eastAsia="en-AU"/>
            </w:rPr>
          </w:pPr>
          <w:hyperlink w:anchor="_Toc461003996" w:history="1">
            <w:r w:rsidR="00076D59" w:rsidRPr="001F1305">
              <w:rPr>
                <w:rStyle w:val="Hyperlink"/>
                <w:noProof/>
              </w:rPr>
              <w:t>2.5</w:t>
            </w:r>
            <w:r w:rsidR="00076D59">
              <w:rPr>
                <w:rFonts w:asciiTheme="minorHAnsi" w:eastAsiaTheme="minorEastAsia" w:hAnsiTheme="minorHAnsi" w:cstheme="minorBidi"/>
                <w:noProof/>
                <w:lang w:eastAsia="en-AU"/>
              </w:rPr>
              <w:tab/>
            </w:r>
            <w:r w:rsidR="00076D59" w:rsidRPr="001F1305">
              <w:rPr>
                <w:rStyle w:val="Hyperlink"/>
                <w:noProof/>
              </w:rPr>
              <w:t>Policy and co-ordination</w:t>
            </w:r>
            <w:r w:rsidR="00076D59">
              <w:rPr>
                <w:noProof/>
                <w:webHidden/>
              </w:rPr>
              <w:tab/>
            </w:r>
            <w:r w:rsidR="009B1EA2">
              <w:rPr>
                <w:noProof/>
                <w:webHidden/>
              </w:rPr>
              <w:fldChar w:fldCharType="begin"/>
            </w:r>
            <w:r w:rsidR="00076D59">
              <w:rPr>
                <w:noProof/>
                <w:webHidden/>
              </w:rPr>
              <w:instrText xml:space="preserve"> PAGEREF _Toc461003996 \h </w:instrText>
            </w:r>
            <w:r w:rsidR="009B1EA2">
              <w:rPr>
                <w:noProof/>
                <w:webHidden/>
              </w:rPr>
            </w:r>
            <w:r w:rsidR="009B1EA2">
              <w:rPr>
                <w:noProof/>
                <w:webHidden/>
              </w:rPr>
              <w:fldChar w:fldCharType="separate"/>
            </w:r>
            <w:r w:rsidR="005B4740">
              <w:rPr>
                <w:noProof/>
                <w:webHidden/>
              </w:rPr>
              <w:t>7</w:t>
            </w:r>
            <w:r w:rsidR="009B1EA2">
              <w:rPr>
                <w:noProof/>
                <w:webHidden/>
              </w:rPr>
              <w:fldChar w:fldCharType="end"/>
            </w:r>
          </w:hyperlink>
        </w:p>
        <w:p w14:paraId="5B450552" w14:textId="77777777" w:rsidR="00076D59" w:rsidRDefault="00F001FF">
          <w:pPr>
            <w:pStyle w:val="TOC2"/>
            <w:tabs>
              <w:tab w:val="left" w:pos="880"/>
              <w:tab w:val="right" w:leader="dot" w:pos="9486"/>
            </w:tabs>
            <w:rPr>
              <w:rFonts w:asciiTheme="minorHAnsi" w:eastAsiaTheme="minorEastAsia" w:hAnsiTheme="minorHAnsi" w:cstheme="minorBidi"/>
              <w:noProof/>
              <w:lang w:eastAsia="en-AU"/>
            </w:rPr>
          </w:pPr>
          <w:hyperlink w:anchor="_Toc461003997" w:history="1">
            <w:r w:rsidR="00076D59" w:rsidRPr="001F1305">
              <w:rPr>
                <w:rStyle w:val="Hyperlink"/>
                <w:noProof/>
              </w:rPr>
              <w:t>2.6</w:t>
            </w:r>
            <w:r w:rsidR="00076D59">
              <w:rPr>
                <w:rFonts w:asciiTheme="minorHAnsi" w:eastAsiaTheme="minorEastAsia" w:hAnsiTheme="minorHAnsi" w:cstheme="minorBidi"/>
                <w:noProof/>
                <w:lang w:eastAsia="en-AU"/>
              </w:rPr>
              <w:tab/>
            </w:r>
            <w:r w:rsidR="00076D59" w:rsidRPr="001F1305">
              <w:rPr>
                <w:rStyle w:val="Hyperlink"/>
                <w:noProof/>
              </w:rPr>
              <w:t>Information and reporting</w:t>
            </w:r>
            <w:r w:rsidR="00076D59">
              <w:rPr>
                <w:noProof/>
                <w:webHidden/>
              </w:rPr>
              <w:tab/>
            </w:r>
            <w:r w:rsidR="009B1EA2">
              <w:rPr>
                <w:noProof/>
                <w:webHidden/>
              </w:rPr>
              <w:fldChar w:fldCharType="begin"/>
            </w:r>
            <w:r w:rsidR="00076D59">
              <w:rPr>
                <w:noProof/>
                <w:webHidden/>
              </w:rPr>
              <w:instrText xml:space="preserve"> PAGEREF _Toc461003997 \h </w:instrText>
            </w:r>
            <w:r w:rsidR="009B1EA2">
              <w:rPr>
                <w:noProof/>
                <w:webHidden/>
              </w:rPr>
            </w:r>
            <w:r w:rsidR="009B1EA2">
              <w:rPr>
                <w:noProof/>
                <w:webHidden/>
              </w:rPr>
              <w:fldChar w:fldCharType="separate"/>
            </w:r>
            <w:r w:rsidR="005B4740">
              <w:rPr>
                <w:noProof/>
                <w:webHidden/>
              </w:rPr>
              <w:t>7</w:t>
            </w:r>
            <w:r w:rsidR="009B1EA2">
              <w:rPr>
                <w:noProof/>
                <w:webHidden/>
              </w:rPr>
              <w:fldChar w:fldCharType="end"/>
            </w:r>
          </w:hyperlink>
        </w:p>
        <w:p w14:paraId="5B450553" w14:textId="77777777" w:rsidR="00076D59" w:rsidRDefault="00F001FF">
          <w:pPr>
            <w:pStyle w:val="TOC2"/>
            <w:tabs>
              <w:tab w:val="left" w:pos="880"/>
              <w:tab w:val="right" w:leader="dot" w:pos="9486"/>
            </w:tabs>
            <w:rPr>
              <w:rFonts w:asciiTheme="minorHAnsi" w:eastAsiaTheme="minorEastAsia" w:hAnsiTheme="minorHAnsi" w:cstheme="minorBidi"/>
              <w:noProof/>
              <w:lang w:eastAsia="en-AU"/>
            </w:rPr>
          </w:pPr>
          <w:hyperlink w:anchor="_Toc461003998" w:history="1">
            <w:r w:rsidR="00076D59" w:rsidRPr="001F1305">
              <w:rPr>
                <w:rStyle w:val="Hyperlink"/>
                <w:noProof/>
              </w:rPr>
              <w:t>2.7</w:t>
            </w:r>
            <w:r w:rsidR="00076D59">
              <w:rPr>
                <w:rFonts w:asciiTheme="minorHAnsi" w:eastAsiaTheme="minorEastAsia" w:hAnsiTheme="minorHAnsi" w:cstheme="minorBidi"/>
                <w:noProof/>
                <w:lang w:eastAsia="en-AU"/>
              </w:rPr>
              <w:tab/>
            </w:r>
            <w:r w:rsidR="00076D59" w:rsidRPr="001F1305">
              <w:rPr>
                <w:rStyle w:val="Hyperlink"/>
                <w:noProof/>
              </w:rPr>
              <w:t>Investment in collection infrastructure and incentivising collection</w:t>
            </w:r>
            <w:r w:rsidR="00076D59">
              <w:rPr>
                <w:noProof/>
                <w:webHidden/>
              </w:rPr>
              <w:tab/>
            </w:r>
            <w:r w:rsidR="009B1EA2">
              <w:rPr>
                <w:noProof/>
                <w:webHidden/>
              </w:rPr>
              <w:fldChar w:fldCharType="begin"/>
            </w:r>
            <w:r w:rsidR="00076D59">
              <w:rPr>
                <w:noProof/>
                <w:webHidden/>
              </w:rPr>
              <w:instrText xml:space="preserve"> PAGEREF _Toc461003998 \h </w:instrText>
            </w:r>
            <w:r w:rsidR="009B1EA2">
              <w:rPr>
                <w:noProof/>
                <w:webHidden/>
              </w:rPr>
            </w:r>
            <w:r w:rsidR="009B1EA2">
              <w:rPr>
                <w:noProof/>
                <w:webHidden/>
              </w:rPr>
              <w:fldChar w:fldCharType="separate"/>
            </w:r>
            <w:r w:rsidR="005B4740">
              <w:rPr>
                <w:noProof/>
                <w:webHidden/>
              </w:rPr>
              <w:t>8</w:t>
            </w:r>
            <w:r w:rsidR="009B1EA2">
              <w:rPr>
                <w:noProof/>
                <w:webHidden/>
              </w:rPr>
              <w:fldChar w:fldCharType="end"/>
            </w:r>
          </w:hyperlink>
        </w:p>
        <w:p w14:paraId="5B450554" w14:textId="77777777" w:rsidR="00076D59" w:rsidRDefault="00F001FF">
          <w:pPr>
            <w:pStyle w:val="TOC2"/>
            <w:tabs>
              <w:tab w:val="left" w:pos="880"/>
              <w:tab w:val="right" w:leader="dot" w:pos="9486"/>
            </w:tabs>
            <w:rPr>
              <w:rFonts w:asciiTheme="minorHAnsi" w:eastAsiaTheme="minorEastAsia" w:hAnsiTheme="minorHAnsi" w:cstheme="minorBidi"/>
              <w:noProof/>
              <w:lang w:eastAsia="en-AU"/>
            </w:rPr>
          </w:pPr>
          <w:hyperlink w:anchor="_Toc461003999" w:history="1">
            <w:r w:rsidR="00076D59" w:rsidRPr="001F1305">
              <w:rPr>
                <w:rStyle w:val="Hyperlink"/>
                <w:noProof/>
              </w:rPr>
              <w:t>2.8</w:t>
            </w:r>
            <w:r w:rsidR="00076D59">
              <w:rPr>
                <w:rFonts w:asciiTheme="minorHAnsi" w:eastAsiaTheme="minorEastAsia" w:hAnsiTheme="minorHAnsi" w:cstheme="minorBidi"/>
                <w:noProof/>
                <w:lang w:eastAsia="en-AU"/>
              </w:rPr>
              <w:tab/>
            </w:r>
            <w:r w:rsidR="00076D59" w:rsidRPr="001F1305">
              <w:rPr>
                <w:rStyle w:val="Hyperlink"/>
                <w:i/>
                <w:noProof/>
              </w:rPr>
              <w:t>Product Stewardship Act 2011</w:t>
            </w:r>
            <w:r w:rsidR="00076D59">
              <w:rPr>
                <w:noProof/>
                <w:webHidden/>
              </w:rPr>
              <w:tab/>
            </w:r>
            <w:r w:rsidR="009B1EA2">
              <w:rPr>
                <w:noProof/>
                <w:webHidden/>
              </w:rPr>
              <w:fldChar w:fldCharType="begin"/>
            </w:r>
            <w:r w:rsidR="00076D59">
              <w:rPr>
                <w:noProof/>
                <w:webHidden/>
              </w:rPr>
              <w:instrText xml:space="preserve"> PAGEREF _Toc461003999 \h </w:instrText>
            </w:r>
            <w:r w:rsidR="009B1EA2">
              <w:rPr>
                <w:noProof/>
                <w:webHidden/>
              </w:rPr>
            </w:r>
            <w:r w:rsidR="009B1EA2">
              <w:rPr>
                <w:noProof/>
                <w:webHidden/>
              </w:rPr>
              <w:fldChar w:fldCharType="separate"/>
            </w:r>
            <w:r w:rsidR="005B4740">
              <w:rPr>
                <w:noProof/>
                <w:webHidden/>
              </w:rPr>
              <w:t>8</w:t>
            </w:r>
            <w:r w:rsidR="009B1EA2">
              <w:rPr>
                <w:noProof/>
                <w:webHidden/>
              </w:rPr>
              <w:fldChar w:fldCharType="end"/>
            </w:r>
          </w:hyperlink>
        </w:p>
        <w:p w14:paraId="5B450555" w14:textId="77777777" w:rsidR="00076D59" w:rsidRDefault="00F001FF">
          <w:pPr>
            <w:pStyle w:val="TOC1"/>
            <w:tabs>
              <w:tab w:val="left" w:pos="440"/>
              <w:tab w:val="right" w:leader="dot" w:pos="9486"/>
            </w:tabs>
            <w:rPr>
              <w:rFonts w:asciiTheme="minorHAnsi" w:eastAsiaTheme="minorEastAsia" w:hAnsiTheme="minorHAnsi" w:cstheme="minorBidi"/>
              <w:b w:val="0"/>
              <w:noProof/>
              <w:lang w:eastAsia="en-AU"/>
            </w:rPr>
          </w:pPr>
          <w:hyperlink w:anchor="_Toc461004000" w:history="1">
            <w:r w:rsidR="00076D59" w:rsidRPr="001F1305">
              <w:rPr>
                <w:rStyle w:val="Hyperlink"/>
                <w:noProof/>
              </w:rPr>
              <w:t>3.</w:t>
            </w:r>
            <w:r w:rsidR="00076D59">
              <w:rPr>
                <w:rFonts w:asciiTheme="minorHAnsi" w:eastAsiaTheme="minorEastAsia" w:hAnsiTheme="minorHAnsi" w:cstheme="minorBidi"/>
                <w:b w:val="0"/>
                <w:noProof/>
                <w:lang w:eastAsia="en-AU"/>
              </w:rPr>
              <w:tab/>
            </w:r>
            <w:r w:rsidR="00076D59" w:rsidRPr="001F1305">
              <w:rPr>
                <w:rStyle w:val="Hyperlink"/>
                <w:noProof/>
              </w:rPr>
              <w:t>Conclusion</w:t>
            </w:r>
            <w:r w:rsidR="00076D59">
              <w:rPr>
                <w:noProof/>
                <w:webHidden/>
              </w:rPr>
              <w:tab/>
            </w:r>
            <w:r w:rsidR="009B1EA2">
              <w:rPr>
                <w:noProof/>
                <w:webHidden/>
              </w:rPr>
              <w:fldChar w:fldCharType="begin"/>
            </w:r>
            <w:r w:rsidR="00076D59">
              <w:rPr>
                <w:noProof/>
                <w:webHidden/>
              </w:rPr>
              <w:instrText xml:space="preserve"> PAGEREF _Toc461004000 \h </w:instrText>
            </w:r>
            <w:r w:rsidR="009B1EA2">
              <w:rPr>
                <w:noProof/>
                <w:webHidden/>
              </w:rPr>
            </w:r>
            <w:r w:rsidR="009B1EA2">
              <w:rPr>
                <w:noProof/>
                <w:webHidden/>
              </w:rPr>
              <w:fldChar w:fldCharType="separate"/>
            </w:r>
            <w:r w:rsidR="005B4740">
              <w:rPr>
                <w:noProof/>
                <w:webHidden/>
              </w:rPr>
              <w:t>9</w:t>
            </w:r>
            <w:r w:rsidR="009B1EA2">
              <w:rPr>
                <w:noProof/>
                <w:webHidden/>
              </w:rPr>
              <w:fldChar w:fldCharType="end"/>
            </w:r>
          </w:hyperlink>
        </w:p>
        <w:p w14:paraId="5B450556" w14:textId="77777777" w:rsidR="00076D59" w:rsidRDefault="00F001FF">
          <w:pPr>
            <w:pStyle w:val="TOC2"/>
            <w:tabs>
              <w:tab w:val="right" w:leader="dot" w:pos="9486"/>
            </w:tabs>
            <w:rPr>
              <w:rFonts w:asciiTheme="minorHAnsi" w:eastAsiaTheme="minorEastAsia" w:hAnsiTheme="minorHAnsi" w:cstheme="minorBidi"/>
              <w:noProof/>
              <w:lang w:eastAsia="en-AU"/>
            </w:rPr>
          </w:pPr>
          <w:hyperlink w:anchor="_Toc461004001" w:history="1">
            <w:r w:rsidR="00076D59" w:rsidRPr="001F1305">
              <w:rPr>
                <w:rStyle w:val="Hyperlink"/>
                <w:rFonts w:cs="Arial"/>
                <w:noProof/>
              </w:rPr>
              <w:t>Appendix A</w:t>
            </w:r>
            <w:r w:rsidR="00076D59">
              <w:rPr>
                <w:noProof/>
                <w:webHidden/>
              </w:rPr>
              <w:tab/>
            </w:r>
            <w:r w:rsidR="009B1EA2">
              <w:rPr>
                <w:noProof/>
                <w:webHidden/>
              </w:rPr>
              <w:fldChar w:fldCharType="begin"/>
            </w:r>
            <w:r w:rsidR="00076D59">
              <w:rPr>
                <w:noProof/>
                <w:webHidden/>
              </w:rPr>
              <w:instrText xml:space="preserve"> PAGEREF _Toc461004001 \h </w:instrText>
            </w:r>
            <w:r w:rsidR="009B1EA2">
              <w:rPr>
                <w:noProof/>
                <w:webHidden/>
              </w:rPr>
            </w:r>
            <w:r w:rsidR="009B1EA2">
              <w:rPr>
                <w:noProof/>
                <w:webHidden/>
              </w:rPr>
              <w:fldChar w:fldCharType="separate"/>
            </w:r>
            <w:r w:rsidR="005B4740">
              <w:rPr>
                <w:noProof/>
                <w:webHidden/>
              </w:rPr>
              <w:t>10</w:t>
            </w:r>
            <w:r w:rsidR="009B1EA2">
              <w:rPr>
                <w:noProof/>
                <w:webHidden/>
              </w:rPr>
              <w:fldChar w:fldCharType="end"/>
            </w:r>
          </w:hyperlink>
        </w:p>
        <w:p w14:paraId="5B450557" w14:textId="77777777" w:rsidR="002A7BB4" w:rsidRDefault="009B1EA2" w:rsidP="00BA7A84">
          <w:pPr>
            <w:pStyle w:val="ActHead5"/>
            <w:ind w:right="-285"/>
          </w:pPr>
          <w:r w:rsidRPr="0004579E">
            <w:rPr>
              <w:rFonts w:ascii="Arial" w:hAnsi="Arial" w:cs="Arial"/>
              <w:sz w:val="22"/>
              <w:szCs w:val="22"/>
            </w:rPr>
            <w:fldChar w:fldCharType="end"/>
          </w:r>
        </w:p>
      </w:sdtContent>
    </w:sdt>
    <w:p w14:paraId="5B450558" w14:textId="77777777" w:rsidR="002A7BB4" w:rsidRDefault="002A7BB4" w:rsidP="00BA7A84">
      <w:pPr>
        <w:ind w:right="-285"/>
      </w:pPr>
    </w:p>
    <w:p w14:paraId="5B450559" w14:textId="77777777" w:rsidR="00EA69D7" w:rsidRDefault="00D037DF" w:rsidP="00BA7A84">
      <w:pPr>
        <w:spacing w:after="0"/>
        <w:ind w:right="-285"/>
        <w:rPr>
          <w:rFonts w:cs="Arial"/>
          <w:b/>
          <w:sz w:val="28"/>
        </w:rPr>
      </w:pPr>
      <w:r>
        <w:br w:type="page"/>
      </w:r>
    </w:p>
    <w:p w14:paraId="5B45055A" w14:textId="77777777" w:rsidR="002A7BB4" w:rsidRDefault="00991323" w:rsidP="00BA7A84">
      <w:pPr>
        <w:pStyle w:val="Heading1"/>
        <w:ind w:right="-285"/>
      </w:pPr>
      <w:bookmarkStart w:id="1" w:name="_Toc461003989"/>
      <w:r>
        <w:lastRenderedPageBreak/>
        <w:t>Preface</w:t>
      </w:r>
      <w:bookmarkEnd w:id="1"/>
    </w:p>
    <w:p w14:paraId="5B45055B" w14:textId="77777777" w:rsidR="00F65BAB" w:rsidRPr="00F65BAB" w:rsidRDefault="00F65BAB" w:rsidP="00BA7A84">
      <w:pPr>
        <w:ind w:right="-285"/>
      </w:pPr>
      <w:r>
        <w:rPr>
          <w:rFonts w:cs="Arial"/>
        </w:rPr>
        <w:t xml:space="preserve">The </w:t>
      </w:r>
      <w:r w:rsidRPr="00EE5449">
        <w:rPr>
          <w:rFonts w:cs="Arial"/>
          <w:i/>
        </w:rPr>
        <w:t>Product Stewardship (Oil) Act 2000</w:t>
      </w:r>
      <w:r w:rsidR="00F545C1">
        <w:rPr>
          <w:rFonts w:cs="Arial"/>
        </w:rPr>
        <w:t xml:space="preserve"> (the Act) and</w:t>
      </w:r>
      <w:r w:rsidR="008F383D">
        <w:rPr>
          <w:rFonts w:cs="Arial"/>
        </w:rPr>
        <w:t xml:space="preserve"> </w:t>
      </w:r>
      <w:r>
        <w:t>subordinate legislation</w:t>
      </w:r>
      <w:r w:rsidR="00F545C1">
        <w:t>, in conjunction with customs and excise tariff legislation,</w:t>
      </w:r>
      <w:r>
        <w:t xml:space="preserve"> </w:t>
      </w:r>
      <w:r w:rsidR="00F545C1">
        <w:t>form</w:t>
      </w:r>
      <w:r>
        <w:t xml:space="preserve"> the legislative framework for the Product Stewardship for Oil Scheme, a levy-benefit arrangement </w:t>
      </w:r>
      <w:r w:rsidR="00F545C1">
        <w:t>to support</w:t>
      </w:r>
      <w:r>
        <w:t xml:space="preserve"> the collection and recycling of used oil. </w:t>
      </w:r>
    </w:p>
    <w:p w14:paraId="5B45055C" w14:textId="77777777" w:rsidR="00015786" w:rsidRDefault="00D90792" w:rsidP="00BA7A84">
      <w:pPr>
        <w:ind w:right="-285"/>
        <w:rPr>
          <w:rFonts w:cs="Arial"/>
        </w:rPr>
      </w:pPr>
      <w:r>
        <w:rPr>
          <w:rFonts w:cs="Arial"/>
        </w:rPr>
        <w:t>Section 36</w:t>
      </w:r>
      <w:r w:rsidR="00784457">
        <w:rPr>
          <w:rFonts w:cs="Arial"/>
        </w:rPr>
        <w:t xml:space="preserve"> of t</w:t>
      </w:r>
      <w:r w:rsidR="002C53B0" w:rsidRPr="00B97DA7">
        <w:rPr>
          <w:rFonts w:cs="Arial"/>
        </w:rPr>
        <w:t xml:space="preserve">he </w:t>
      </w:r>
      <w:r w:rsidR="00EE5449">
        <w:rPr>
          <w:rFonts w:cs="Arial"/>
        </w:rPr>
        <w:t>Act</w:t>
      </w:r>
      <w:r>
        <w:rPr>
          <w:rFonts w:cs="Arial"/>
        </w:rPr>
        <w:t xml:space="preserve"> requires</w:t>
      </w:r>
      <w:r w:rsidR="00EE5449">
        <w:rPr>
          <w:rFonts w:cs="Arial"/>
        </w:rPr>
        <w:t xml:space="preserve"> </w:t>
      </w:r>
      <w:r w:rsidR="0054260C">
        <w:rPr>
          <w:rFonts w:cs="Arial"/>
        </w:rPr>
        <w:t xml:space="preserve">that </w:t>
      </w:r>
      <w:r w:rsidR="00EE5449">
        <w:rPr>
          <w:rFonts w:cs="Arial"/>
        </w:rPr>
        <w:t xml:space="preserve">an independent review </w:t>
      </w:r>
      <w:r w:rsidR="00F65BAB">
        <w:rPr>
          <w:rFonts w:cs="Arial"/>
        </w:rPr>
        <w:t>be</w:t>
      </w:r>
      <w:r w:rsidR="0054260C">
        <w:rPr>
          <w:rFonts w:cs="Arial"/>
        </w:rPr>
        <w:t xml:space="preserve"> undertaken </w:t>
      </w:r>
      <w:r>
        <w:rPr>
          <w:rFonts w:cs="Arial"/>
        </w:rPr>
        <w:t xml:space="preserve">every four years </w:t>
      </w:r>
      <w:r w:rsidR="0054260C">
        <w:rPr>
          <w:rFonts w:cs="Arial"/>
        </w:rPr>
        <w:t xml:space="preserve">to consider </w:t>
      </w:r>
      <w:r w:rsidR="00EE5449">
        <w:rPr>
          <w:rFonts w:cs="Arial"/>
        </w:rPr>
        <w:t>the operations of the Act</w:t>
      </w:r>
      <w:r>
        <w:rPr>
          <w:rFonts w:cs="Arial"/>
        </w:rPr>
        <w:t>,</w:t>
      </w:r>
      <w:r w:rsidR="00784457">
        <w:rPr>
          <w:rFonts w:cs="Arial"/>
        </w:rPr>
        <w:t xml:space="preserve"> </w:t>
      </w:r>
      <w:r>
        <w:rPr>
          <w:rFonts w:cs="Arial"/>
        </w:rPr>
        <w:t xml:space="preserve">the relevant provisions of customs and excise legislation, and </w:t>
      </w:r>
      <w:r w:rsidR="00784457">
        <w:rPr>
          <w:rFonts w:cs="Arial"/>
        </w:rPr>
        <w:t xml:space="preserve">the extent to which the objects of the Act </w:t>
      </w:r>
      <w:r w:rsidR="00A70AA6">
        <w:rPr>
          <w:rFonts w:cs="Arial"/>
        </w:rPr>
        <w:t>were</w:t>
      </w:r>
      <w:r w:rsidR="00784457">
        <w:rPr>
          <w:rFonts w:cs="Arial"/>
        </w:rPr>
        <w:t xml:space="preserve"> achieved.</w:t>
      </w:r>
      <w:r w:rsidR="00055D38">
        <w:rPr>
          <w:rFonts w:cs="Arial"/>
        </w:rPr>
        <w:t xml:space="preserve"> </w:t>
      </w:r>
    </w:p>
    <w:p w14:paraId="5B45055D" w14:textId="77777777" w:rsidR="00A70AA6" w:rsidRDefault="00A70AA6" w:rsidP="00BA7A84">
      <w:pPr>
        <w:ind w:right="-285"/>
        <w:rPr>
          <w:rFonts w:cs="Arial"/>
        </w:rPr>
      </w:pPr>
      <w:r>
        <w:rPr>
          <w:rFonts w:cs="Arial"/>
        </w:rPr>
        <w:t xml:space="preserve">The </w:t>
      </w:r>
      <w:r w:rsidRPr="0045693A">
        <w:rPr>
          <w:i/>
        </w:rPr>
        <w:t>Third Independent Review of the Product Stewardship (Oil) Act 2000</w:t>
      </w:r>
      <w:r>
        <w:rPr>
          <w:rStyle w:val="FootnoteReference"/>
          <w:i/>
        </w:rPr>
        <w:footnoteReference w:id="1"/>
      </w:r>
      <w:r>
        <w:rPr>
          <w:i/>
        </w:rPr>
        <w:t xml:space="preserve"> </w:t>
      </w:r>
      <w:r w:rsidRPr="002D0185">
        <w:t>(the</w:t>
      </w:r>
      <w:r>
        <w:t> </w:t>
      </w:r>
      <w:r w:rsidRPr="002D0185">
        <w:t>Re</w:t>
      </w:r>
      <w:r>
        <w:t>view Report</w:t>
      </w:r>
      <w:r w:rsidRPr="002D0185">
        <w:t>)</w:t>
      </w:r>
      <w:r>
        <w:t xml:space="preserve"> was completed by </w:t>
      </w:r>
      <w:r>
        <w:rPr>
          <w:rFonts w:cs="Arial"/>
        </w:rPr>
        <w:t>Aither Consulting in 2013. The Review Report:</w:t>
      </w:r>
    </w:p>
    <w:p w14:paraId="5B45055E" w14:textId="77777777" w:rsidR="008A6CB7" w:rsidRDefault="00A70AA6">
      <w:pPr>
        <w:pStyle w:val="ListBullet"/>
      </w:pPr>
      <w:r>
        <w:rPr>
          <w:rFonts w:cs="Arial"/>
        </w:rPr>
        <w:t>e</w:t>
      </w:r>
      <w:r w:rsidRPr="00CB6234">
        <w:rPr>
          <w:rFonts w:cs="Arial"/>
        </w:rPr>
        <w:t>xamine</w:t>
      </w:r>
      <w:r>
        <w:rPr>
          <w:rFonts w:cs="Arial"/>
        </w:rPr>
        <w:t xml:space="preserve">d </w:t>
      </w:r>
      <w:r w:rsidR="002C53B0" w:rsidRPr="00CB6234">
        <w:t xml:space="preserve">the appropriateness, effectiveness and sustainability of the operation of the </w:t>
      </w:r>
      <w:r w:rsidR="002B2376">
        <w:t>Product Stewardship for Oil S</w:t>
      </w:r>
      <w:r w:rsidR="002C53B0">
        <w:t>cheme</w:t>
      </w:r>
      <w:r w:rsidR="00784457">
        <w:t xml:space="preserve"> (the PSO Scheme)</w:t>
      </w:r>
      <w:r w:rsidR="00286D9C">
        <w:t>,</w:t>
      </w:r>
      <w:r w:rsidR="002C53B0" w:rsidRPr="00CB6234">
        <w:t xml:space="preserve"> </w:t>
      </w:r>
    </w:p>
    <w:p w14:paraId="5B45055F" w14:textId="77777777" w:rsidR="008A6CB7" w:rsidRDefault="00784457">
      <w:pPr>
        <w:pStyle w:val="ListBullet"/>
      </w:pPr>
      <w:r>
        <w:t xml:space="preserve">identified </w:t>
      </w:r>
      <w:r w:rsidR="002C53B0" w:rsidRPr="00CB6234">
        <w:t>opportunities for improvement</w:t>
      </w:r>
      <w:r w:rsidR="00286D9C">
        <w:t>s</w:t>
      </w:r>
      <w:r w:rsidR="002C53B0" w:rsidRPr="00CB6234">
        <w:t xml:space="preserve"> and </w:t>
      </w:r>
    </w:p>
    <w:p w14:paraId="5B450560" w14:textId="77777777" w:rsidR="008A6CB7" w:rsidRDefault="002C53B0">
      <w:pPr>
        <w:pStyle w:val="ListBullet"/>
      </w:pPr>
      <w:r w:rsidRPr="00CB6234">
        <w:t>ma</w:t>
      </w:r>
      <w:r w:rsidR="00A603BD">
        <w:t>d</w:t>
      </w:r>
      <w:r w:rsidRPr="00CB6234">
        <w:t xml:space="preserve">e recommendations </w:t>
      </w:r>
      <w:r>
        <w:t xml:space="preserve">where </w:t>
      </w:r>
      <w:r w:rsidRPr="00CB6234">
        <w:t xml:space="preserve">appropriate. </w:t>
      </w:r>
    </w:p>
    <w:p w14:paraId="5B450561" w14:textId="77777777" w:rsidR="00631815" w:rsidRDefault="002D0185" w:rsidP="00BA7A84">
      <w:pPr>
        <w:pStyle w:val="ListBullet2"/>
        <w:numPr>
          <w:ilvl w:val="0"/>
          <w:numId w:val="0"/>
        </w:numPr>
        <w:ind w:right="-285"/>
      </w:pPr>
      <w:r w:rsidRPr="002D0185">
        <w:rPr>
          <w:rFonts w:cs="Arial"/>
        </w:rPr>
        <w:t>Th</w:t>
      </w:r>
      <w:r w:rsidR="00A70AA6">
        <w:rPr>
          <w:rFonts w:cs="Arial"/>
        </w:rPr>
        <w:t>is</w:t>
      </w:r>
      <w:r w:rsidRPr="002D0185">
        <w:rPr>
          <w:rFonts w:cs="Arial"/>
        </w:rPr>
        <w:t xml:space="preserve"> </w:t>
      </w:r>
      <w:r w:rsidR="00A70AA6">
        <w:rPr>
          <w:rFonts w:cs="Arial"/>
        </w:rPr>
        <w:t xml:space="preserve">Australian </w:t>
      </w:r>
      <w:r w:rsidR="00E86C91" w:rsidRPr="00E86C91">
        <w:rPr>
          <w:rFonts w:cs="Arial"/>
        </w:rPr>
        <w:t>Government</w:t>
      </w:r>
      <w:r w:rsidRPr="002D0185">
        <w:rPr>
          <w:rFonts w:cs="Arial"/>
          <w:i/>
        </w:rPr>
        <w:t xml:space="preserve"> Response to the Third Independent Review of the Product Stewardship (Oil) Act 2000</w:t>
      </w:r>
      <w:r w:rsidRPr="002D0185">
        <w:rPr>
          <w:rFonts w:cs="Arial"/>
        </w:rPr>
        <w:t xml:space="preserve"> </w:t>
      </w:r>
      <w:r w:rsidR="00416B6C">
        <w:rPr>
          <w:rFonts w:cs="Arial"/>
        </w:rPr>
        <w:t xml:space="preserve">provides </w:t>
      </w:r>
      <w:r w:rsidRPr="002D0185">
        <w:t xml:space="preserve">the </w:t>
      </w:r>
      <w:r w:rsidR="00407E39">
        <w:t xml:space="preserve">Australian Government’s </w:t>
      </w:r>
      <w:r w:rsidR="00FA25CF">
        <w:t xml:space="preserve">assessment </w:t>
      </w:r>
      <w:r w:rsidR="00506259">
        <w:t>of</w:t>
      </w:r>
      <w:r w:rsidR="007E1995">
        <w:t xml:space="preserve"> </w:t>
      </w:r>
      <w:r w:rsidRPr="002D0185">
        <w:t xml:space="preserve">the recommendations </w:t>
      </w:r>
      <w:r w:rsidR="002C1CF7">
        <w:t xml:space="preserve">and conclusions </w:t>
      </w:r>
      <w:r w:rsidR="00AA0C8F">
        <w:t xml:space="preserve">contained in </w:t>
      </w:r>
      <w:r w:rsidR="003409E9">
        <w:t xml:space="preserve">Chapter 8 of </w:t>
      </w:r>
      <w:r w:rsidR="00AA0C8F">
        <w:t xml:space="preserve">the </w:t>
      </w:r>
      <w:r w:rsidR="00416B6C">
        <w:t xml:space="preserve">Review </w:t>
      </w:r>
      <w:r w:rsidR="00AA0C8F">
        <w:t>Report</w:t>
      </w:r>
      <w:r w:rsidR="00F545C1">
        <w:t>.</w:t>
      </w:r>
    </w:p>
    <w:p w14:paraId="5B450562" w14:textId="77777777" w:rsidR="002D0185" w:rsidRPr="002D0185" w:rsidRDefault="00AA0C8F" w:rsidP="00BA7A84">
      <w:pPr>
        <w:pStyle w:val="ListBullet2"/>
        <w:numPr>
          <w:ilvl w:val="0"/>
          <w:numId w:val="0"/>
        </w:numPr>
        <w:ind w:right="-285"/>
      </w:pPr>
      <w:r>
        <w:t xml:space="preserve"> </w:t>
      </w:r>
    </w:p>
    <w:p w14:paraId="5B450563" w14:textId="77777777" w:rsidR="005D511C" w:rsidRDefault="005D511C" w:rsidP="00BA7A84">
      <w:pPr>
        <w:ind w:right="-285"/>
      </w:pPr>
    </w:p>
    <w:p w14:paraId="5B450564" w14:textId="77777777" w:rsidR="00A45AC8" w:rsidRDefault="00A45AC8" w:rsidP="00BA7A84">
      <w:pPr>
        <w:ind w:right="-285"/>
      </w:pPr>
    </w:p>
    <w:p w14:paraId="5B450565" w14:textId="77777777" w:rsidR="00A45AC8" w:rsidRPr="00A45AC8" w:rsidRDefault="007E1995" w:rsidP="00BA7A84">
      <w:pPr>
        <w:ind w:right="-285"/>
        <w:rPr>
          <w:b/>
          <w:i/>
        </w:rPr>
      </w:pPr>
      <w:r>
        <w:rPr>
          <w:b/>
          <w:i/>
        </w:rPr>
        <w:t xml:space="preserve"> </w:t>
      </w:r>
    </w:p>
    <w:p w14:paraId="5B450566" w14:textId="77777777" w:rsidR="00A45AC8" w:rsidRDefault="00A45AC8" w:rsidP="00BA7A84">
      <w:pPr>
        <w:ind w:right="-285"/>
      </w:pPr>
    </w:p>
    <w:p w14:paraId="5B450567" w14:textId="77777777" w:rsidR="00A45AC8" w:rsidRDefault="00A45AC8" w:rsidP="00BA7A84">
      <w:pPr>
        <w:ind w:right="-285"/>
      </w:pPr>
    </w:p>
    <w:p w14:paraId="5B450568" w14:textId="77777777" w:rsidR="00A45AC8" w:rsidRDefault="00A45AC8" w:rsidP="00BA7A84">
      <w:pPr>
        <w:ind w:right="-285"/>
      </w:pPr>
    </w:p>
    <w:p w14:paraId="5B450569" w14:textId="77777777" w:rsidR="005D511C" w:rsidRPr="005D511C" w:rsidRDefault="005D511C" w:rsidP="00BA7A84">
      <w:pPr>
        <w:ind w:right="-285"/>
        <w:rPr>
          <w:b/>
        </w:rPr>
      </w:pPr>
      <w:r w:rsidRPr="005D511C">
        <w:rPr>
          <w:b/>
        </w:rPr>
        <w:t>Acknowledgements</w:t>
      </w:r>
    </w:p>
    <w:p w14:paraId="5B45056A" w14:textId="77777777" w:rsidR="002D0185" w:rsidRPr="002D0185" w:rsidRDefault="002D0185" w:rsidP="00BA7A84">
      <w:pPr>
        <w:ind w:right="-285"/>
        <w:rPr>
          <w:rFonts w:cs="Arial"/>
          <w:lang w:eastAsia="en-AU"/>
        </w:rPr>
      </w:pPr>
      <w:r w:rsidRPr="002D0185">
        <w:t>The Government acknowledge</w:t>
      </w:r>
      <w:r w:rsidR="00AA0C8F">
        <w:t>s</w:t>
      </w:r>
      <w:r w:rsidRPr="002D0185">
        <w:t xml:space="preserve"> </w:t>
      </w:r>
      <w:r w:rsidR="00DB58A1">
        <w:t xml:space="preserve">the </w:t>
      </w:r>
      <w:r w:rsidR="00990A81">
        <w:t xml:space="preserve">comprehensive assessment that was undertaken by </w:t>
      </w:r>
      <w:r w:rsidRPr="002D0185">
        <w:t>the reviewers</w:t>
      </w:r>
      <w:r w:rsidR="00AA0C8F">
        <w:t>,</w:t>
      </w:r>
      <w:r w:rsidRPr="002D0185">
        <w:t xml:space="preserve"> </w:t>
      </w:r>
      <w:r w:rsidR="00150BBB" w:rsidRPr="002D0185">
        <w:t xml:space="preserve">Aither Consulting </w:t>
      </w:r>
      <w:r w:rsidR="00150BBB">
        <w:t xml:space="preserve">and </w:t>
      </w:r>
      <w:r w:rsidRPr="002D0185">
        <w:t>Professor Neil Byron</w:t>
      </w:r>
      <w:r w:rsidR="00AA0C8F">
        <w:t xml:space="preserve">, </w:t>
      </w:r>
      <w:r w:rsidR="00DB58A1">
        <w:t>and the</w:t>
      </w:r>
      <w:r w:rsidR="00990A81">
        <w:t xml:space="preserve"> expertise that they brought to the topic</w:t>
      </w:r>
      <w:r w:rsidR="00DB58A1">
        <w:t xml:space="preserve">. </w:t>
      </w:r>
      <w:r w:rsidR="00107606">
        <w:t xml:space="preserve">The </w:t>
      </w:r>
      <w:r w:rsidR="00DB58A1">
        <w:t>Government also</w:t>
      </w:r>
      <w:r w:rsidRPr="002D0185">
        <w:t xml:space="preserve"> thank</w:t>
      </w:r>
      <w:r w:rsidR="00AA0C8F">
        <w:t xml:space="preserve">s the many </w:t>
      </w:r>
      <w:r w:rsidRPr="002D0185">
        <w:t xml:space="preserve">stakeholders who </w:t>
      </w:r>
      <w:r w:rsidR="006C3810">
        <w:t xml:space="preserve">provided </w:t>
      </w:r>
      <w:r w:rsidR="00AA0C8F">
        <w:t>input to the review</w:t>
      </w:r>
      <w:r w:rsidR="0054260C">
        <w:t xml:space="preserve">, sharing their </w:t>
      </w:r>
      <w:r w:rsidR="00DB58A1">
        <w:t xml:space="preserve">valuable </w:t>
      </w:r>
      <w:r w:rsidR="0054260C">
        <w:t xml:space="preserve">insights into the industry. </w:t>
      </w:r>
    </w:p>
    <w:p w14:paraId="5B45056B" w14:textId="77777777" w:rsidR="002C53B0" w:rsidRDefault="002C53B0" w:rsidP="00BA7A84">
      <w:pPr>
        <w:ind w:right="-285"/>
      </w:pPr>
    </w:p>
    <w:p w14:paraId="5B45056C" w14:textId="77777777" w:rsidR="002A7BB4" w:rsidRDefault="002A7BB4" w:rsidP="00BA7A84">
      <w:pPr>
        <w:spacing w:after="0"/>
        <w:ind w:right="-285"/>
        <w:rPr>
          <w:rFonts w:cs="Arial"/>
          <w:b/>
          <w:caps/>
        </w:rPr>
      </w:pPr>
      <w:r>
        <w:br w:type="page"/>
      </w:r>
    </w:p>
    <w:p w14:paraId="5B45056D" w14:textId="77777777" w:rsidR="002A7BB4" w:rsidRPr="00474E78" w:rsidRDefault="002A7BB4" w:rsidP="00BA7A84">
      <w:pPr>
        <w:pStyle w:val="Heading1"/>
        <w:numPr>
          <w:ilvl w:val="0"/>
          <w:numId w:val="27"/>
        </w:numPr>
        <w:ind w:right="-285" w:hanging="720"/>
      </w:pPr>
      <w:bookmarkStart w:id="2" w:name="_Toc461003990"/>
      <w:r w:rsidRPr="00474E78">
        <w:lastRenderedPageBreak/>
        <w:t>Introduction</w:t>
      </w:r>
      <w:bookmarkEnd w:id="2"/>
      <w:r w:rsidRPr="00474E78">
        <w:t xml:space="preserve"> </w:t>
      </w:r>
    </w:p>
    <w:p w14:paraId="5B45056E" w14:textId="77777777" w:rsidR="00110847" w:rsidRDefault="002C53B0" w:rsidP="00BA7A84">
      <w:pPr>
        <w:ind w:right="-285"/>
      </w:pPr>
      <w:r w:rsidRPr="00EE02F0">
        <w:t xml:space="preserve">The </w:t>
      </w:r>
      <w:r w:rsidR="00D037DF">
        <w:t>Product Stewardship for Oil S</w:t>
      </w:r>
      <w:r>
        <w:t xml:space="preserve">cheme </w:t>
      </w:r>
      <w:r w:rsidR="00D037DF">
        <w:t xml:space="preserve">(PSO Scheme) </w:t>
      </w:r>
      <w:r w:rsidRPr="00EE02F0">
        <w:t xml:space="preserve">was introduced in 2001 </w:t>
      </w:r>
      <w:r w:rsidR="00A17386" w:rsidRPr="008C0883">
        <w:t>to encourage the environmentally sustainable management of used oil</w:t>
      </w:r>
      <w:r w:rsidR="00506259">
        <w:t xml:space="preserve">. </w:t>
      </w:r>
      <w:r w:rsidR="00A17386">
        <w:t xml:space="preserve">The </w:t>
      </w:r>
      <w:r w:rsidR="00A17386" w:rsidRPr="009724A6">
        <w:rPr>
          <w:i/>
        </w:rPr>
        <w:t xml:space="preserve">Product Stewardship (Oil) Act 2000 </w:t>
      </w:r>
      <w:r w:rsidR="00A17386" w:rsidRPr="00EE02F0">
        <w:t>(the Act)</w:t>
      </w:r>
      <w:r w:rsidR="00A17386">
        <w:t xml:space="preserve"> establishes the framework for the operations of the PSO Scheme</w:t>
      </w:r>
      <w:r w:rsidR="008A6CB7">
        <w:t>,</w:t>
      </w:r>
      <w:r w:rsidR="00961869">
        <w:t xml:space="preserve"> which is</w:t>
      </w:r>
      <w:r w:rsidR="00A17386">
        <w:t xml:space="preserve"> based on </w:t>
      </w:r>
      <w:r>
        <w:t xml:space="preserve">a </w:t>
      </w:r>
      <w:r w:rsidRPr="00EE02F0">
        <w:t xml:space="preserve">levy-benefit arrangement </w:t>
      </w:r>
      <w:r w:rsidR="00961869">
        <w:t xml:space="preserve">designed </w:t>
      </w:r>
      <w:r w:rsidRPr="00EE02F0">
        <w:t>to increase</w:t>
      </w:r>
      <w:r w:rsidR="00AD1093">
        <w:t xml:space="preserve"> the recovery and</w:t>
      </w:r>
      <w:r w:rsidRPr="00EE02F0">
        <w:t xml:space="preserve"> recycling of </w:t>
      </w:r>
      <w:r w:rsidR="008A6CB7" w:rsidRPr="00EE02F0">
        <w:t xml:space="preserve">synthetic </w:t>
      </w:r>
      <w:r w:rsidR="008A6CB7">
        <w:t xml:space="preserve">and </w:t>
      </w:r>
      <w:r w:rsidRPr="00EE02F0">
        <w:t>petroleum</w:t>
      </w:r>
      <w:r>
        <w:t>-</w:t>
      </w:r>
      <w:r w:rsidRPr="00EE02F0">
        <w:t xml:space="preserve">based used oil in Australia. </w:t>
      </w:r>
    </w:p>
    <w:p w14:paraId="5B45056F" w14:textId="77777777" w:rsidR="0096332B" w:rsidRDefault="00110847" w:rsidP="00BA7A84">
      <w:pPr>
        <w:ind w:right="-285"/>
      </w:pPr>
      <w:r>
        <w:t>Th</w:t>
      </w:r>
      <w:r w:rsidR="0088644E">
        <w:t>re</w:t>
      </w:r>
      <w:r>
        <w:t xml:space="preserve">e </w:t>
      </w:r>
      <w:r w:rsidR="0088644E">
        <w:t xml:space="preserve">Australian Government agencies are responsible for the administration of the Act: </w:t>
      </w:r>
    </w:p>
    <w:p w14:paraId="5B450570" w14:textId="77777777" w:rsidR="0096332B" w:rsidRDefault="0088644E" w:rsidP="0096332B">
      <w:pPr>
        <w:pStyle w:val="ListBullet"/>
      </w:pPr>
      <w:r>
        <w:t xml:space="preserve">the </w:t>
      </w:r>
      <w:r w:rsidR="00536F02">
        <w:t>Department of the Environment and Energy</w:t>
      </w:r>
      <w:r w:rsidR="00110847">
        <w:t xml:space="preserve"> </w:t>
      </w:r>
      <w:r w:rsidR="00536F02">
        <w:t xml:space="preserve">and Energy </w:t>
      </w:r>
      <w:r w:rsidR="00B76D6F">
        <w:t xml:space="preserve">– </w:t>
      </w:r>
      <w:r w:rsidR="00110847">
        <w:t>oversight of the</w:t>
      </w:r>
      <w:r>
        <w:t xml:space="preserve"> </w:t>
      </w:r>
      <w:r w:rsidR="00A17386">
        <w:t xml:space="preserve">Act and the </w:t>
      </w:r>
      <w:r>
        <w:t>PSO </w:t>
      </w:r>
      <w:r w:rsidR="00D037DF">
        <w:t>Scheme</w:t>
      </w:r>
      <w:r>
        <w:t xml:space="preserve">; </w:t>
      </w:r>
    </w:p>
    <w:p w14:paraId="5B450571" w14:textId="77777777" w:rsidR="0096332B" w:rsidRDefault="0088644E" w:rsidP="0096332B">
      <w:pPr>
        <w:pStyle w:val="ListBullet"/>
      </w:pPr>
      <w:r>
        <w:t xml:space="preserve">the </w:t>
      </w:r>
      <w:r w:rsidR="002C53B0">
        <w:t xml:space="preserve">Australian Taxation Office </w:t>
      </w:r>
      <w:r w:rsidR="00B76D6F">
        <w:t xml:space="preserve">– </w:t>
      </w:r>
      <w:r w:rsidR="002C53B0">
        <w:t xml:space="preserve">responsible for </w:t>
      </w:r>
      <w:r w:rsidR="00D610D9">
        <w:t>benefit payments</w:t>
      </w:r>
      <w:r w:rsidR="00DF3343">
        <w:t xml:space="preserve"> made to </w:t>
      </w:r>
      <w:r w:rsidR="00A17386">
        <w:t>recyclers of used oil</w:t>
      </w:r>
      <w:r w:rsidR="00C2066C">
        <w:t>, as well as the excise duty on domestically produced oils, greases and their synthetic equivalents</w:t>
      </w:r>
      <w:r w:rsidR="00DF3343">
        <w:t>;</w:t>
      </w:r>
      <w:r w:rsidR="00110847">
        <w:t xml:space="preserve"> and </w:t>
      </w:r>
    </w:p>
    <w:p w14:paraId="5B450572" w14:textId="77777777" w:rsidR="002C53B0" w:rsidRDefault="00110847" w:rsidP="0096332B">
      <w:pPr>
        <w:pStyle w:val="ListBullet"/>
      </w:pPr>
      <w:r>
        <w:t xml:space="preserve">the </w:t>
      </w:r>
      <w:r w:rsidR="00933C6B">
        <w:t>Department of Immigration and Border Protection</w:t>
      </w:r>
      <w:r>
        <w:t xml:space="preserve"> </w:t>
      </w:r>
      <w:r w:rsidR="0096332B">
        <w:t xml:space="preserve">– </w:t>
      </w:r>
      <w:r>
        <w:t xml:space="preserve">responsible for </w:t>
      </w:r>
      <w:r w:rsidR="00933C6B">
        <w:t xml:space="preserve">collecting </w:t>
      </w:r>
      <w:r>
        <w:t>the levy</w:t>
      </w:r>
      <w:r w:rsidR="0096332B">
        <w:t xml:space="preserve"> </w:t>
      </w:r>
      <w:r w:rsidR="00DF5872">
        <w:t>(C</w:t>
      </w:r>
      <w:r w:rsidR="00C2066C">
        <w:t>ustoms duty</w:t>
      </w:r>
      <w:r w:rsidR="00DF5872">
        <w:t>)</w:t>
      </w:r>
      <w:r w:rsidR="00C2066C">
        <w:t>, on imported oils, greases and their synthetic equivalents</w:t>
      </w:r>
      <w:r w:rsidR="00055D38">
        <w:t xml:space="preserve">. </w:t>
      </w:r>
    </w:p>
    <w:p w14:paraId="5B450573" w14:textId="77777777" w:rsidR="00134FF6" w:rsidRPr="005B3BD0" w:rsidRDefault="00961869" w:rsidP="00BA7A84">
      <w:pPr>
        <w:ind w:right="-285"/>
      </w:pPr>
      <w:r>
        <w:t xml:space="preserve">The </w:t>
      </w:r>
      <w:r w:rsidRPr="00134FF6">
        <w:rPr>
          <w:i/>
        </w:rPr>
        <w:t>Product Stewardship (Oil) Regulations 2000</w:t>
      </w:r>
      <w:r>
        <w:t xml:space="preserve"> (the Regulations) include the details of the benefits paid for different categories of oils and lubricants result</w:t>
      </w:r>
      <w:r w:rsidR="00B76D6F">
        <w:t>ing</w:t>
      </w:r>
      <w:r>
        <w:t xml:space="preserve"> from </w:t>
      </w:r>
      <w:r w:rsidR="0031586A">
        <w:t>recycling</w:t>
      </w:r>
      <w:r>
        <w:t xml:space="preserve"> </w:t>
      </w:r>
      <w:r w:rsidR="00B76D6F">
        <w:t xml:space="preserve">of </w:t>
      </w:r>
      <w:r>
        <w:t xml:space="preserve">used oil, </w:t>
      </w:r>
      <w:r w:rsidR="0031586A">
        <w:t xml:space="preserve">including re-refining, </w:t>
      </w:r>
      <w:r w:rsidR="001166A5">
        <w:t xml:space="preserve">and the conditions that apply. </w:t>
      </w:r>
      <w:r w:rsidRPr="005B3BD0">
        <w:t>A</w:t>
      </w:r>
      <w:r w:rsidR="00A20565">
        <w:t xml:space="preserve">ppendix </w:t>
      </w:r>
      <w:r w:rsidR="00076D59">
        <w:t>A</w:t>
      </w:r>
      <w:r w:rsidRPr="005B3BD0">
        <w:t xml:space="preserve"> sets out the </w:t>
      </w:r>
      <w:r w:rsidR="007C04AB" w:rsidRPr="005B3BD0">
        <w:t xml:space="preserve">current amount of benefit paid for each </w:t>
      </w:r>
      <w:r w:rsidR="00B76D6F">
        <w:t xml:space="preserve">oil </w:t>
      </w:r>
      <w:r w:rsidR="007C04AB" w:rsidRPr="005B3BD0">
        <w:t xml:space="preserve">product category. </w:t>
      </w:r>
    </w:p>
    <w:p w14:paraId="5B450574" w14:textId="77777777" w:rsidR="002C53B0" w:rsidRDefault="00691309" w:rsidP="00BA7A84">
      <w:pPr>
        <w:ind w:right="-285"/>
        <w:rPr>
          <w:b/>
          <w:caps/>
        </w:rPr>
      </w:pPr>
      <w:r>
        <w:t>Since it</w:t>
      </w:r>
      <w:r w:rsidR="007B59B2">
        <w:t xml:space="preserve">s establishment, </w:t>
      </w:r>
      <w:r>
        <w:t>t</w:t>
      </w:r>
      <w:r w:rsidR="002C53B0" w:rsidRPr="008C0883">
        <w:t xml:space="preserve">he </w:t>
      </w:r>
      <w:r w:rsidR="00EE6065">
        <w:t xml:space="preserve">PSO </w:t>
      </w:r>
      <w:r w:rsidR="002C53B0">
        <w:t>Scheme</w:t>
      </w:r>
      <w:r w:rsidR="002C53B0" w:rsidRPr="008C0883">
        <w:t xml:space="preserve"> </w:t>
      </w:r>
      <w:r w:rsidR="002C53B0">
        <w:t xml:space="preserve">has </w:t>
      </w:r>
      <w:r w:rsidR="00B76D6F">
        <w:t>been fundamental to: i)</w:t>
      </w:r>
      <w:r w:rsidR="005B3BD0">
        <w:t xml:space="preserve"> recovering a valuable resource</w:t>
      </w:r>
      <w:r w:rsidR="00F8636E">
        <w:t xml:space="preserve"> from an otherwise hazardous waste</w:t>
      </w:r>
      <w:r w:rsidR="005B3BD0">
        <w:t xml:space="preserve">, </w:t>
      </w:r>
      <w:r w:rsidR="00B76D6F">
        <w:t xml:space="preserve">and ii) </w:t>
      </w:r>
      <w:r w:rsidR="005B3BD0">
        <w:t xml:space="preserve">contributing </w:t>
      </w:r>
      <w:r w:rsidR="007C04AB">
        <w:t xml:space="preserve">to </w:t>
      </w:r>
      <w:r w:rsidR="00DF3343">
        <w:t xml:space="preserve">the </w:t>
      </w:r>
      <w:r w:rsidR="00B834E5">
        <w:t xml:space="preserve">development </w:t>
      </w:r>
      <w:r w:rsidR="00DF3343">
        <w:t xml:space="preserve">of </w:t>
      </w:r>
      <w:r>
        <w:t>a</w:t>
      </w:r>
      <w:r w:rsidR="00DF3343">
        <w:t xml:space="preserve"> </w:t>
      </w:r>
      <w:r>
        <w:t>mature industry</w:t>
      </w:r>
      <w:r w:rsidR="0089357B">
        <w:t xml:space="preserve"> with </w:t>
      </w:r>
      <w:r>
        <w:t>ad</w:t>
      </w:r>
      <w:r w:rsidR="002C53B0" w:rsidRPr="008C0883">
        <w:t>vance</w:t>
      </w:r>
      <w:r w:rsidR="0089357B">
        <w:t xml:space="preserve">d technology in </w:t>
      </w:r>
      <w:r w:rsidR="002C53B0">
        <w:t xml:space="preserve">re-refining </w:t>
      </w:r>
      <w:r w:rsidR="00B834E5">
        <w:t xml:space="preserve">oil </w:t>
      </w:r>
      <w:r>
        <w:t>and</w:t>
      </w:r>
      <w:r w:rsidR="002C53B0" w:rsidRPr="008C0883">
        <w:t xml:space="preserve"> diversifi</w:t>
      </w:r>
      <w:r w:rsidR="0089357B">
        <w:t xml:space="preserve">ed </w:t>
      </w:r>
      <w:r>
        <w:t xml:space="preserve">end-use </w:t>
      </w:r>
      <w:r w:rsidR="002C53B0" w:rsidRPr="008C0883">
        <w:t>markets</w:t>
      </w:r>
      <w:r w:rsidR="00B834E5">
        <w:t xml:space="preserve"> for this oil</w:t>
      </w:r>
      <w:r w:rsidR="002C53B0" w:rsidRPr="008C0883">
        <w:t>.</w:t>
      </w:r>
      <w:r w:rsidR="002C53B0">
        <w:rPr>
          <w:b/>
          <w:caps/>
        </w:rPr>
        <w:t xml:space="preserve"> </w:t>
      </w:r>
    </w:p>
    <w:p w14:paraId="5B450575" w14:textId="77777777" w:rsidR="005603EE" w:rsidRDefault="005603EE" w:rsidP="00BA7A84">
      <w:r w:rsidRPr="005B3BD0">
        <w:rPr>
          <w:rFonts w:cs="Arial"/>
        </w:rPr>
        <w:t>The third review examine</w:t>
      </w:r>
      <w:r>
        <w:rPr>
          <w:rFonts w:cs="Arial"/>
        </w:rPr>
        <w:t>d</w:t>
      </w:r>
      <w:r w:rsidRPr="005B3BD0">
        <w:rPr>
          <w:rFonts w:cs="Arial"/>
        </w:rPr>
        <w:t xml:space="preserve"> the appropriateness, effectiveness and sustainability of the PSO Scheme</w:t>
      </w:r>
      <w:r>
        <w:t xml:space="preserve">. It found that the PSO Scheme has been effective in facilitating the recycling of used oil in Australia and should continue, with ongoing support from the Australian Government. </w:t>
      </w:r>
    </w:p>
    <w:p w14:paraId="5B450576" w14:textId="77777777" w:rsidR="00716818" w:rsidRDefault="005603EE" w:rsidP="00BA7A84">
      <w:pPr>
        <w:ind w:right="-285"/>
      </w:pPr>
      <w:r>
        <w:t xml:space="preserve">The Report </w:t>
      </w:r>
      <w:r w:rsidR="003448E4">
        <w:t xml:space="preserve">had </w:t>
      </w:r>
      <w:r>
        <w:t xml:space="preserve">13 </w:t>
      </w:r>
      <w:r w:rsidRPr="0078576A">
        <w:t>recommendations</w:t>
      </w:r>
      <w:r w:rsidR="00A10CC7">
        <w:t xml:space="preserve">, </w:t>
      </w:r>
      <w:r w:rsidR="003448E4">
        <w:t>with many</w:t>
      </w:r>
      <w:r w:rsidR="00AF716C">
        <w:t xml:space="preserve"> </w:t>
      </w:r>
      <w:r w:rsidR="00826B99">
        <w:t>relat</w:t>
      </w:r>
      <w:r w:rsidR="00A10CC7">
        <w:t>ing</w:t>
      </w:r>
      <w:r w:rsidR="00826B99">
        <w:t xml:space="preserve"> to the imbalance between the collected </w:t>
      </w:r>
      <w:r w:rsidR="009F473D">
        <w:t xml:space="preserve">levy </w:t>
      </w:r>
      <w:r w:rsidR="00826B99">
        <w:t>and the benefits paid out</w:t>
      </w:r>
      <w:r w:rsidR="00A10CC7">
        <w:t>, which left the PSO Scheme</w:t>
      </w:r>
      <w:r w:rsidR="00826B99">
        <w:t xml:space="preserve"> </w:t>
      </w:r>
      <w:r>
        <w:t xml:space="preserve">in deficit by </w:t>
      </w:r>
      <w:r w:rsidR="00234DAF">
        <w:t xml:space="preserve">approximately $5 million per year </w:t>
      </w:r>
      <w:r w:rsidR="00A10CC7">
        <w:t>in the years</w:t>
      </w:r>
      <w:r w:rsidR="00234DAF">
        <w:t xml:space="preserve"> prior to the review</w:t>
      </w:r>
      <w:r w:rsidR="00AF6DF9">
        <w:t>.</w:t>
      </w:r>
      <w:r w:rsidR="00234DAF">
        <w:t xml:space="preserve"> </w:t>
      </w:r>
      <w:r w:rsidR="00D41AA8">
        <w:t xml:space="preserve">The reviewers </w:t>
      </w:r>
      <w:r w:rsidR="004043DB">
        <w:t>noted that this</w:t>
      </w:r>
      <w:r w:rsidR="00D41AA8">
        <w:t xml:space="preserve"> </w:t>
      </w:r>
      <w:r>
        <w:t xml:space="preserve">raised </w:t>
      </w:r>
      <w:r w:rsidR="004043DB">
        <w:t xml:space="preserve">concerns </w:t>
      </w:r>
      <w:r>
        <w:t xml:space="preserve">about the </w:t>
      </w:r>
      <w:r w:rsidR="00A10CC7">
        <w:t xml:space="preserve">long-term sustainability of the PSO </w:t>
      </w:r>
      <w:r>
        <w:t xml:space="preserve">Scheme’s financial </w:t>
      </w:r>
      <w:r w:rsidR="00A10CC7">
        <w:t>situation</w:t>
      </w:r>
      <w:r w:rsidR="00C37280">
        <w:t>.</w:t>
      </w:r>
      <w:r w:rsidR="00716818">
        <w:t xml:space="preserve"> </w:t>
      </w:r>
    </w:p>
    <w:p w14:paraId="5B450577" w14:textId="77777777" w:rsidR="00A10CC7" w:rsidRDefault="00826B99" w:rsidP="00BA7A84">
      <w:pPr>
        <w:ind w:right="-285"/>
      </w:pPr>
      <w:r>
        <w:t>T</w:t>
      </w:r>
      <w:r w:rsidR="00B4427A">
        <w:t>he</w:t>
      </w:r>
      <w:r w:rsidR="0097181F">
        <w:t xml:space="preserve">re are three </w:t>
      </w:r>
      <w:r w:rsidR="00155C9E">
        <w:t>possible approaches</w:t>
      </w:r>
      <w:r w:rsidR="0097181F">
        <w:t xml:space="preserve"> for addressing the</w:t>
      </w:r>
      <w:r w:rsidR="00B4427A">
        <w:t xml:space="preserve"> Scheme’s structural imbalance</w:t>
      </w:r>
      <w:r w:rsidR="00716818">
        <w:t>:</w:t>
      </w:r>
      <w:r w:rsidR="00B4427A">
        <w:t xml:space="preserve"> </w:t>
      </w:r>
    </w:p>
    <w:p w14:paraId="5B450578" w14:textId="77777777" w:rsidR="00A10CC7" w:rsidRDefault="00B4427A" w:rsidP="00536F02">
      <w:pPr>
        <w:pStyle w:val="ListBullet"/>
      </w:pPr>
      <w:r>
        <w:t>increasing the levy</w:t>
      </w:r>
      <w:r w:rsidR="0097181F">
        <w:t>;</w:t>
      </w:r>
      <w:r>
        <w:t xml:space="preserve"> </w:t>
      </w:r>
    </w:p>
    <w:p w14:paraId="5B450579" w14:textId="77777777" w:rsidR="00A10CC7" w:rsidRDefault="00B4427A" w:rsidP="00536F02">
      <w:pPr>
        <w:pStyle w:val="ListBullet"/>
      </w:pPr>
      <w:r>
        <w:t>decreasing the benefits</w:t>
      </w:r>
      <w:r w:rsidR="0097181F">
        <w:t>;</w:t>
      </w:r>
      <w:r>
        <w:t xml:space="preserve"> or </w:t>
      </w:r>
    </w:p>
    <w:p w14:paraId="5B45057A" w14:textId="77777777" w:rsidR="00A10CC7" w:rsidRDefault="00B4427A" w:rsidP="00536F02">
      <w:pPr>
        <w:pStyle w:val="ListBullet"/>
      </w:pPr>
      <w:r>
        <w:t xml:space="preserve">a combination of both. </w:t>
      </w:r>
    </w:p>
    <w:p w14:paraId="5B45057B" w14:textId="77777777" w:rsidR="00B4427A" w:rsidRDefault="00160887" w:rsidP="00A10CC7">
      <w:pPr>
        <w:pStyle w:val="ListNumber"/>
        <w:numPr>
          <w:ilvl w:val="0"/>
          <w:numId w:val="0"/>
        </w:numPr>
      </w:pPr>
      <w:r>
        <w:t xml:space="preserve">The </w:t>
      </w:r>
      <w:r w:rsidR="00575021">
        <w:t>reviewers recommended a combination of increasing the levy collected and decreasing the benefits paid. Specifically, t</w:t>
      </w:r>
      <w:r w:rsidR="00155C9E">
        <w:t>he reviewers r</w:t>
      </w:r>
      <w:r w:rsidR="0097181F">
        <w:t>ecommend</w:t>
      </w:r>
      <w:r w:rsidR="00155C9E">
        <w:t xml:space="preserve">ed </w:t>
      </w:r>
      <w:r w:rsidR="0097181F">
        <w:t>that the levy be increased from 5.449 cents per litre to 7 cents per litre</w:t>
      </w:r>
      <w:r w:rsidR="00B42910">
        <w:t>,</w:t>
      </w:r>
      <w:r w:rsidR="009876AB">
        <w:t xml:space="preserve"> and</w:t>
      </w:r>
      <w:r w:rsidR="00155C9E">
        <w:t xml:space="preserve"> that several changes be made </w:t>
      </w:r>
      <w:r w:rsidR="00B42910">
        <w:t xml:space="preserve">to </w:t>
      </w:r>
      <w:r w:rsidR="00155C9E">
        <w:t xml:space="preserve">the benefits claimable, most notably that benefits </w:t>
      </w:r>
      <w:r w:rsidR="009876AB">
        <w:t>for Category 1 products be decreased.</w:t>
      </w:r>
      <w:r w:rsidR="00536326">
        <w:t xml:space="preserve"> </w:t>
      </w:r>
      <w:r w:rsidR="00AD22DB">
        <w:t>In the 2014-15 budget, the Australian Government increased the levy</w:t>
      </w:r>
      <w:r w:rsidR="00AD22DB" w:rsidRPr="00AD22DB">
        <w:t xml:space="preserve"> </w:t>
      </w:r>
      <w:r w:rsidR="00AD22DB">
        <w:t>from 5.449 cents per litre to 8.5 cents per litre.</w:t>
      </w:r>
    </w:p>
    <w:p w14:paraId="5B45057C" w14:textId="77777777" w:rsidR="00995EC4" w:rsidRDefault="00536F02">
      <w:pPr>
        <w:ind w:right="-285"/>
      </w:pPr>
      <w:r>
        <w:lastRenderedPageBreak/>
        <w:t>Detailed r</w:t>
      </w:r>
      <w:r w:rsidR="00667816">
        <w:t>esponses to each of the thirteen</w:t>
      </w:r>
      <w:r w:rsidR="00A1620D">
        <w:t xml:space="preserve"> recommendations are </w:t>
      </w:r>
      <w:r>
        <w:t xml:space="preserve">provided </w:t>
      </w:r>
      <w:r w:rsidR="00A1620D">
        <w:t>below.</w:t>
      </w:r>
      <w:r w:rsidR="00BA7A84">
        <w:br w:type="page"/>
      </w:r>
    </w:p>
    <w:p w14:paraId="5B45057D" w14:textId="77777777" w:rsidR="002A7BB4" w:rsidRDefault="002A7BB4" w:rsidP="00BA7A84">
      <w:pPr>
        <w:pStyle w:val="Heading1"/>
        <w:numPr>
          <w:ilvl w:val="0"/>
          <w:numId w:val="27"/>
        </w:numPr>
        <w:ind w:right="-285" w:hanging="720"/>
      </w:pPr>
      <w:bookmarkStart w:id="3" w:name="_Toc444500276"/>
      <w:bookmarkStart w:id="4" w:name="_Toc461003991"/>
      <w:bookmarkEnd w:id="3"/>
      <w:r>
        <w:lastRenderedPageBreak/>
        <w:t>Response</w:t>
      </w:r>
      <w:r w:rsidR="00E004A0">
        <w:t>s</w:t>
      </w:r>
      <w:r>
        <w:t xml:space="preserve"> to </w:t>
      </w:r>
      <w:r w:rsidR="00900DC3">
        <w:t>recommendations</w:t>
      </w:r>
      <w:bookmarkEnd w:id="4"/>
    </w:p>
    <w:p w14:paraId="5B45057E" w14:textId="77777777" w:rsidR="0045497E" w:rsidRDefault="004329F5" w:rsidP="00BA7A84">
      <w:pPr>
        <w:pStyle w:val="ListParagraph"/>
        <w:ind w:left="0" w:right="-285"/>
      </w:pPr>
      <w:r>
        <w:t>T</w:t>
      </w:r>
      <w:r w:rsidR="0004560F">
        <w:t xml:space="preserve">he </w:t>
      </w:r>
      <w:r w:rsidR="00347319">
        <w:t xml:space="preserve">Australian </w:t>
      </w:r>
      <w:r w:rsidR="002E19D6">
        <w:t>Government</w:t>
      </w:r>
      <w:r w:rsidR="0004560F">
        <w:t xml:space="preserve"> considered </w:t>
      </w:r>
      <w:r w:rsidR="00E004A0">
        <w:t xml:space="preserve">each of </w:t>
      </w:r>
      <w:r w:rsidR="000D39EE">
        <w:t xml:space="preserve">the </w:t>
      </w:r>
      <w:r w:rsidR="009C7AB4">
        <w:t xml:space="preserve">13 </w:t>
      </w:r>
      <w:r w:rsidR="0004560F">
        <w:t>recommendations</w:t>
      </w:r>
      <w:r w:rsidR="00E004A0">
        <w:t xml:space="preserve"> </w:t>
      </w:r>
      <w:r w:rsidR="008F15EA">
        <w:t xml:space="preserve">presented in Section 8 of </w:t>
      </w:r>
      <w:r w:rsidR="007647CE">
        <w:t>the Review Report</w:t>
      </w:r>
      <w:r w:rsidR="00DF1610">
        <w:t xml:space="preserve">. </w:t>
      </w:r>
      <w:r w:rsidR="008F15EA">
        <w:t xml:space="preserve">Where a </w:t>
      </w:r>
      <w:r w:rsidR="009C7AB4">
        <w:t xml:space="preserve">recommendation proposed a </w:t>
      </w:r>
      <w:r w:rsidR="008F15EA">
        <w:t xml:space="preserve">change </w:t>
      </w:r>
      <w:r w:rsidR="009C7AB4">
        <w:t xml:space="preserve">to </w:t>
      </w:r>
      <w:r w:rsidR="00347319">
        <w:t xml:space="preserve">one or more aspects of </w:t>
      </w:r>
      <w:r w:rsidR="009C7AB4">
        <w:t>the Scheme</w:t>
      </w:r>
      <w:r w:rsidR="00347319">
        <w:t xml:space="preserve">, </w:t>
      </w:r>
      <w:r w:rsidR="008F15EA">
        <w:t xml:space="preserve">it was assessed </w:t>
      </w:r>
      <w:r w:rsidR="00D52076">
        <w:t xml:space="preserve">to determine whether </w:t>
      </w:r>
      <w:r w:rsidR="00FB3AE7">
        <w:t>the change</w:t>
      </w:r>
      <w:r w:rsidR="00D52076">
        <w:t>:</w:t>
      </w:r>
      <w:r w:rsidR="001E0783">
        <w:t xml:space="preserve"> </w:t>
      </w:r>
    </w:p>
    <w:p w14:paraId="5B45057F" w14:textId="77777777" w:rsidR="00995EC4" w:rsidRDefault="0045497E">
      <w:pPr>
        <w:pStyle w:val="ListBullet"/>
      </w:pPr>
      <w:r>
        <w:t xml:space="preserve">was </w:t>
      </w:r>
      <w:r w:rsidR="008762E2">
        <w:t>associated</w:t>
      </w:r>
      <w:r w:rsidR="00144551">
        <w:t xml:space="preserve"> with a clear, identifiable </w:t>
      </w:r>
      <w:r w:rsidR="00736CBB">
        <w:t>benefit</w:t>
      </w:r>
      <w:r>
        <w:t>, and/or</w:t>
      </w:r>
    </w:p>
    <w:p w14:paraId="5B450580" w14:textId="77777777" w:rsidR="00995EC4" w:rsidRDefault="0045497E">
      <w:pPr>
        <w:pStyle w:val="ListBullet"/>
      </w:pPr>
      <w:r>
        <w:t xml:space="preserve">was </w:t>
      </w:r>
      <w:r w:rsidR="0004560F">
        <w:t>consistent with the objective</w:t>
      </w:r>
      <w:r w:rsidR="002E19D6">
        <w:t>s</w:t>
      </w:r>
      <w:r w:rsidR="00374076">
        <w:t xml:space="preserve"> of the S</w:t>
      </w:r>
      <w:r w:rsidR="00CA1B7E">
        <w:t>cheme</w:t>
      </w:r>
      <w:r>
        <w:t>, and/or</w:t>
      </w:r>
      <w:r w:rsidR="0004560F">
        <w:t xml:space="preserve"> </w:t>
      </w:r>
    </w:p>
    <w:p w14:paraId="5B450581" w14:textId="77777777" w:rsidR="00995EC4" w:rsidRDefault="002D609F">
      <w:pPr>
        <w:pStyle w:val="ListBullet"/>
      </w:pPr>
      <w:r>
        <w:t xml:space="preserve">would </w:t>
      </w:r>
      <w:r w:rsidR="0004560F">
        <w:t xml:space="preserve">contribute to the </w:t>
      </w:r>
      <w:r w:rsidR="00CB244F">
        <w:t xml:space="preserve">environmental </w:t>
      </w:r>
      <w:r w:rsidR="00347319">
        <w:t xml:space="preserve">or </w:t>
      </w:r>
      <w:r w:rsidR="00CB244F">
        <w:t xml:space="preserve">financial </w:t>
      </w:r>
      <w:r w:rsidR="0004560F">
        <w:t>sustainability</w:t>
      </w:r>
      <w:r w:rsidR="00AF13F7">
        <w:t xml:space="preserve"> </w:t>
      </w:r>
      <w:r w:rsidR="0004560F">
        <w:t xml:space="preserve">of the </w:t>
      </w:r>
      <w:r w:rsidR="00374076">
        <w:t>S</w:t>
      </w:r>
      <w:r w:rsidR="0004560F">
        <w:t>cheme</w:t>
      </w:r>
      <w:r w:rsidR="00055D38">
        <w:t xml:space="preserve">. </w:t>
      </w:r>
    </w:p>
    <w:p w14:paraId="5B450582" w14:textId="77777777" w:rsidR="00FB3AE7" w:rsidRDefault="00FB3AE7" w:rsidP="00BA7A84">
      <w:pPr>
        <w:ind w:right="-285"/>
      </w:pPr>
    </w:p>
    <w:p w14:paraId="5B450583" w14:textId="77777777" w:rsidR="007647CE" w:rsidRDefault="00FB3AE7" w:rsidP="00BA7A84">
      <w:pPr>
        <w:ind w:right="-285"/>
      </w:pPr>
      <w:r>
        <w:t>P</w:t>
      </w:r>
      <w:r w:rsidR="0045497E">
        <w:t xml:space="preserve">roposed </w:t>
      </w:r>
      <w:r w:rsidR="00F13AA3">
        <w:t>change</w:t>
      </w:r>
      <w:r w:rsidR="004329F5">
        <w:t>s</w:t>
      </w:r>
      <w:r w:rsidR="00CB244F">
        <w:t xml:space="preserve"> to the </w:t>
      </w:r>
      <w:r w:rsidR="00EE6065">
        <w:t xml:space="preserve">PSO </w:t>
      </w:r>
      <w:r w:rsidR="00CB244F">
        <w:t xml:space="preserve">Scheme </w:t>
      </w:r>
      <w:r w:rsidR="004329F5">
        <w:t xml:space="preserve">were </w:t>
      </w:r>
      <w:r>
        <w:t xml:space="preserve">also </w:t>
      </w:r>
      <w:r w:rsidR="004329F5">
        <w:t xml:space="preserve">considered in the context of </w:t>
      </w:r>
      <w:r w:rsidR="00CB244F">
        <w:t xml:space="preserve">the </w:t>
      </w:r>
      <w:r w:rsidR="0045497E">
        <w:t xml:space="preserve">Australian </w:t>
      </w:r>
      <w:r w:rsidR="007647CE" w:rsidRPr="007647CE">
        <w:t>Government’s deregulation agenda</w:t>
      </w:r>
      <w:r w:rsidR="004329F5">
        <w:t>, which</w:t>
      </w:r>
      <w:r w:rsidR="007647CE" w:rsidRPr="007647CE">
        <w:t xml:space="preserve"> aims to reduce </w:t>
      </w:r>
      <w:r w:rsidR="00CB244F">
        <w:t xml:space="preserve">the costs of </w:t>
      </w:r>
      <w:r w:rsidR="007647CE" w:rsidRPr="007647CE">
        <w:t xml:space="preserve">unnecessary red tape on individuals, businesses and community organisations. </w:t>
      </w:r>
      <w:r w:rsidR="000C1C33">
        <w:t>T</w:t>
      </w:r>
      <w:r w:rsidR="000C1C33" w:rsidRPr="007647CE">
        <w:t>he Australian Government recogni</w:t>
      </w:r>
      <w:r w:rsidR="000C1C33">
        <w:t>ses</w:t>
      </w:r>
      <w:r w:rsidR="000C1C33" w:rsidRPr="007647CE">
        <w:t xml:space="preserve"> the</w:t>
      </w:r>
      <w:r w:rsidR="000C1C33">
        <w:t xml:space="preserve"> substantial </w:t>
      </w:r>
      <w:r w:rsidR="000C1C33" w:rsidRPr="007647CE">
        <w:t>investment in</w:t>
      </w:r>
      <w:r w:rsidR="000C1C33">
        <w:t>dustry has made in infrastructure and processes for</w:t>
      </w:r>
      <w:r w:rsidR="000C1C33" w:rsidRPr="007647CE">
        <w:t xml:space="preserve"> the </w:t>
      </w:r>
      <w:r w:rsidR="000C1C33">
        <w:t xml:space="preserve">collection and </w:t>
      </w:r>
      <w:r w:rsidR="000C1C33" w:rsidRPr="007647CE">
        <w:t>re</w:t>
      </w:r>
      <w:r w:rsidR="000C1C33">
        <w:t>cycling of used oil,</w:t>
      </w:r>
      <w:r w:rsidR="000C1C33" w:rsidRPr="007647CE" w:rsidDel="004329F5">
        <w:t xml:space="preserve"> </w:t>
      </w:r>
      <w:r w:rsidR="000372B0">
        <w:t xml:space="preserve">and accordingly, </w:t>
      </w:r>
      <w:r w:rsidR="000C1C33">
        <w:t xml:space="preserve">will </w:t>
      </w:r>
      <w:r w:rsidR="000C1C33" w:rsidRPr="007647CE">
        <w:t xml:space="preserve">consult with stakeholders </w:t>
      </w:r>
      <w:r w:rsidR="000C1C33">
        <w:t>before</w:t>
      </w:r>
      <w:r w:rsidR="007647CE" w:rsidRPr="007647CE">
        <w:t xml:space="preserve"> </w:t>
      </w:r>
      <w:r w:rsidR="000C1C33">
        <w:t>making</w:t>
      </w:r>
      <w:r w:rsidR="008E4A60">
        <w:t xml:space="preserve"> </w:t>
      </w:r>
      <w:r w:rsidR="007647CE" w:rsidRPr="007647CE">
        <w:t>any reforms</w:t>
      </w:r>
      <w:r w:rsidR="005879D6">
        <w:t xml:space="preserve"> </w:t>
      </w:r>
      <w:r w:rsidR="008E4A60">
        <w:t xml:space="preserve">to </w:t>
      </w:r>
      <w:r w:rsidR="005879D6">
        <w:t xml:space="preserve">the </w:t>
      </w:r>
      <w:r w:rsidR="000C1C33">
        <w:t xml:space="preserve">PSO </w:t>
      </w:r>
      <w:r w:rsidR="005879D6">
        <w:t>Scheme</w:t>
      </w:r>
      <w:r w:rsidR="000C1C33">
        <w:t>.</w:t>
      </w:r>
    </w:p>
    <w:p w14:paraId="5B450584" w14:textId="77777777" w:rsidR="008815BE" w:rsidRDefault="008815BE" w:rsidP="00BA7A84">
      <w:pPr>
        <w:ind w:right="-285"/>
      </w:pPr>
    </w:p>
    <w:p w14:paraId="5B450585" w14:textId="77777777" w:rsidR="002A7BB4" w:rsidRPr="00A168E7" w:rsidRDefault="00474E78" w:rsidP="00BA7A84">
      <w:pPr>
        <w:pStyle w:val="Heading2"/>
        <w:spacing w:after="240"/>
        <w:ind w:right="-285"/>
      </w:pPr>
      <w:bookmarkStart w:id="5" w:name="_Toc461003992"/>
      <w:r w:rsidRPr="00A168E7">
        <w:t>2.1</w:t>
      </w:r>
      <w:r w:rsidRPr="00A168E7">
        <w:tab/>
      </w:r>
      <w:r w:rsidR="0045497E">
        <w:t>Defining success and redefining o</w:t>
      </w:r>
      <w:r w:rsidR="002A7BB4" w:rsidRPr="00A168E7">
        <w:t>bjectives</w:t>
      </w:r>
      <w:bookmarkEnd w:id="5"/>
    </w:p>
    <w:p w14:paraId="5B450586" w14:textId="77777777" w:rsidR="00253A13" w:rsidRPr="007102F9" w:rsidRDefault="002A7BB4" w:rsidP="00C76443">
      <w:pPr>
        <w:pStyle w:val="ListParagraph"/>
        <w:pBdr>
          <w:top w:val="single" w:sz="4" w:space="1" w:color="auto"/>
          <w:left w:val="single" w:sz="4" w:space="4" w:color="auto"/>
          <w:bottom w:val="single" w:sz="4" w:space="1" w:color="auto"/>
          <w:right w:val="single" w:sz="4" w:space="4" w:color="auto"/>
        </w:pBdr>
        <w:spacing w:before="120"/>
        <w:ind w:left="0" w:right="-285" w:firstLine="11"/>
        <w:rPr>
          <w:b/>
        </w:rPr>
      </w:pPr>
      <w:r w:rsidRPr="007102F9">
        <w:rPr>
          <w:b/>
        </w:rPr>
        <w:t>Recommendation 1</w:t>
      </w:r>
      <w:r w:rsidR="00E73ABC" w:rsidRPr="007102F9">
        <w:rPr>
          <w:b/>
        </w:rPr>
        <w:t>:</w:t>
      </w:r>
      <w:r w:rsidR="001E0783">
        <w:rPr>
          <w:b/>
        </w:rPr>
        <w:t xml:space="preserve"> </w:t>
      </w:r>
    </w:p>
    <w:p w14:paraId="5B450587" w14:textId="77777777" w:rsidR="00ED6F3A" w:rsidRPr="00ED6F3A" w:rsidRDefault="00ED6F3A" w:rsidP="00C76443">
      <w:pPr>
        <w:pStyle w:val="ListParagraph"/>
        <w:pBdr>
          <w:top w:val="single" w:sz="4" w:space="1" w:color="auto"/>
          <w:left w:val="single" w:sz="4" w:space="4" w:color="auto"/>
          <w:bottom w:val="single" w:sz="4" w:space="1" w:color="auto"/>
          <w:right w:val="single" w:sz="4" w:space="4" w:color="auto"/>
        </w:pBdr>
        <w:ind w:left="0" w:right="-285" w:firstLine="11"/>
        <w:rPr>
          <w:i/>
        </w:rPr>
      </w:pPr>
      <w:r>
        <w:t xml:space="preserve">A definition of success for used oil in Australia should be determined and articulated, and objectives for the PSO Scheme redefined in light of that. Such vision and objectives should guide future operation of the Scheme, and provide guidance in consideration of any possible future transition to the </w:t>
      </w:r>
      <w:r w:rsidRPr="00ED6F3A">
        <w:rPr>
          <w:i/>
        </w:rPr>
        <w:t xml:space="preserve">Product Stewardship Act 2011. </w:t>
      </w:r>
    </w:p>
    <w:p w14:paraId="5B450588" w14:textId="77777777" w:rsidR="002A7BB4" w:rsidRPr="002B0972" w:rsidRDefault="002B0972" w:rsidP="00BA7A84">
      <w:pPr>
        <w:pStyle w:val="ListParagraph"/>
        <w:ind w:left="0" w:right="-285" w:firstLine="11"/>
        <w:rPr>
          <w:u w:val="single"/>
        </w:rPr>
      </w:pPr>
      <w:r w:rsidRPr="002B0972">
        <w:rPr>
          <w:u w:val="single"/>
        </w:rPr>
        <w:t xml:space="preserve"> </w:t>
      </w:r>
    </w:p>
    <w:p w14:paraId="5B450589" w14:textId="77777777" w:rsidR="00971399" w:rsidRPr="00EC3F35" w:rsidRDefault="00EC3F35" w:rsidP="00BA7A84">
      <w:pPr>
        <w:pStyle w:val="ListParagraph"/>
        <w:ind w:left="0" w:right="-285" w:firstLine="11"/>
        <w:rPr>
          <w:b/>
        </w:rPr>
      </w:pPr>
      <w:r w:rsidRPr="00EC3F35">
        <w:rPr>
          <w:b/>
        </w:rPr>
        <w:t>Response</w:t>
      </w:r>
      <w:r w:rsidR="002B0972" w:rsidRPr="00EC3F35">
        <w:rPr>
          <w:b/>
        </w:rPr>
        <w:t xml:space="preserve"> </w:t>
      </w:r>
    </w:p>
    <w:p w14:paraId="5B45058A" w14:textId="77777777" w:rsidR="00D76BAE" w:rsidRDefault="00E3732C" w:rsidP="00D76BAE">
      <w:pPr>
        <w:pStyle w:val="ListNumber"/>
        <w:numPr>
          <w:ilvl w:val="0"/>
          <w:numId w:val="0"/>
        </w:numPr>
        <w:rPr>
          <w:rFonts w:cs="Arial"/>
        </w:rPr>
      </w:pPr>
      <w:r w:rsidRPr="00E3732C">
        <w:t>The Australian Government has decided not to implement Recommendation 1 at this time. The Government defers any amendments to the objectives until more substantive changes to the Act are required.</w:t>
      </w:r>
      <w:r w:rsidR="003730C8">
        <w:t xml:space="preserve"> </w:t>
      </w:r>
    </w:p>
    <w:p w14:paraId="5B45058B" w14:textId="77777777" w:rsidR="006907D5" w:rsidRDefault="006907D5" w:rsidP="00BA7A84">
      <w:pPr>
        <w:pStyle w:val="ListNumber"/>
        <w:numPr>
          <w:ilvl w:val="0"/>
          <w:numId w:val="0"/>
        </w:numPr>
        <w:rPr>
          <w:rFonts w:cs="Arial"/>
        </w:rPr>
      </w:pPr>
      <w:r>
        <w:rPr>
          <w:rFonts w:cs="Arial"/>
        </w:rPr>
        <w:t xml:space="preserve">The </w:t>
      </w:r>
      <w:r w:rsidR="00D76BAE">
        <w:rPr>
          <w:rFonts w:cs="Arial"/>
        </w:rPr>
        <w:t xml:space="preserve">Scheme is successfully meeting the objects of the Act, </w:t>
      </w:r>
      <w:r w:rsidR="003730C8">
        <w:rPr>
          <w:rFonts w:cs="Arial"/>
        </w:rPr>
        <w:t>namely in</w:t>
      </w:r>
      <w:r w:rsidR="00D76BAE">
        <w:rPr>
          <w:rFonts w:cs="Arial"/>
        </w:rPr>
        <w:t xml:space="preserve"> ensuring the environmentally sustainable management, re-refining and reuse of used oils and support</w:t>
      </w:r>
      <w:r w:rsidR="00CD216C">
        <w:rPr>
          <w:rFonts w:cs="Arial"/>
        </w:rPr>
        <w:t>ing</w:t>
      </w:r>
      <w:r w:rsidR="00D76BAE">
        <w:rPr>
          <w:rFonts w:cs="Arial"/>
        </w:rPr>
        <w:t xml:space="preserve"> economic recycling options for used oils. </w:t>
      </w:r>
      <w:r w:rsidR="000C547C">
        <w:rPr>
          <w:rFonts w:cs="Arial"/>
        </w:rPr>
        <w:t>Levies collected and b</w:t>
      </w:r>
      <w:r w:rsidR="00D76BAE">
        <w:rPr>
          <w:rFonts w:cs="Arial"/>
        </w:rPr>
        <w:t>enefits pa</w:t>
      </w:r>
      <w:r w:rsidR="00E40FD3">
        <w:rPr>
          <w:rFonts w:cs="Arial"/>
        </w:rPr>
        <w:t>id</w:t>
      </w:r>
      <w:r w:rsidR="00D76BAE">
        <w:rPr>
          <w:rFonts w:cs="Arial"/>
        </w:rPr>
        <w:t xml:space="preserve"> under the Scheme for </w:t>
      </w:r>
      <w:r w:rsidR="000C547C">
        <w:rPr>
          <w:rFonts w:cs="Arial"/>
        </w:rPr>
        <w:t xml:space="preserve">collecting, </w:t>
      </w:r>
      <w:r>
        <w:rPr>
          <w:rFonts w:cs="Arial"/>
        </w:rPr>
        <w:t>recycling and re-refining of used oil ensure that this important resource continues to contribute to the supply of a range of fuels in the Australian market</w:t>
      </w:r>
      <w:r w:rsidR="000C547C">
        <w:rPr>
          <w:rFonts w:cs="Arial"/>
        </w:rPr>
        <w:t xml:space="preserve"> and reduces the amount of used oil entering the environment</w:t>
      </w:r>
      <w:r>
        <w:rPr>
          <w:rFonts w:cs="Arial"/>
        </w:rPr>
        <w:t>. Diverse markets for the products derived from used oil have resulted in a strong Australian market for feedstock and this is supported by a wide collection network and competition for used oil.</w:t>
      </w:r>
      <w:r w:rsidR="001E0783">
        <w:rPr>
          <w:rFonts w:cs="Arial"/>
        </w:rPr>
        <w:t xml:space="preserve"> </w:t>
      </w:r>
      <w:r w:rsidR="00D76BAE">
        <w:rPr>
          <w:rFonts w:cs="Arial"/>
        </w:rPr>
        <w:t xml:space="preserve"> </w:t>
      </w:r>
    </w:p>
    <w:p w14:paraId="5B45058C" w14:textId="77777777" w:rsidR="008815BE" w:rsidRDefault="000C547C" w:rsidP="00BA7A84">
      <w:pPr>
        <w:pStyle w:val="ListNumber"/>
        <w:numPr>
          <w:ilvl w:val="0"/>
          <w:numId w:val="0"/>
        </w:numPr>
        <w:rPr>
          <w:rFonts w:cs="Arial"/>
        </w:rPr>
      </w:pPr>
      <w:r>
        <w:rPr>
          <w:rFonts w:cs="Arial"/>
        </w:rPr>
        <w:t xml:space="preserve">The matter of the PSO Scheme being transferred to the </w:t>
      </w:r>
      <w:r w:rsidRPr="00F5701F">
        <w:rPr>
          <w:rFonts w:cs="Arial"/>
          <w:i/>
        </w:rPr>
        <w:t>Product Stewardship Act 2011</w:t>
      </w:r>
      <w:r>
        <w:rPr>
          <w:rFonts w:cs="Arial"/>
        </w:rPr>
        <w:t xml:space="preserve"> is considered separately in the response to Recommendation 13.</w:t>
      </w:r>
    </w:p>
    <w:p w14:paraId="5B45058D" w14:textId="77777777" w:rsidR="006907D5" w:rsidRDefault="001E0783" w:rsidP="00BA7A84">
      <w:pPr>
        <w:pStyle w:val="ListNumber"/>
        <w:numPr>
          <w:ilvl w:val="0"/>
          <w:numId w:val="0"/>
        </w:numPr>
        <w:rPr>
          <w:rFonts w:cs="Arial"/>
        </w:rPr>
      </w:pPr>
      <w:r>
        <w:rPr>
          <w:rFonts w:cs="Arial"/>
        </w:rPr>
        <w:t xml:space="preserve"> </w:t>
      </w:r>
    </w:p>
    <w:p w14:paraId="5B45058E" w14:textId="77777777" w:rsidR="002A7BB4" w:rsidRDefault="00474E78" w:rsidP="00BA7A84">
      <w:pPr>
        <w:pStyle w:val="Heading2"/>
        <w:spacing w:after="240"/>
        <w:ind w:right="-285"/>
      </w:pPr>
      <w:bookmarkStart w:id="6" w:name="_Toc461003993"/>
      <w:r>
        <w:t>2.2</w:t>
      </w:r>
      <w:r>
        <w:tab/>
      </w:r>
      <w:r w:rsidR="002A7BB4">
        <w:t xml:space="preserve">Levy </w:t>
      </w:r>
      <w:r w:rsidR="00253A13">
        <w:t>and benefit modifications</w:t>
      </w:r>
      <w:bookmarkEnd w:id="6"/>
      <w:r w:rsidR="00253A13">
        <w:t xml:space="preserve"> </w:t>
      </w:r>
    </w:p>
    <w:p w14:paraId="5B45058F" w14:textId="77777777" w:rsidR="007102F9" w:rsidRPr="00EC3F35" w:rsidRDefault="002A7BB4" w:rsidP="007D771E">
      <w:pPr>
        <w:pStyle w:val="ListParagraph"/>
        <w:pBdr>
          <w:top w:val="single" w:sz="4" w:space="1" w:color="auto"/>
          <w:left w:val="single" w:sz="4" w:space="4" w:color="auto"/>
          <w:bottom w:val="single" w:sz="4" w:space="1" w:color="auto"/>
          <w:right w:val="single" w:sz="4" w:space="4" w:color="auto"/>
        </w:pBdr>
        <w:spacing w:before="120"/>
        <w:ind w:left="0" w:right="-285" w:firstLine="11"/>
        <w:rPr>
          <w:b/>
        </w:rPr>
      </w:pPr>
      <w:r w:rsidRPr="00EC3F35">
        <w:rPr>
          <w:b/>
        </w:rPr>
        <w:t>Recommendation 2</w:t>
      </w:r>
      <w:r w:rsidR="00E73ABC" w:rsidRPr="00EC3F35">
        <w:rPr>
          <w:b/>
        </w:rPr>
        <w:t xml:space="preserve">: </w:t>
      </w:r>
    </w:p>
    <w:p w14:paraId="5B450590" w14:textId="77777777" w:rsidR="00253A13" w:rsidRPr="00EC3F35" w:rsidRDefault="00253A13" w:rsidP="007D771E">
      <w:pPr>
        <w:pStyle w:val="ListParagraph"/>
        <w:pBdr>
          <w:top w:val="single" w:sz="4" w:space="1" w:color="auto"/>
          <w:left w:val="single" w:sz="4" w:space="4" w:color="auto"/>
          <w:bottom w:val="single" w:sz="4" w:space="1" w:color="auto"/>
          <w:right w:val="single" w:sz="4" w:space="4" w:color="auto"/>
        </w:pBdr>
        <w:ind w:left="0" w:right="-285" w:firstLine="11"/>
      </w:pPr>
      <w:r w:rsidRPr="00EC3F35">
        <w:t xml:space="preserve">The PSO Scheme levy on oil sold should be increased to 7 cents per litre immediately. </w:t>
      </w:r>
    </w:p>
    <w:p w14:paraId="5B450591" w14:textId="77777777" w:rsidR="00EC3F35" w:rsidRDefault="00EC3F35" w:rsidP="00BA7A84">
      <w:pPr>
        <w:pStyle w:val="ListParagraph"/>
        <w:ind w:left="0" w:right="-285" w:firstLine="11"/>
        <w:rPr>
          <w:b/>
        </w:rPr>
      </w:pPr>
    </w:p>
    <w:p w14:paraId="5B450592" w14:textId="77777777" w:rsidR="00EC3F35" w:rsidRPr="00EC3F35" w:rsidRDefault="00EC3F35" w:rsidP="00BA7A84">
      <w:pPr>
        <w:pStyle w:val="ListParagraph"/>
        <w:ind w:left="0" w:right="-285" w:firstLine="11"/>
        <w:rPr>
          <w:b/>
        </w:rPr>
      </w:pPr>
      <w:r w:rsidRPr="00EC3F35">
        <w:rPr>
          <w:b/>
        </w:rPr>
        <w:t xml:space="preserve">Response </w:t>
      </w:r>
    </w:p>
    <w:p w14:paraId="5B450593" w14:textId="77777777" w:rsidR="00A91973" w:rsidRDefault="00105556" w:rsidP="00BA7A84">
      <w:pPr>
        <w:ind w:right="-285"/>
      </w:pPr>
      <w:r>
        <w:t>T</w:t>
      </w:r>
      <w:r w:rsidR="008B1882">
        <w:t>he r</w:t>
      </w:r>
      <w:r>
        <w:t xml:space="preserve">eviewers found that </w:t>
      </w:r>
      <w:r w:rsidR="006512F5">
        <w:t>the success of the PSO Scheme</w:t>
      </w:r>
      <w:r w:rsidR="00FA09B7">
        <w:t xml:space="preserve"> </w:t>
      </w:r>
      <w:r w:rsidR="004D7861">
        <w:t>lead to an average operational deficit of approximately $5 million per year, in the years prior to the review. I</w:t>
      </w:r>
      <w:r>
        <w:t>n driving increased recycling and</w:t>
      </w:r>
      <w:r w:rsidR="001E0783">
        <w:t xml:space="preserve">    </w:t>
      </w:r>
      <w:r w:rsidR="00CD216C">
        <w:t xml:space="preserve"> </w:t>
      </w:r>
      <w:r>
        <w:t>re-refining of used oil</w:t>
      </w:r>
      <w:r w:rsidR="00A33442">
        <w:t>,</w:t>
      </w:r>
      <w:r w:rsidR="00FA09B7">
        <w:t xml:space="preserve"> the total amount </w:t>
      </w:r>
      <w:r w:rsidR="00A33442">
        <w:t xml:space="preserve">of </w:t>
      </w:r>
      <w:r w:rsidR="00FA09B7">
        <w:t xml:space="preserve">benefits </w:t>
      </w:r>
      <w:r w:rsidR="00A33442">
        <w:t>claimed per year for the p</w:t>
      </w:r>
      <w:r w:rsidR="00FA09B7">
        <w:t xml:space="preserve">roducts </w:t>
      </w:r>
      <w:r w:rsidR="00A33442">
        <w:t xml:space="preserve">of re-refining exceeded the total levy collected. </w:t>
      </w:r>
      <w:r w:rsidR="004D7861">
        <w:t xml:space="preserve">This </w:t>
      </w:r>
      <w:r w:rsidR="00A33442">
        <w:t>deficit</w:t>
      </w:r>
      <w:r w:rsidR="00C2066C">
        <w:t xml:space="preserve"> </w:t>
      </w:r>
      <w:r w:rsidR="004D7861">
        <w:t xml:space="preserve">was projected to </w:t>
      </w:r>
      <w:r w:rsidR="00A33442">
        <w:t xml:space="preserve">continue to </w:t>
      </w:r>
      <w:r w:rsidR="00AD0681">
        <w:t xml:space="preserve">increase as the result of growth in </w:t>
      </w:r>
      <w:r w:rsidR="00C2066C">
        <w:t xml:space="preserve">Australia’s </w:t>
      </w:r>
      <w:r w:rsidR="00A91973">
        <w:t>re-refining</w:t>
      </w:r>
      <w:r w:rsidR="00AD0681">
        <w:t xml:space="preserve"> capacity</w:t>
      </w:r>
      <w:r w:rsidR="008F17D0">
        <w:t xml:space="preserve"> and increasing claims for Category 1 benefits</w:t>
      </w:r>
      <w:r w:rsidR="00055D38">
        <w:t xml:space="preserve">. </w:t>
      </w:r>
    </w:p>
    <w:p w14:paraId="5B450594" w14:textId="77777777" w:rsidR="009F473D" w:rsidRDefault="003F0A56" w:rsidP="00BA7A84">
      <w:pPr>
        <w:ind w:right="-285"/>
      </w:pPr>
      <w:r>
        <w:t xml:space="preserve">The Australian Government </w:t>
      </w:r>
      <w:r w:rsidR="004D7861">
        <w:t>implemented</w:t>
      </w:r>
      <w:r>
        <w:t xml:space="preserve"> </w:t>
      </w:r>
      <w:r w:rsidR="00121C43">
        <w:t>the recommendation to</w:t>
      </w:r>
      <w:r w:rsidR="006C3810">
        <w:t xml:space="preserve"> increase the levy</w:t>
      </w:r>
      <w:r>
        <w:t xml:space="preserve"> </w:t>
      </w:r>
      <w:r w:rsidR="00B67E35" w:rsidRPr="00F33E4E">
        <w:t xml:space="preserve">through </w:t>
      </w:r>
      <w:r w:rsidR="002A412B" w:rsidRPr="00F33E4E">
        <w:t>t</w:t>
      </w:r>
      <w:r w:rsidR="0055653D" w:rsidRPr="0055653D">
        <w:t xml:space="preserve">he </w:t>
      </w:r>
      <w:r w:rsidR="003437AC" w:rsidRPr="00F33E4E">
        <w:t xml:space="preserve">2014-15 </w:t>
      </w:r>
      <w:r w:rsidR="00307CE4">
        <w:t xml:space="preserve">Federal </w:t>
      </w:r>
      <w:r w:rsidR="006C3810">
        <w:t>Budget</w:t>
      </w:r>
      <w:r w:rsidR="00121C43">
        <w:t>,</w:t>
      </w:r>
      <w:r w:rsidR="006C3810">
        <w:t xml:space="preserve"> </w:t>
      </w:r>
      <w:r w:rsidR="004D7861">
        <w:t>with the aim of</w:t>
      </w:r>
      <w:r w:rsidR="006C3810">
        <w:t xml:space="preserve"> restoring </w:t>
      </w:r>
      <w:r w:rsidR="003437AC" w:rsidRPr="00F33E4E">
        <w:t>the scheme to a budget neutral position over the forward estimates period</w:t>
      </w:r>
      <w:r w:rsidR="006C3810">
        <w:t xml:space="preserve">. The levy was increased </w:t>
      </w:r>
      <w:r w:rsidR="003437AC" w:rsidRPr="00F33E4E">
        <w:t xml:space="preserve">from 5.449 to 8.5 </w:t>
      </w:r>
      <w:r w:rsidR="004505B1">
        <w:t>c</w:t>
      </w:r>
      <w:r w:rsidR="00A55AFF">
        <w:t>ents per litre</w:t>
      </w:r>
      <w:r w:rsidR="00307CE4">
        <w:t xml:space="preserve"> </w:t>
      </w:r>
      <w:r w:rsidR="003437AC" w:rsidRPr="00F33E4E">
        <w:t xml:space="preserve">of </w:t>
      </w:r>
      <w:r w:rsidR="006C3810">
        <w:t xml:space="preserve">new </w:t>
      </w:r>
      <w:r w:rsidR="003437AC" w:rsidRPr="00F33E4E">
        <w:t>oil</w:t>
      </w:r>
      <w:r w:rsidR="00307CE4">
        <w:t xml:space="preserve">, </w:t>
      </w:r>
      <w:r w:rsidR="00121C43">
        <w:t>an increase of 35.9</w:t>
      </w:r>
      <w:r w:rsidR="004D7861">
        <w:t xml:space="preserve"> percent</w:t>
      </w:r>
      <w:r w:rsidR="00CE427D">
        <w:t>,</w:t>
      </w:r>
      <w:r w:rsidR="00121C43">
        <w:t xml:space="preserve"> </w:t>
      </w:r>
      <w:r w:rsidR="00307CE4">
        <w:t>effe</w:t>
      </w:r>
      <w:r w:rsidR="0055653D" w:rsidRPr="0055653D">
        <w:t>ctiv</w:t>
      </w:r>
      <w:r w:rsidR="00121C43">
        <w:t>e from 1 July 2014.</w:t>
      </w:r>
      <w:r w:rsidR="0055653D" w:rsidRPr="0055653D">
        <w:t xml:space="preserve"> </w:t>
      </w:r>
    </w:p>
    <w:p w14:paraId="5B450595" w14:textId="77777777" w:rsidR="002C4F6B" w:rsidRDefault="00FE4BAA" w:rsidP="00BA7A84">
      <w:pPr>
        <w:ind w:right="-285"/>
      </w:pPr>
      <w:r w:rsidRPr="00F33E4E">
        <w:t>The decision to increase the levy reflect</w:t>
      </w:r>
      <w:r>
        <w:t>ed</w:t>
      </w:r>
      <w:r w:rsidRPr="00F33E4E">
        <w:t xml:space="preserve"> feedback from industry</w:t>
      </w:r>
      <w:r w:rsidR="00282F28">
        <w:t>,</w:t>
      </w:r>
      <w:r w:rsidRPr="00F33E4E">
        <w:t xml:space="preserve"> and the </w:t>
      </w:r>
      <w:r>
        <w:t xml:space="preserve">Australian </w:t>
      </w:r>
      <w:r w:rsidRPr="00F33E4E">
        <w:t>Government</w:t>
      </w:r>
      <w:r>
        <w:t>’s</w:t>
      </w:r>
      <w:r w:rsidRPr="00F33E4E">
        <w:t xml:space="preserve"> </w:t>
      </w:r>
      <w:r w:rsidR="00F5209E">
        <w:t xml:space="preserve">intention, stated in the Explanatory </w:t>
      </w:r>
      <w:r w:rsidR="002210C0">
        <w:t xml:space="preserve">Memorandum to the Act, that the benefits paid under the </w:t>
      </w:r>
      <w:r w:rsidR="00EE6065">
        <w:t xml:space="preserve">PSO </w:t>
      </w:r>
      <w:r w:rsidR="002210C0">
        <w:t>Scheme would be fully offset by the levy</w:t>
      </w:r>
      <w:r w:rsidR="007C3C3D">
        <w:t>.</w:t>
      </w:r>
      <w:r>
        <w:t xml:space="preserve"> </w:t>
      </w:r>
    </w:p>
    <w:p w14:paraId="5B450596" w14:textId="77777777" w:rsidR="003F0A56" w:rsidRDefault="003F0A56" w:rsidP="00BA7A84">
      <w:pPr>
        <w:ind w:right="-285"/>
      </w:pPr>
      <w:r>
        <w:t xml:space="preserve">The increase was 1.5 </w:t>
      </w:r>
      <w:r w:rsidR="00685F20">
        <w:t>cents per litre</w:t>
      </w:r>
      <w:r w:rsidR="001E0783">
        <w:t xml:space="preserve"> </w:t>
      </w:r>
      <w:r>
        <w:t>higher than the increase specified in Recommendation 2</w:t>
      </w:r>
      <w:r w:rsidR="00BE4F9D">
        <w:t xml:space="preserve"> and c</w:t>
      </w:r>
      <w:r w:rsidR="00A55AFF">
        <w:t xml:space="preserve">ould </w:t>
      </w:r>
      <w:r w:rsidR="00BE4F9D">
        <w:t xml:space="preserve">therefore be expected to </w:t>
      </w:r>
      <w:r w:rsidR="00AF6DF9">
        <w:t>go</w:t>
      </w:r>
      <w:r w:rsidR="00BE4F9D">
        <w:t xml:space="preserve"> further towards addressing the Scheme’s structural imbalance than the level of adjustment proposed by the reviewers.</w:t>
      </w:r>
      <w:r w:rsidR="0005700F">
        <w:t xml:space="preserve"> </w:t>
      </w:r>
    </w:p>
    <w:p w14:paraId="5B450597" w14:textId="77777777" w:rsidR="008815BE" w:rsidRDefault="008815BE" w:rsidP="00BA7A84">
      <w:pPr>
        <w:ind w:right="-285"/>
      </w:pPr>
    </w:p>
    <w:p w14:paraId="5B450598" w14:textId="77777777" w:rsidR="007102F9" w:rsidRPr="00875283" w:rsidRDefault="002A7BB4" w:rsidP="00875283">
      <w:pPr>
        <w:pStyle w:val="ListParagraph"/>
        <w:pBdr>
          <w:top w:val="single" w:sz="4" w:space="1" w:color="auto"/>
          <w:left w:val="single" w:sz="4" w:space="4" w:color="auto"/>
          <w:bottom w:val="single" w:sz="4" w:space="1" w:color="auto"/>
          <w:right w:val="single" w:sz="4" w:space="4" w:color="auto"/>
        </w:pBdr>
        <w:ind w:left="0" w:right="-285" w:firstLine="11"/>
        <w:rPr>
          <w:b/>
        </w:rPr>
      </w:pPr>
      <w:r w:rsidRPr="00875283">
        <w:rPr>
          <w:b/>
        </w:rPr>
        <w:t>Recommendation 3</w:t>
      </w:r>
      <w:r w:rsidR="00E73ABC" w:rsidRPr="00875283">
        <w:rPr>
          <w:b/>
        </w:rPr>
        <w:t xml:space="preserve">: </w:t>
      </w:r>
    </w:p>
    <w:p w14:paraId="5B450599" w14:textId="77777777" w:rsidR="007102F9" w:rsidRDefault="002A7BB4" w:rsidP="007D771E">
      <w:pPr>
        <w:pStyle w:val="ListParagraph"/>
        <w:pBdr>
          <w:top w:val="single" w:sz="4" w:space="1" w:color="auto"/>
          <w:left w:val="single" w:sz="4" w:space="4" w:color="auto"/>
          <w:bottom w:val="single" w:sz="4" w:space="1" w:color="auto"/>
          <w:right w:val="single" w:sz="4" w:space="4" w:color="auto"/>
        </w:pBdr>
        <w:ind w:left="0" w:right="-285" w:firstLine="11"/>
      </w:pPr>
      <w:r w:rsidRPr="002A2A9D">
        <w:t xml:space="preserve">The Category 1 benefit </w:t>
      </w:r>
      <w:r w:rsidR="007102F9">
        <w:t xml:space="preserve">for base oils must be reduced to 45 </w:t>
      </w:r>
      <w:r w:rsidR="00685F20">
        <w:t>cents per litre</w:t>
      </w:r>
      <w:r w:rsidR="001E0783">
        <w:t xml:space="preserve"> </w:t>
      </w:r>
      <w:r w:rsidR="007102F9">
        <w:t xml:space="preserve">immediately and incrementally phased down at 5 </w:t>
      </w:r>
      <w:r w:rsidR="00685F20">
        <w:t>cents per litre</w:t>
      </w:r>
      <w:r w:rsidR="001E0783">
        <w:t xml:space="preserve"> </w:t>
      </w:r>
      <w:r w:rsidR="007102F9">
        <w:t xml:space="preserve">increments every two years thereafter, until it reaches 25 </w:t>
      </w:r>
      <w:r w:rsidR="00685F20">
        <w:t>cents per litre</w:t>
      </w:r>
      <w:r w:rsidR="007102F9">
        <w:t xml:space="preserve">. </w:t>
      </w:r>
    </w:p>
    <w:p w14:paraId="5B45059A" w14:textId="77777777" w:rsidR="007F35EA" w:rsidRDefault="007F35EA" w:rsidP="00BA7A84">
      <w:pPr>
        <w:pStyle w:val="ListParagraph"/>
        <w:ind w:left="0" w:right="-285" w:firstLine="11"/>
        <w:rPr>
          <w:b/>
        </w:rPr>
      </w:pPr>
    </w:p>
    <w:p w14:paraId="5B45059B" w14:textId="77777777" w:rsidR="007F35EA" w:rsidRPr="00EC3F35" w:rsidRDefault="007F35EA" w:rsidP="00BA7A84">
      <w:pPr>
        <w:pStyle w:val="ListParagraph"/>
        <w:ind w:left="0" w:right="-285" w:firstLine="11"/>
        <w:rPr>
          <w:b/>
        </w:rPr>
      </w:pPr>
      <w:r w:rsidRPr="00EC3F35">
        <w:rPr>
          <w:b/>
        </w:rPr>
        <w:t xml:space="preserve">Response </w:t>
      </w:r>
    </w:p>
    <w:p w14:paraId="5B45059C" w14:textId="77777777" w:rsidR="00304306" w:rsidRDefault="00F57F3D" w:rsidP="00BA7A84">
      <w:pPr>
        <w:ind w:right="-285"/>
      </w:pPr>
      <w:r>
        <w:t>This recommendation aims to address the benefit side of the Scheme’s structural imbalance. As the</w:t>
      </w:r>
      <w:r w:rsidR="00B4427A">
        <w:t xml:space="preserve"> levy side of the imbalance was addressed to a greater degree</w:t>
      </w:r>
      <w:r w:rsidR="00CD216C">
        <w:t xml:space="preserve"> than that recommended by the reviewers</w:t>
      </w:r>
      <w:r w:rsidR="00304306">
        <w:t>, t</w:t>
      </w:r>
      <w:r w:rsidR="001C67AB">
        <w:t>he Australian Government considers that it is important to</w:t>
      </w:r>
      <w:r w:rsidR="00B66704">
        <w:t xml:space="preserve"> allow </w:t>
      </w:r>
      <w:r w:rsidR="00E61343">
        <w:t>sufficient</w:t>
      </w:r>
      <w:r w:rsidR="00B66704">
        <w:t xml:space="preserve"> time </w:t>
      </w:r>
      <w:r w:rsidR="00E61343">
        <w:t xml:space="preserve">(e.g. the four year review period) </w:t>
      </w:r>
      <w:r w:rsidR="00B66704">
        <w:t>to</w:t>
      </w:r>
      <w:r w:rsidR="001C67AB">
        <w:t xml:space="preserve"> </w:t>
      </w:r>
      <w:r w:rsidR="00496453">
        <w:t xml:space="preserve">monitor </w:t>
      </w:r>
      <w:r w:rsidR="001C67AB">
        <w:t xml:space="preserve">the impact of </w:t>
      </w:r>
      <w:r w:rsidR="00883C08">
        <w:t xml:space="preserve">the increased </w:t>
      </w:r>
      <w:r w:rsidR="00496453">
        <w:t xml:space="preserve">levy on </w:t>
      </w:r>
      <w:r w:rsidR="00B9523C">
        <w:t xml:space="preserve">the </w:t>
      </w:r>
      <w:r w:rsidR="006733E3">
        <w:t>scheme</w:t>
      </w:r>
      <w:r w:rsidR="007255D5">
        <w:t>’s effectiveness</w:t>
      </w:r>
      <w:r w:rsidR="00496453">
        <w:t xml:space="preserve"> before amending benefits</w:t>
      </w:r>
      <w:r w:rsidR="00132FBD">
        <w:t xml:space="preserve">. </w:t>
      </w:r>
    </w:p>
    <w:p w14:paraId="5B45059D" w14:textId="77777777" w:rsidR="006733E3" w:rsidRDefault="00E61343" w:rsidP="00BA7A84">
      <w:pPr>
        <w:ind w:right="-285"/>
      </w:pPr>
      <w:r>
        <w:t>Accordingly</w:t>
      </w:r>
      <w:r w:rsidR="006733E3">
        <w:t xml:space="preserve">, </w:t>
      </w:r>
      <w:r w:rsidR="00E375EB">
        <w:t xml:space="preserve">the Australian Government has decided not to </w:t>
      </w:r>
      <w:r w:rsidR="00042A52">
        <w:t>implement changes to benefits</w:t>
      </w:r>
      <w:r w:rsidR="00E375EB">
        <w:t xml:space="preserve"> </w:t>
      </w:r>
      <w:r w:rsidR="00496453">
        <w:t>at this stage</w:t>
      </w:r>
      <w:r w:rsidR="004A1022">
        <w:t>.</w:t>
      </w:r>
      <w:r w:rsidR="004505B1">
        <w:t xml:space="preserve"> </w:t>
      </w:r>
    </w:p>
    <w:p w14:paraId="5B45059E" w14:textId="77777777" w:rsidR="002D39C8" w:rsidRDefault="002D39C8" w:rsidP="00744EF6">
      <w:pPr>
        <w:ind w:right="-285"/>
      </w:pPr>
    </w:p>
    <w:p w14:paraId="5B45059F" w14:textId="77777777" w:rsidR="007F79E5" w:rsidRPr="007F79E5" w:rsidRDefault="007F79E5" w:rsidP="007D771E">
      <w:pPr>
        <w:pStyle w:val="ListParagraph"/>
        <w:pBdr>
          <w:top w:val="single" w:sz="4" w:space="1" w:color="auto"/>
          <w:left w:val="single" w:sz="4" w:space="4" w:color="auto"/>
          <w:bottom w:val="single" w:sz="4" w:space="1" w:color="auto"/>
          <w:right w:val="single" w:sz="4" w:space="4" w:color="auto"/>
        </w:pBdr>
        <w:ind w:left="0" w:right="-285" w:firstLine="11"/>
        <w:rPr>
          <w:b/>
        </w:rPr>
      </w:pPr>
      <w:r w:rsidRPr="007F79E5">
        <w:rPr>
          <w:b/>
        </w:rPr>
        <w:t xml:space="preserve">Recommendation 4: </w:t>
      </w:r>
    </w:p>
    <w:p w14:paraId="5B4505A0" w14:textId="77777777" w:rsidR="007F79E5" w:rsidRPr="002A2A9D" w:rsidRDefault="007F79E5" w:rsidP="007D771E">
      <w:pPr>
        <w:pStyle w:val="ListParagraph"/>
        <w:pBdr>
          <w:top w:val="single" w:sz="4" w:space="1" w:color="auto"/>
          <w:left w:val="single" w:sz="4" w:space="4" w:color="auto"/>
          <w:bottom w:val="single" w:sz="4" w:space="1" w:color="auto"/>
          <w:right w:val="single" w:sz="4" w:space="4" w:color="auto"/>
        </w:pBdr>
        <w:ind w:left="0" w:right="-285" w:firstLine="11"/>
      </w:pPr>
      <w:r>
        <w:t>Category 6 b</w:t>
      </w:r>
      <w:r w:rsidRPr="002A2A9D">
        <w:t xml:space="preserve">enefit payments for low grade fuel oils </w:t>
      </w:r>
      <w:r>
        <w:t xml:space="preserve">should </w:t>
      </w:r>
      <w:r w:rsidRPr="002A2A9D">
        <w:t>be discontinued immediately</w:t>
      </w:r>
      <w:r>
        <w:t>,</w:t>
      </w:r>
      <w:r w:rsidRPr="002A2A9D">
        <w:t xml:space="preserve"> regardless of whether they are produced from a re-refinery or from a simple filtering and de-watering process.</w:t>
      </w:r>
    </w:p>
    <w:p w14:paraId="5B4505A1" w14:textId="77777777" w:rsidR="007F35EA" w:rsidRDefault="007F35EA" w:rsidP="00BA7A84">
      <w:pPr>
        <w:pStyle w:val="ListParagraph"/>
        <w:ind w:left="0" w:right="-285" w:firstLine="11"/>
        <w:rPr>
          <w:b/>
        </w:rPr>
      </w:pPr>
    </w:p>
    <w:p w14:paraId="5B4505A2" w14:textId="77777777" w:rsidR="007F35EA" w:rsidRPr="00EC3F35" w:rsidRDefault="007F35EA" w:rsidP="00BA7A84">
      <w:pPr>
        <w:pStyle w:val="ListParagraph"/>
        <w:ind w:left="0" w:right="-285" w:firstLine="11"/>
        <w:rPr>
          <w:b/>
        </w:rPr>
      </w:pPr>
      <w:r w:rsidRPr="00EC3F35">
        <w:rPr>
          <w:b/>
        </w:rPr>
        <w:t xml:space="preserve">Response </w:t>
      </w:r>
    </w:p>
    <w:p w14:paraId="5B4505A3" w14:textId="77777777" w:rsidR="00221518" w:rsidRDefault="00221518" w:rsidP="00221518">
      <w:pPr>
        <w:ind w:right="-285"/>
      </w:pPr>
      <w:r>
        <w:t xml:space="preserve">The Australian Government supports Recommendation 4. Category 6 is now redundant and will be deleted when amendments to the Regulations next </w:t>
      </w:r>
      <w:r w:rsidR="0008697F">
        <w:t>occur</w:t>
      </w:r>
      <w:r>
        <w:t>.</w:t>
      </w:r>
      <w:r w:rsidR="001E0783">
        <w:t xml:space="preserve"> </w:t>
      </w:r>
    </w:p>
    <w:p w14:paraId="5B4505A4" w14:textId="77777777" w:rsidR="000A19DD" w:rsidRDefault="007F79E5" w:rsidP="00BA7A84">
      <w:pPr>
        <w:ind w:right="-285"/>
      </w:pPr>
      <w:r w:rsidRPr="006D47F8">
        <w:t xml:space="preserve">In 2013, the Administrative Appeals Tribunal (AAT) upheld an appeal by an oil recycler and </w:t>
      </w:r>
      <w:r>
        <w:t xml:space="preserve">found that Category 6 recycled oil was not subject to excise because it had not </w:t>
      </w:r>
      <w:r>
        <w:lastRenderedPageBreak/>
        <w:t xml:space="preserve">been </w:t>
      </w:r>
      <w:r w:rsidRPr="005822D4">
        <w:t>‘manufactured or produced’</w:t>
      </w:r>
      <w:r>
        <w:t xml:space="preserve"> according to</w:t>
      </w:r>
      <w:r w:rsidR="00B27B2E">
        <w:t xml:space="preserve"> its ordinary meaning for the purposes of</w:t>
      </w:r>
      <w:r>
        <w:t xml:space="preserve"> the </w:t>
      </w:r>
      <w:r>
        <w:rPr>
          <w:i/>
        </w:rPr>
        <w:t>Excise Tariff Act 1921</w:t>
      </w:r>
      <w:r>
        <w:t xml:space="preserve">. </w:t>
      </w:r>
    </w:p>
    <w:p w14:paraId="5B4505A5" w14:textId="77777777" w:rsidR="007F79E5" w:rsidRDefault="000A19DD" w:rsidP="00BA7A84">
      <w:pPr>
        <w:ind w:right="-285"/>
      </w:pPr>
      <w:r>
        <w:t xml:space="preserve">The AAT found that </w:t>
      </w:r>
      <w:r w:rsidR="007F79E5">
        <w:t xml:space="preserve">the used oil </w:t>
      </w:r>
      <w:r w:rsidR="00E37019">
        <w:t xml:space="preserve">in question </w:t>
      </w:r>
      <w:r w:rsidR="007F79E5">
        <w:t xml:space="preserve">was subjected to filtering and de-watering only, </w:t>
      </w:r>
      <w:r>
        <w:t xml:space="preserve">and so </w:t>
      </w:r>
      <w:r w:rsidR="007F79E5">
        <w:t xml:space="preserve">could not be deemed </w:t>
      </w:r>
      <w:r w:rsidR="00E37019">
        <w:t xml:space="preserve">to be </w:t>
      </w:r>
      <w:r w:rsidR="007F79E5">
        <w:t xml:space="preserve">a manufactured or produced product. </w:t>
      </w:r>
      <w:r w:rsidR="00443A07" w:rsidRPr="00443A07">
        <w:t>The</w:t>
      </w:r>
      <w:r>
        <w:t>ir</w:t>
      </w:r>
      <w:r w:rsidR="00443A07" w:rsidRPr="00443A07">
        <w:t xml:space="preserve"> decision implied </w:t>
      </w:r>
      <w:r w:rsidR="00443A07">
        <w:t xml:space="preserve">that </w:t>
      </w:r>
      <w:r w:rsidR="00443A07" w:rsidRPr="00443A07">
        <w:t xml:space="preserve">the same quantity of used oil </w:t>
      </w:r>
      <w:r>
        <w:t>that</w:t>
      </w:r>
      <w:r w:rsidR="00443A07" w:rsidRPr="00443A07">
        <w:t xml:space="preserve"> undergoes</w:t>
      </w:r>
      <w:r w:rsidR="009B2BBD">
        <w:t xml:space="preserve"> a filtering and de</w:t>
      </w:r>
      <w:r w:rsidR="00443A07">
        <w:t>-</w:t>
      </w:r>
      <w:r w:rsidR="009B2BBD">
        <w:t>watering process</w:t>
      </w:r>
      <w:r w:rsidR="00443A07">
        <w:t xml:space="preserve"> only</w:t>
      </w:r>
      <w:r w:rsidR="009B2BBD">
        <w:t xml:space="preserve"> cannot </w:t>
      </w:r>
      <w:r w:rsidR="00CF14CF">
        <w:t>meet the requirement of</w:t>
      </w:r>
      <w:r w:rsidR="009B2BBD">
        <w:t xml:space="preserve"> </w:t>
      </w:r>
      <w:r w:rsidR="003F34B0" w:rsidRPr="009202D7">
        <w:t>goods ‘produced’ from used oil</w:t>
      </w:r>
      <w:r w:rsidR="009B2BBD">
        <w:t xml:space="preserve"> as defined in the PSO Act</w:t>
      </w:r>
      <w:r w:rsidR="00C116FF">
        <w:t>.</w:t>
      </w:r>
      <w:r w:rsidR="009B2BBD">
        <w:t xml:space="preserve"> </w:t>
      </w:r>
      <w:r>
        <w:t>This decision</w:t>
      </w:r>
      <w:r w:rsidR="007F79E5">
        <w:t xml:space="preserve"> meant that </w:t>
      </w:r>
      <w:r w:rsidR="00E37019">
        <w:t xml:space="preserve">oil in Category 6, i.e. ‘Low grade industrial burning oils (filtered and de-watered)’, </w:t>
      </w:r>
      <w:r w:rsidR="007F79E5">
        <w:t xml:space="preserve">was not subject to excise and </w:t>
      </w:r>
      <w:r w:rsidR="009B2BBD">
        <w:t>by implication</w:t>
      </w:r>
      <w:r w:rsidR="007F79E5">
        <w:t>, ineligible for benefit payments under the scheme.</w:t>
      </w:r>
      <w:r w:rsidR="00633974">
        <w:t xml:space="preserve"> </w:t>
      </w:r>
      <w:r w:rsidR="007F79E5">
        <w:t>The A</w:t>
      </w:r>
      <w:r w:rsidR="00E37019">
        <w:t xml:space="preserve">ustralian </w:t>
      </w:r>
      <w:r w:rsidR="007F79E5">
        <w:t>T</w:t>
      </w:r>
      <w:r w:rsidR="00E37019">
        <w:t>ax Office</w:t>
      </w:r>
      <w:r w:rsidR="007F79E5">
        <w:t xml:space="preserve"> ceased </w:t>
      </w:r>
      <w:r w:rsidR="005822D4">
        <w:t xml:space="preserve">the </w:t>
      </w:r>
      <w:r w:rsidR="007F79E5">
        <w:t xml:space="preserve">payment of </w:t>
      </w:r>
      <w:r w:rsidR="005822D4">
        <w:t xml:space="preserve">benefit for all </w:t>
      </w:r>
      <w:r w:rsidR="007F79E5">
        <w:t>Category 6</w:t>
      </w:r>
      <w:r w:rsidR="005822D4">
        <w:t xml:space="preserve"> products </w:t>
      </w:r>
      <w:r w:rsidR="007F79E5">
        <w:t>following the AAT decision in 2013</w:t>
      </w:r>
      <w:r w:rsidR="005822D4">
        <w:t xml:space="preserve">. </w:t>
      </w:r>
    </w:p>
    <w:p w14:paraId="5B4505A6" w14:textId="77777777" w:rsidR="008815BE" w:rsidRDefault="008815BE" w:rsidP="00BA7A84">
      <w:pPr>
        <w:ind w:right="-285"/>
      </w:pPr>
    </w:p>
    <w:p w14:paraId="5B4505A7" w14:textId="77777777" w:rsidR="002A7BB4" w:rsidRDefault="00474E78" w:rsidP="00BA7A84">
      <w:pPr>
        <w:pStyle w:val="Heading2"/>
        <w:spacing w:after="240"/>
        <w:ind w:right="-285"/>
      </w:pPr>
      <w:bookmarkStart w:id="7" w:name="_Toc461003994"/>
      <w:r>
        <w:t>2.3</w:t>
      </w:r>
      <w:r>
        <w:tab/>
      </w:r>
      <w:r w:rsidR="007F79E5">
        <w:t>Definition</w:t>
      </w:r>
      <w:r w:rsidR="001C7D80">
        <w:t>s</w:t>
      </w:r>
      <w:r w:rsidR="007F79E5">
        <w:t xml:space="preserve"> and compliance</w:t>
      </w:r>
      <w:bookmarkEnd w:id="7"/>
      <w:r w:rsidR="007F79E5">
        <w:t xml:space="preserve"> </w:t>
      </w:r>
    </w:p>
    <w:p w14:paraId="5B4505A8" w14:textId="77777777" w:rsidR="007F79E5" w:rsidRDefault="002A7BB4" w:rsidP="007D771E">
      <w:pPr>
        <w:pStyle w:val="ListParagraph"/>
        <w:pBdr>
          <w:top w:val="single" w:sz="4" w:space="1" w:color="auto"/>
          <w:left w:val="single" w:sz="4" w:space="4" w:color="auto"/>
          <w:bottom w:val="single" w:sz="4" w:space="1" w:color="auto"/>
          <w:right w:val="single" w:sz="4" w:space="4" w:color="auto"/>
        </w:pBdr>
        <w:ind w:left="0" w:right="-285"/>
      </w:pPr>
      <w:r w:rsidRPr="007F79E5">
        <w:rPr>
          <w:b/>
        </w:rPr>
        <w:t>Recommendation 5</w:t>
      </w:r>
      <w:r w:rsidR="00687D42" w:rsidRPr="007F79E5">
        <w:rPr>
          <w:b/>
        </w:rPr>
        <w:t>:</w:t>
      </w:r>
      <w:r w:rsidR="00687D42" w:rsidRPr="005F7BF0">
        <w:t xml:space="preserve"> </w:t>
      </w:r>
    </w:p>
    <w:p w14:paraId="5B4505A9" w14:textId="77777777" w:rsidR="002A7BB4" w:rsidRPr="005F7BF0" w:rsidRDefault="007F79E5" w:rsidP="007D771E">
      <w:pPr>
        <w:pStyle w:val="ListParagraph"/>
        <w:pBdr>
          <w:top w:val="single" w:sz="4" w:space="1" w:color="auto"/>
          <w:left w:val="single" w:sz="4" w:space="4" w:color="auto"/>
          <w:bottom w:val="single" w:sz="4" w:space="1" w:color="auto"/>
          <w:right w:val="single" w:sz="4" w:space="4" w:color="auto"/>
        </w:pBdr>
        <w:ind w:left="0" w:right="-285"/>
      </w:pPr>
      <w:r>
        <w:t xml:space="preserve">PSO </w:t>
      </w:r>
      <w:r w:rsidR="002A7BB4" w:rsidRPr="005F7BF0">
        <w:t xml:space="preserve">Scheme benefit categories </w:t>
      </w:r>
      <w:r>
        <w:t xml:space="preserve">should </w:t>
      </w:r>
      <w:r w:rsidR="002A7BB4" w:rsidRPr="005F7BF0">
        <w:t>be rationalised</w:t>
      </w:r>
      <w:r>
        <w:t xml:space="preserve"> where they are redundant, all categories should be modified such that they are based on </w:t>
      </w:r>
      <w:r w:rsidR="002A7BB4" w:rsidRPr="005F7BF0">
        <w:t xml:space="preserve">objective output standards or specifications, </w:t>
      </w:r>
      <w:r w:rsidR="001C7D80">
        <w:t xml:space="preserve">and </w:t>
      </w:r>
      <w:r w:rsidR="002A7BB4" w:rsidRPr="005F7BF0">
        <w:t xml:space="preserve">audits, </w:t>
      </w:r>
      <w:r w:rsidR="001C7D80">
        <w:t xml:space="preserve">independent </w:t>
      </w:r>
      <w:r w:rsidR="002A7BB4" w:rsidRPr="005F7BF0">
        <w:t xml:space="preserve">spot checks and testing </w:t>
      </w:r>
      <w:r w:rsidR="001C7D80">
        <w:t xml:space="preserve">should be </w:t>
      </w:r>
      <w:r w:rsidR="002A7BB4" w:rsidRPr="005F7BF0">
        <w:t>applied to all benefit claimants.</w:t>
      </w:r>
    </w:p>
    <w:p w14:paraId="5B4505AA" w14:textId="77777777" w:rsidR="007F35EA" w:rsidRDefault="007F35EA" w:rsidP="00BA7A84">
      <w:pPr>
        <w:pStyle w:val="ListParagraph"/>
        <w:ind w:left="0" w:right="-285" w:firstLine="11"/>
        <w:rPr>
          <w:b/>
        </w:rPr>
      </w:pPr>
    </w:p>
    <w:p w14:paraId="5B4505AB" w14:textId="77777777" w:rsidR="007F35EA" w:rsidRPr="00EC3F35" w:rsidRDefault="007F35EA" w:rsidP="00BA7A84">
      <w:pPr>
        <w:pStyle w:val="ListParagraph"/>
        <w:ind w:left="0" w:right="-285" w:firstLine="11"/>
        <w:rPr>
          <w:b/>
        </w:rPr>
      </w:pPr>
      <w:r w:rsidRPr="00EC3F35">
        <w:rPr>
          <w:b/>
        </w:rPr>
        <w:t xml:space="preserve">Response </w:t>
      </w:r>
    </w:p>
    <w:p w14:paraId="5B4505AC" w14:textId="77777777" w:rsidR="00910F2F" w:rsidRDefault="00910F2F" w:rsidP="00910F2F">
      <w:pPr>
        <w:ind w:right="-285"/>
      </w:pPr>
      <w:r>
        <w:t>The Australian Government supports</w:t>
      </w:r>
      <w:r w:rsidR="00AD6B33">
        <w:t xml:space="preserve"> in principle</w:t>
      </w:r>
      <w:r>
        <w:t xml:space="preserve"> the rationalisation of benefit categories where they are redundant</w:t>
      </w:r>
      <w:r w:rsidR="001C5281">
        <w:t>,</w:t>
      </w:r>
      <w:r>
        <w:t xml:space="preserve"> as well as the concept of output standards or specifications. </w:t>
      </w:r>
      <w:r w:rsidR="00AD6B33">
        <w:t xml:space="preserve">A </w:t>
      </w:r>
      <w:r w:rsidR="00DA0BC1">
        <w:t xml:space="preserve">detailed technical analysis and extensive consultation </w:t>
      </w:r>
      <w:r w:rsidR="00AD6B33">
        <w:t>will be required in order to determine optimal settings prior to any changes</w:t>
      </w:r>
      <w:r w:rsidR="00DA0BC1">
        <w:t>, particularly given the potential for re-categorisation of some recycled oil products.</w:t>
      </w:r>
    </w:p>
    <w:p w14:paraId="5B4505AD" w14:textId="77777777" w:rsidR="003131D8" w:rsidRDefault="008956D1" w:rsidP="00BA7A84">
      <w:pPr>
        <w:ind w:right="-285"/>
      </w:pPr>
      <w:r>
        <w:t>The Review Report identified shortcomings in the definitions of the Categories for benefits and stated that a number of submissions to the review</w:t>
      </w:r>
      <w:r w:rsidR="003131D8">
        <w:t xml:space="preserve"> had called for more auditing. The </w:t>
      </w:r>
      <w:r w:rsidR="007D4EA6">
        <w:t xml:space="preserve">Report noted that the </w:t>
      </w:r>
      <w:r w:rsidR="003131D8">
        <w:t xml:space="preserve">absence of </w:t>
      </w:r>
      <w:r w:rsidR="004F179E">
        <w:t>tec</w:t>
      </w:r>
      <w:r w:rsidR="003131D8">
        <w:t xml:space="preserve">hnical standards and </w:t>
      </w:r>
      <w:r w:rsidR="00C45020">
        <w:t xml:space="preserve">the lack of </w:t>
      </w:r>
      <w:r w:rsidR="00511502">
        <w:t xml:space="preserve">steps to ensure </w:t>
      </w:r>
      <w:r w:rsidR="003131D8">
        <w:t>compliance are seen to threaten the credibility and integrity of the PSO Scheme</w:t>
      </w:r>
      <w:r w:rsidR="00055D38">
        <w:t>.</w:t>
      </w:r>
      <w:r w:rsidR="001E0783">
        <w:t xml:space="preserve"> </w:t>
      </w:r>
      <w:r w:rsidR="0080087B" w:rsidRPr="00670E4B">
        <w:t xml:space="preserve"> </w:t>
      </w:r>
    </w:p>
    <w:p w14:paraId="5B4505AE" w14:textId="77777777" w:rsidR="008F21F6" w:rsidRDefault="00910F2F" w:rsidP="00BA7A84">
      <w:pPr>
        <w:ind w:right="-285"/>
      </w:pPr>
      <w:r>
        <w:t>With regard to independent spot checks and testing, t</w:t>
      </w:r>
      <w:r w:rsidR="008F21F6">
        <w:t>he Australian Tax</w:t>
      </w:r>
      <w:r>
        <w:t>ation</w:t>
      </w:r>
      <w:r w:rsidR="008F21F6">
        <w:t xml:space="preserve"> Office undertakes audits a</w:t>
      </w:r>
      <w:r>
        <w:t xml:space="preserve">nd </w:t>
      </w:r>
      <w:r w:rsidR="000E304C">
        <w:t xml:space="preserve">independent </w:t>
      </w:r>
      <w:r>
        <w:t xml:space="preserve">testing </w:t>
      </w:r>
      <w:r w:rsidR="000E304C">
        <w:t xml:space="preserve">of Category 1 oil </w:t>
      </w:r>
      <w:r>
        <w:t>on a risk basis. T</w:t>
      </w:r>
      <w:r w:rsidR="008F21F6">
        <w:t xml:space="preserve">his approach has proved to be effective and efficient. The Australian Government </w:t>
      </w:r>
      <w:r w:rsidR="00300E2F">
        <w:t xml:space="preserve">does not support </w:t>
      </w:r>
      <w:r>
        <w:t>a change to this aspect of the Scheme at this time</w:t>
      </w:r>
      <w:r w:rsidR="00300E2F">
        <w:t>.</w:t>
      </w:r>
      <w:r w:rsidR="001E0783">
        <w:t xml:space="preserve"> </w:t>
      </w:r>
    </w:p>
    <w:p w14:paraId="5B4505AF" w14:textId="77777777" w:rsidR="008815BE" w:rsidRDefault="008815BE" w:rsidP="00BA7A84">
      <w:pPr>
        <w:ind w:right="-285"/>
      </w:pPr>
    </w:p>
    <w:p w14:paraId="5B4505B0" w14:textId="77777777" w:rsidR="0041027E" w:rsidRDefault="0041027E" w:rsidP="00BA7A84">
      <w:pPr>
        <w:pStyle w:val="Heading2"/>
        <w:spacing w:after="240"/>
        <w:ind w:right="-285"/>
      </w:pPr>
      <w:bookmarkStart w:id="8" w:name="_Toc461003995"/>
      <w:r>
        <w:t>2.4</w:t>
      </w:r>
      <w:r>
        <w:tab/>
        <w:t>Imports and exports</w:t>
      </w:r>
      <w:bookmarkEnd w:id="8"/>
      <w:r w:rsidR="001E0783">
        <w:t xml:space="preserve"> </w:t>
      </w:r>
    </w:p>
    <w:p w14:paraId="5B4505B1" w14:textId="77777777" w:rsidR="001C7D80" w:rsidRPr="001C7D80" w:rsidRDefault="002A7BB4" w:rsidP="007D771E">
      <w:pPr>
        <w:pStyle w:val="ListParagraph"/>
        <w:pBdr>
          <w:top w:val="single" w:sz="4" w:space="1" w:color="auto"/>
          <w:left w:val="single" w:sz="4" w:space="4" w:color="auto"/>
          <w:bottom w:val="single" w:sz="4" w:space="1" w:color="auto"/>
          <w:right w:val="single" w:sz="4" w:space="4" w:color="auto"/>
        </w:pBdr>
        <w:ind w:left="0" w:right="-285"/>
        <w:rPr>
          <w:b/>
        </w:rPr>
      </w:pPr>
      <w:r w:rsidRPr="001C7D80">
        <w:rPr>
          <w:b/>
        </w:rPr>
        <w:t>Recommendation 6</w:t>
      </w:r>
      <w:r w:rsidR="0080087B" w:rsidRPr="001C7D80">
        <w:rPr>
          <w:b/>
        </w:rPr>
        <w:t xml:space="preserve">: </w:t>
      </w:r>
    </w:p>
    <w:p w14:paraId="5B4505B2" w14:textId="77777777" w:rsidR="0041027E" w:rsidRDefault="002A7BB4" w:rsidP="007D771E">
      <w:pPr>
        <w:pStyle w:val="ListParagraph"/>
        <w:pBdr>
          <w:top w:val="single" w:sz="4" w:space="1" w:color="auto"/>
          <w:left w:val="single" w:sz="4" w:space="4" w:color="auto"/>
          <w:bottom w:val="single" w:sz="4" w:space="1" w:color="auto"/>
          <w:right w:val="single" w:sz="4" w:space="4" w:color="auto"/>
        </w:pBdr>
        <w:ind w:left="0" w:right="-285"/>
      </w:pPr>
      <w:r w:rsidRPr="001C7D80">
        <w:t xml:space="preserve">The </w:t>
      </w:r>
      <w:r w:rsidR="00536F02">
        <w:t>Department of the Environment and Energy</w:t>
      </w:r>
      <w:r w:rsidR="001C7D80">
        <w:t xml:space="preserve"> should clarify how the PSO </w:t>
      </w:r>
      <w:r w:rsidRPr="001C7D80">
        <w:t>Scheme levy-benefit arrangements apply to imported used oil</w:t>
      </w:r>
      <w:r w:rsidR="0041027E">
        <w:t xml:space="preserve">, based on the principle that there should be no benefit payable if there is no environmental benefit to Australia. </w:t>
      </w:r>
    </w:p>
    <w:p w14:paraId="5B4505B3" w14:textId="77777777" w:rsidR="007F35EA" w:rsidRDefault="007F35EA" w:rsidP="00BA7A84">
      <w:pPr>
        <w:pStyle w:val="ListParagraph"/>
        <w:ind w:left="0" w:right="-285" w:firstLine="11"/>
        <w:rPr>
          <w:b/>
        </w:rPr>
      </w:pPr>
    </w:p>
    <w:p w14:paraId="5B4505B4" w14:textId="77777777" w:rsidR="007F35EA" w:rsidRPr="00EC3F35" w:rsidRDefault="007F35EA" w:rsidP="00BA7A84">
      <w:pPr>
        <w:pStyle w:val="ListParagraph"/>
        <w:ind w:left="0" w:right="-285" w:firstLine="11"/>
        <w:rPr>
          <w:b/>
        </w:rPr>
      </w:pPr>
      <w:r w:rsidRPr="00EC3F35">
        <w:rPr>
          <w:b/>
        </w:rPr>
        <w:t xml:space="preserve">Response </w:t>
      </w:r>
    </w:p>
    <w:p w14:paraId="5B4505B5" w14:textId="77777777" w:rsidR="00EB3828" w:rsidRDefault="00D21040" w:rsidP="00BA7A84">
      <w:pPr>
        <w:ind w:right="-285"/>
      </w:pPr>
      <w:r>
        <w:lastRenderedPageBreak/>
        <w:t>As used oil is a hazardous waste, its importation into Australia requires an import permit</w:t>
      </w:r>
      <w:r w:rsidR="00890CAC">
        <w:t xml:space="preserve"> under the </w:t>
      </w:r>
      <w:r w:rsidR="00890CAC" w:rsidRPr="00890CAC">
        <w:rPr>
          <w:i/>
        </w:rPr>
        <w:t>Hazardous Waste (Regulation of Exports and Imports) Act 1989</w:t>
      </w:r>
      <w:r>
        <w:t xml:space="preserve">. </w:t>
      </w:r>
      <w:r w:rsidR="008A6A00">
        <w:t xml:space="preserve">Used oil has been imported sporadically and only in small volumes. </w:t>
      </w:r>
      <w:r w:rsidR="00A521E6">
        <w:t xml:space="preserve">In </w:t>
      </w:r>
      <w:r w:rsidR="00890CAC">
        <w:t>2015, no used oil was imported in</w:t>
      </w:r>
      <w:r w:rsidR="00E55D70">
        <w:t>to</w:t>
      </w:r>
      <w:r w:rsidR="00890CAC">
        <w:t xml:space="preserve"> Australia</w:t>
      </w:r>
      <w:r w:rsidR="00E55D70">
        <w:t xml:space="preserve"> und</w:t>
      </w:r>
      <w:r w:rsidR="007F3408">
        <w:t xml:space="preserve">er permit but in </w:t>
      </w:r>
      <w:r w:rsidR="00735D0A">
        <w:t xml:space="preserve">the </w:t>
      </w:r>
      <w:r w:rsidR="00E55D70">
        <w:t xml:space="preserve">previous few years </w:t>
      </w:r>
      <w:r w:rsidR="007F3408">
        <w:t>oil was imported, primarily from</w:t>
      </w:r>
      <w:r w:rsidR="00E560A4">
        <w:t xml:space="preserve"> Papua New Guinea</w:t>
      </w:r>
      <w:r w:rsidR="00E55D70">
        <w:t xml:space="preserve">. </w:t>
      </w:r>
      <w:r w:rsidR="00C900BE">
        <w:t xml:space="preserve">Used oil has also been imported </w:t>
      </w:r>
      <w:r w:rsidR="00D63EC2">
        <w:t xml:space="preserve">under permit </w:t>
      </w:r>
      <w:r w:rsidR="00C900BE">
        <w:t xml:space="preserve">from other countries in the past and it is likely that the importation of used oil under permit will occur into the future. </w:t>
      </w:r>
    </w:p>
    <w:p w14:paraId="5B4505B6" w14:textId="77777777" w:rsidR="001A0218" w:rsidRDefault="00E42E9A" w:rsidP="00BA7A84">
      <w:pPr>
        <w:ind w:right="-285"/>
      </w:pPr>
      <w:r>
        <w:t>The Australian Government has decided not to implement Recommendation 6 at this time. Were this matter to be considered in future, in addition to considering economic and environmental implications within Australia</w:t>
      </w:r>
      <w:r w:rsidR="0093440E">
        <w:t>,</w:t>
      </w:r>
      <w:r>
        <w:t xml:space="preserve"> it would be appropriate to consider</w:t>
      </w:r>
      <w:r w:rsidR="00D2672E">
        <w:t xml:space="preserve"> the</w:t>
      </w:r>
      <w:r>
        <w:t xml:space="preserve"> </w:t>
      </w:r>
      <w:r w:rsidR="00923445">
        <w:t>international</w:t>
      </w:r>
      <w:r w:rsidR="00D2672E">
        <w:t xml:space="preserve"> context</w:t>
      </w:r>
      <w:r w:rsidR="00923445">
        <w:t xml:space="preserve">, including </w:t>
      </w:r>
      <w:r>
        <w:t xml:space="preserve">Australia’s obligations under international trade </w:t>
      </w:r>
      <w:r w:rsidR="00D2672E">
        <w:t xml:space="preserve">agreements. </w:t>
      </w:r>
    </w:p>
    <w:p w14:paraId="5B4505B7" w14:textId="77777777" w:rsidR="00AF716C" w:rsidRDefault="00AF716C" w:rsidP="00BA7A84">
      <w:pPr>
        <w:ind w:right="-285"/>
      </w:pPr>
    </w:p>
    <w:p w14:paraId="5B4505B8" w14:textId="77777777" w:rsidR="002A7BB4" w:rsidRPr="0003590A" w:rsidRDefault="0041027E" w:rsidP="007D771E">
      <w:pPr>
        <w:pStyle w:val="ListParagraph"/>
        <w:pBdr>
          <w:top w:val="single" w:sz="4" w:space="1" w:color="auto"/>
          <w:left w:val="single" w:sz="4" w:space="4" w:color="auto"/>
          <w:bottom w:val="single" w:sz="4" w:space="1" w:color="auto"/>
          <w:right w:val="single" w:sz="4" w:space="4" w:color="auto"/>
        </w:pBdr>
        <w:ind w:left="0" w:right="-285"/>
        <w:rPr>
          <w:b/>
        </w:rPr>
      </w:pPr>
      <w:r w:rsidRPr="0003590A">
        <w:rPr>
          <w:b/>
        </w:rPr>
        <w:t xml:space="preserve">Recommendation 7: </w:t>
      </w:r>
    </w:p>
    <w:p w14:paraId="5B4505B9" w14:textId="77777777" w:rsidR="0041027E" w:rsidRPr="0003590A" w:rsidRDefault="0041027E" w:rsidP="007D771E">
      <w:pPr>
        <w:pStyle w:val="ListParagraph"/>
        <w:pBdr>
          <w:top w:val="single" w:sz="4" w:space="1" w:color="auto"/>
          <w:left w:val="single" w:sz="4" w:space="4" w:color="auto"/>
          <w:bottom w:val="single" w:sz="4" w:space="1" w:color="auto"/>
          <w:right w:val="single" w:sz="4" w:space="4" w:color="auto"/>
        </w:pBdr>
        <w:ind w:left="0" w:right="-285"/>
      </w:pPr>
      <w:r w:rsidRPr="0003590A">
        <w:t xml:space="preserve">PSO Scheme benefit payments should be payable against used oil derived products regardless of whether they are destined for domestic or foreign consumption, and regardless of what the end use is. </w:t>
      </w:r>
    </w:p>
    <w:p w14:paraId="5B4505BA" w14:textId="77777777" w:rsidR="000718F6" w:rsidRDefault="000718F6" w:rsidP="00BA7A84">
      <w:pPr>
        <w:pStyle w:val="ListParagraph"/>
        <w:ind w:left="0" w:right="-285" w:firstLine="11"/>
        <w:rPr>
          <w:b/>
        </w:rPr>
      </w:pPr>
    </w:p>
    <w:p w14:paraId="5B4505BB" w14:textId="77777777" w:rsidR="000718F6" w:rsidRPr="00EC3F35" w:rsidRDefault="000718F6" w:rsidP="00BA7A84">
      <w:pPr>
        <w:pStyle w:val="ListParagraph"/>
        <w:ind w:left="0" w:right="-285" w:firstLine="11"/>
        <w:rPr>
          <w:b/>
        </w:rPr>
      </w:pPr>
      <w:r w:rsidRPr="00EC3F35">
        <w:rPr>
          <w:b/>
        </w:rPr>
        <w:t xml:space="preserve">Response </w:t>
      </w:r>
    </w:p>
    <w:p w14:paraId="5B4505BC" w14:textId="77777777" w:rsidR="008A6CB7" w:rsidRDefault="00417662">
      <w:pPr>
        <w:ind w:right="-285"/>
      </w:pPr>
      <w:r w:rsidRPr="008A6A00">
        <w:t>The Australian Government supports Recommendation 7</w:t>
      </w:r>
      <w:r>
        <w:t>.</w:t>
      </w:r>
      <w:r w:rsidR="001E0783">
        <w:t xml:space="preserve"> </w:t>
      </w:r>
      <w:r w:rsidR="008C31DF" w:rsidRPr="008A6A00">
        <w:t>At present,</w:t>
      </w:r>
      <w:r w:rsidR="007E074E" w:rsidRPr="008A6A00">
        <w:t xml:space="preserve"> </w:t>
      </w:r>
      <w:r w:rsidR="002E4491" w:rsidRPr="008A6A00">
        <w:t xml:space="preserve">benefits are claimable for </w:t>
      </w:r>
      <w:r w:rsidR="009E273A" w:rsidRPr="008A6A00">
        <w:t>products derived from used oil, whether they are sold within Australia or exported</w:t>
      </w:r>
      <w:r w:rsidR="008C31DF" w:rsidRPr="008A6A00">
        <w:t xml:space="preserve">, </w:t>
      </w:r>
      <w:r w:rsidR="00BF55F4" w:rsidRPr="008A6A00">
        <w:t xml:space="preserve">consistent with the aim </w:t>
      </w:r>
      <w:r w:rsidR="002E4491" w:rsidRPr="008A6A00">
        <w:t>of</w:t>
      </w:r>
      <w:r w:rsidR="00791091">
        <w:t xml:space="preserve"> the PSO Scheme to protect </w:t>
      </w:r>
      <w:r w:rsidR="008C31DF" w:rsidRPr="008A6A00">
        <w:t xml:space="preserve">the environment and human health, regardless of where the products are </w:t>
      </w:r>
      <w:r w:rsidR="00791091">
        <w:t xml:space="preserve">ultimately </w:t>
      </w:r>
      <w:r w:rsidR="008C31DF" w:rsidRPr="008A6A00">
        <w:t xml:space="preserve">used. </w:t>
      </w:r>
      <w:r w:rsidR="00BF55F4" w:rsidRPr="008A6A00">
        <w:t xml:space="preserve">As recognised in the Report, any limitation on end-use markets could have a negative impact on the collection of used oil and result in an adverse environmental outcome. </w:t>
      </w:r>
    </w:p>
    <w:p w14:paraId="5B4505BD" w14:textId="77777777" w:rsidR="008815BE" w:rsidRDefault="008815BE">
      <w:pPr>
        <w:ind w:right="-285"/>
        <w:rPr>
          <w:rFonts w:cs="Arial"/>
          <w:b/>
          <w:bCs/>
          <w:iCs/>
          <w:sz w:val="24"/>
          <w:szCs w:val="28"/>
        </w:rPr>
      </w:pPr>
    </w:p>
    <w:p w14:paraId="5B4505BE" w14:textId="77777777" w:rsidR="00076D59" w:rsidRDefault="00076D59">
      <w:pPr>
        <w:spacing w:after="0"/>
        <w:rPr>
          <w:rFonts w:cs="Arial"/>
          <w:b/>
          <w:bCs/>
          <w:iCs/>
          <w:sz w:val="24"/>
          <w:szCs w:val="28"/>
        </w:rPr>
      </w:pPr>
      <w:r>
        <w:br w:type="page"/>
      </w:r>
    </w:p>
    <w:p w14:paraId="5B4505BF" w14:textId="77777777" w:rsidR="0041027E" w:rsidRDefault="0041027E" w:rsidP="00BA7A84">
      <w:pPr>
        <w:pStyle w:val="Heading2"/>
        <w:spacing w:after="240"/>
        <w:ind w:right="-285"/>
      </w:pPr>
      <w:bookmarkStart w:id="9" w:name="_Toc461003996"/>
      <w:r>
        <w:lastRenderedPageBreak/>
        <w:t>2.5</w:t>
      </w:r>
      <w:r>
        <w:tab/>
      </w:r>
      <w:r w:rsidR="0003590A">
        <w:t>Policy and co-ordination</w:t>
      </w:r>
      <w:bookmarkEnd w:id="9"/>
      <w:r w:rsidR="001E0783">
        <w:t xml:space="preserve"> </w:t>
      </w:r>
      <w:r>
        <w:t xml:space="preserve"> </w:t>
      </w:r>
    </w:p>
    <w:p w14:paraId="5B4505C0" w14:textId="77777777" w:rsidR="0041027E" w:rsidRPr="0003590A" w:rsidRDefault="0003590A" w:rsidP="007D771E">
      <w:pPr>
        <w:pStyle w:val="ListParagraph"/>
        <w:pBdr>
          <w:top w:val="single" w:sz="4" w:space="1" w:color="auto"/>
          <w:left w:val="single" w:sz="4" w:space="4" w:color="auto"/>
          <w:bottom w:val="single" w:sz="4" w:space="1" w:color="auto"/>
          <w:right w:val="single" w:sz="4" w:space="4" w:color="auto"/>
        </w:pBdr>
        <w:ind w:left="0" w:right="-285"/>
        <w:rPr>
          <w:b/>
        </w:rPr>
      </w:pPr>
      <w:r w:rsidRPr="0003590A">
        <w:rPr>
          <w:b/>
        </w:rPr>
        <w:t xml:space="preserve">Recommendation 8: </w:t>
      </w:r>
    </w:p>
    <w:p w14:paraId="5B4505C1" w14:textId="77777777" w:rsidR="0003590A" w:rsidRDefault="0003590A" w:rsidP="007D771E">
      <w:pPr>
        <w:pStyle w:val="ListParagraph"/>
        <w:pBdr>
          <w:top w:val="single" w:sz="4" w:space="1" w:color="auto"/>
          <w:left w:val="single" w:sz="4" w:space="4" w:color="auto"/>
          <w:bottom w:val="single" w:sz="4" w:space="1" w:color="auto"/>
          <w:right w:val="single" w:sz="4" w:space="4" w:color="auto"/>
        </w:pBdr>
        <w:ind w:left="0" w:right="-285"/>
      </w:pPr>
      <w:r w:rsidRPr="00804891">
        <w:t xml:space="preserve">An intergovernmental committee under the Council of Australian Governments structure (e.g. the current Waste Thematic Oversight Group or similar) should be formed, or if it exists, tasked with oversight of the PSO Scheme. It should be responsible for ensuring other policies or programs do not unduly impact on the Scheme’s performance and should coordinate collection of data and information relevant to Scheme performance. </w:t>
      </w:r>
    </w:p>
    <w:p w14:paraId="5B4505C2" w14:textId="77777777" w:rsidR="008815BE" w:rsidRDefault="008815BE" w:rsidP="007D771E">
      <w:pPr>
        <w:pStyle w:val="ListParagraph"/>
        <w:pBdr>
          <w:top w:val="single" w:sz="4" w:space="1" w:color="auto"/>
          <w:left w:val="single" w:sz="4" w:space="4" w:color="auto"/>
          <w:bottom w:val="single" w:sz="4" w:space="1" w:color="auto"/>
          <w:right w:val="single" w:sz="4" w:space="4" w:color="auto"/>
        </w:pBdr>
        <w:ind w:left="0" w:right="-285"/>
      </w:pPr>
    </w:p>
    <w:p w14:paraId="5B4505C3" w14:textId="77777777" w:rsidR="00D41DB3" w:rsidRPr="00804891" w:rsidRDefault="00D41DB3" w:rsidP="007D771E">
      <w:pPr>
        <w:pStyle w:val="ListParagraph"/>
        <w:pBdr>
          <w:top w:val="single" w:sz="4" w:space="1" w:color="auto"/>
          <w:left w:val="single" w:sz="4" w:space="4" w:color="auto"/>
          <w:bottom w:val="single" w:sz="4" w:space="1" w:color="auto"/>
          <w:right w:val="single" w:sz="4" w:space="4" w:color="auto"/>
        </w:pBdr>
        <w:ind w:left="0" w:right="-285"/>
        <w:rPr>
          <w:b/>
        </w:rPr>
      </w:pPr>
      <w:r w:rsidRPr="0003590A">
        <w:rPr>
          <w:b/>
        </w:rPr>
        <w:t>Recommendation 9:</w:t>
      </w:r>
      <w:r w:rsidRPr="00804891">
        <w:rPr>
          <w:b/>
        </w:rPr>
        <w:t xml:space="preserve"> </w:t>
      </w:r>
    </w:p>
    <w:p w14:paraId="5B4505C4" w14:textId="77777777" w:rsidR="00D41DB3" w:rsidRDefault="00D41DB3" w:rsidP="007D771E">
      <w:pPr>
        <w:pStyle w:val="ListParagraph"/>
        <w:pBdr>
          <w:top w:val="single" w:sz="4" w:space="1" w:color="auto"/>
          <w:left w:val="single" w:sz="4" w:space="4" w:color="auto"/>
          <w:bottom w:val="single" w:sz="4" w:space="1" w:color="auto"/>
          <w:right w:val="single" w:sz="4" w:space="4" w:color="auto"/>
        </w:pBdr>
        <w:ind w:left="0" w:right="-285"/>
      </w:pPr>
      <w:r w:rsidRPr="00804891">
        <w:t xml:space="preserve">The Oil Stewardship Advisory Council should be tasked with playing a more active role in advising government on the PSO Scheme’s operation and issues relating to used oil aggregation and collection, including collecting and providing relevant data and information. </w:t>
      </w:r>
    </w:p>
    <w:p w14:paraId="5B4505C5" w14:textId="77777777" w:rsidR="00D41DB3" w:rsidRDefault="00D41DB3" w:rsidP="00BA7A84">
      <w:pPr>
        <w:pStyle w:val="ListParagraph"/>
        <w:ind w:left="0" w:right="-285"/>
      </w:pPr>
    </w:p>
    <w:p w14:paraId="5B4505C6" w14:textId="77777777" w:rsidR="000718F6" w:rsidRPr="00EC3F35" w:rsidRDefault="000718F6" w:rsidP="00BA7A84">
      <w:pPr>
        <w:pStyle w:val="ListParagraph"/>
        <w:ind w:left="0" w:right="-285" w:firstLine="11"/>
        <w:rPr>
          <w:b/>
        </w:rPr>
      </w:pPr>
      <w:r w:rsidRPr="00EC3F35">
        <w:rPr>
          <w:b/>
        </w:rPr>
        <w:t xml:space="preserve">Response </w:t>
      </w:r>
    </w:p>
    <w:p w14:paraId="5B4505C7" w14:textId="77777777" w:rsidR="00E07349" w:rsidRDefault="00E07349" w:rsidP="00E07349">
      <w:pPr>
        <w:ind w:right="-285"/>
      </w:pPr>
      <w:r>
        <w:t xml:space="preserve">The Australian Government does not support Recommendations 8 and 9. </w:t>
      </w:r>
    </w:p>
    <w:p w14:paraId="5B4505C8" w14:textId="77777777" w:rsidR="00FB2F00" w:rsidRDefault="00FB2F00" w:rsidP="00BA7A84">
      <w:pPr>
        <w:ind w:right="-285"/>
      </w:pPr>
      <w:r>
        <w:t>In the past, the Oil Stewardship Advisory Council (OSAC) met at least once every 12 months and provided input into the reviews of the Act</w:t>
      </w:r>
      <w:r w:rsidR="00E02B1E">
        <w:t>,</w:t>
      </w:r>
      <w:r>
        <w:t xml:space="preserve"> which occur </w:t>
      </w:r>
      <w:r w:rsidR="00E02B1E">
        <w:t xml:space="preserve">on a </w:t>
      </w:r>
      <w:r>
        <w:t>four year</w:t>
      </w:r>
      <w:r w:rsidR="00E02B1E">
        <w:t xml:space="preserve"> basi</w:t>
      </w:r>
      <w:r>
        <w:t>s. The Australian Government considers that the frequency of the OSAC meetings and the review process is not sufficient to justify the ongoing maintenance of a permanent statutory advisory body, particularly as the PSO Scheme is now well established.</w:t>
      </w:r>
      <w:r w:rsidR="00E07349">
        <w:t xml:space="preserve"> </w:t>
      </w:r>
    </w:p>
    <w:p w14:paraId="5B4505C9" w14:textId="77777777" w:rsidR="00FB2F00" w:rsidRDefault="00FB2F00" w:rsidP="00BA7A84">
      <w:pPr>
        <w:ind w:right="-285"/>
      </w:pPr>
      <w:r>
        <w:t xml:space="preserve">Instead, the Australian Government considers that the </w:t>
      </w:r>
      <w:r w:rsidR="00536F02">
        <w:t>Department of the Environment and Energy</w:t>
      </w:r>
      <w:r>
        <w:t xml:space="preserve"> engage with industry experts as required to obtain advice </w:t>
      </w:r>
      <w:r w:rsidR="003525DF">
        <w:t>f</w:t>
      </w:r>
      <w:r>
        <w:t xml:space="preserve">or the purposes of a review </w:t>
      </w:r>
      <w:r w:rsidR="003525DF">
        <w:t xml:space="preserve">or to exchange views on </w:t>
      </w:r>
      <w:r>
        <w:t xml:space="preserve">the administration of the Act. </w:t>
      </w:r>
      <w:r w:rsidR="003525DF">
        <w:t xml:space="preserve">Similarly, the </w:t>
      </w:r>
      <w:r w:rsidR="00536F02">
        <w:t>Department of the Environment and Energy</w:t>
      </w:r>
      <w:r w:rsidR="003525DF">
        <w:t xml:space="preserve"> consult</w:t>
      </w:r>
      <w:r w:rsidR="00E02B1E">
        <w:t>s</w:t>
      </w:r>
      <w:r w:rsidR="003525DF">
        <w:t xml:space="preserve"> with government agencies in relation to the </w:t>
      </w:r>
      <w:r w:rsidR="0056178C">
        <w:t xml:space="preserve">PSO </w:t>
      </w:r>
      <w:r w:rsidR="003525DF">
        <w:t>Scheme</w:t>
      </w:r>
      <w:r w:rsidR="00113BF2">
        <w:t>, as required</w:t>
      </w:r>
      <w:r w:rsidR="003525DF">
        <w:t>.</w:t>
      </w:r>
      <w:r w:rsidR="001E0783">
        <w:t xml:space="preserve"> </w:t>
      </w:r>
      <w:r>
        <w:t xml:space="preserve"> </w:t>
      </w:r>
    </w:p>
    <w:p w14:paraId="5B4505CA" w14:textId="77777777" w:rsidR="008815BE" w:rsidRDefault="008815BE" w:rsidP="00BA7A84">
      <w:pPr>
        <w:ind w:right="-285"/>
      </w:pPr>
    </w:p>
    <w:p w14:paraId="5B4505CB" w14:textId="77777777" w:rsidR="00804891" w:rsidRDefault="00804891" w:rsidP="00BA7A84">
      <w:pPr>
        <w:pStyle w:val="Heading2"/>
        <w:spacing w:after="240"/>
        <w:ind w:right="-285"/>
      </w:pPr>
      <w:bookmarkStart w:id="10" w:name="_Toc461003997"/>
      <w:r>
        <w:t>2.6</w:t>
      </w:r>
      <w:r>
        <w:tab/>
        <w:t>Information and reporting</w:t>
      </w:r>
      <w:bookmarkEnd w:id="10"/>
      <w:r>
        <w:t xml:space="preserve"> </w:t>
      </w:r>
    </w:p>
    <w:p w14:paraId="5B4505CC" w14:textId="77777777" w:rsidR="00804891" w:rsidRPr="00804891" w:rsidRDefault="00804891" w:rsidP="007D771E">
      <w:pPr>
        <w:pStyle w:val="ListParagraph"/>
        <w:pBdr>
          <w:top w:val="single" w:sz="4" w:space="1" w:color="auto"/>
          <w:left w:val="single" w:sz="4" w:space="4" w:color="auto"/>
          <w:bottom w:val="single" w:sz="4" w:space="1" w:color="auto"/>
          <w:right w:val="single" w:sz="4" w:space="4" w:color="auto"/>
        </w:pBdr>
        <w:ind w:left="0" w:right="-285"/>
        <w:rPr>
          <w:b/>
        </w:rPr>
      </w:pPr>
      <w:r w:rsidRPr="00804891">
        <w:rPr>
          <w:b/>
        </w:rPr>
        <w:t>Recommendation 10:</w:t>
      </w:r>
    </w:p>
    <w:p w14:paraId="5B4505CD" w14:textId="77777777" w:rsidR="00257009" w:rsidRDefault="00257009" w:rsidP="007D771E">
      <w:pPr>
        <w:pStyle w:val="ListParagraph"/>
        <w:pBdr>
          <w:top w:val="single" w:sz="4" w:space="1" w:color="auto"/>
          <w:left w:val="single" w:sz="4" w:space="4" w:color="auto"/>
          <w:bottom w:val="single" w:sz="4" w:space="1" w:color="auto"/>
          <w:right w:val="single" w:sz="4" w:space="4" w:color="auto"/>
        </w:pBdr>
        <w:ind w:left="0" w:right="-285"/>
      </w:pPr>
      <w:r>
        <w:t xml:space="preserve">Monitoring and data availability must be improved to enable more effective fine-tuning of the PSO Scheme over time. Effort should be focused on ensuring comprehensive and consistent collection of data and information on used oil collections both under and external to the Scheme. Both the Waste Thematic Oversight Group and Oil Stewardship Advisory Council (or similar bodies) have an important role to play in this regard. </w:t>
      </w:r>
    </w:p>
    <w:p w14:paraId="5B4505CE" w14:textId="77777777" w:rsidR="00D41DB3" w:rsidRDefault="00D41DB3" w:rsidP="00BA7A84">
      <w:pPr>
        <w:pStyle w:val="ListParagraph"/>
        <w:ind w:left="0" w:right="-285" w:firstLine="11"/>
        <w:rPr>
          <w:b/>
        </w:rPr>
      </w:pPr>
    </w:p>
    <w:p w14:paraId="5B4505CF" w14:textId="77777777" w:rsidR="00D41DB3" w:rsidRPr="00EC3F35" w:rsidRDefault="00D41DB3" w:rsidP="00BA7A84">
      <w:pPr>
        <w:pStyle w:val="ListParagraph"/>
        <w:ind w:left="0" w:right="-285" w:firstLine="11"/>
        <w:rPr>
          <w:b/>
        </w:rPr>
      </w:pPr>
      <w:r w:rsidRPr="00EC3F35">
        <w:rPr>
          <w:b/>
        </w:rPr>
        <w:t>Response</w:t>
      </w:r>
    </w:p>
    <w:p w14:paraId="5B4505D0" w14:textId="77777777" w:rsidR="00E07349" w:rsidRDefault="00E07349" w:rsidP="00E07349">
      <w:pPr>
        <w:ind w:right="-285"/>
      </w:pPr>
      <w:r>
        <w:t xml:space="preserve">At this stage, the Australian Government does not support Recommendation 10. </w:t>
      </w:r>
    </w:p>
    <w:p w14:paraId="5B4505D1" w14:textId="77777777" w:rsidR="00041154" w:rsidRDefault="00643E38" w:rsidP="00BA7A84">
      <w:pPr>
        <w:ind w:right="-285"/>
      </w:pPr>
      <w:r w:rsidRPr="00643E38">
        <w:t>The Government considers</w:t>
      </w:r>
      <w:r>
        <w:t xml:space="preserve"> that</w:t>
      </w:r>
      <w:r w:rsidRPr="00643E38">
        <w:t xml:space="preserve"> existing mechanism for collecting data</w:t>
      </w:r>
      <w:r w:rsidRPr="00643E38" w:rsidDel="00643E38">
        <w:t xml:space="preserve"> </w:t>
      </w:r>
      <w:r w:rsidR="003B4A3A">
        <w:t xml:space="preserve">and other information about the scheme are adequate for the purpose of monitoring the </w:t>
      </w:r>
      <w:r w:rsidR="00407F3B">
        <w:t>S</w:t>
      </w:r>
      <w:r w:rsidR="003B4A3A">
        <w:t>cheme</w:t>
      </w:r>
      <w:r w:rsidR="00E5681A">
        <w:t xml:space="preserve"> in its current state</w:t>
      </w:r>
      <w:r w:rsidR="00113BF2">
        <w:t xml:space="preserve">. </w:t>
      </w:r>
      <w:r w:rsidR="00BC2E7E">
        <w:t xml:space="preserve">If it proves necessary to collect more information from industry on a compulsory basis, the Australian Government would balance such requirements against the </w:t>
      </w:r>
      <w:r w:rsidR="00664E7C">
        <w:t xml:space="preserve">associated </w:t>
      </w:r>
      <w:r w:rsidR="00BC2E7E">
        <w:t>impost on indu</w:t>
      </w:r>
      <w:r w:rsidR="00F7152E">
        <w:t>stry</w:t>
      </w:r>
      <w:r w:rsidR="00BC2E7E">
        <w:t xml:space="preserve">. </w:t>
      </w:r>
      <w:r w:rsidR="00664E7C">
        <w:t xml:space="preserve">Until such a </w:t>
      </w:r>
      <w:r w:rsidR="00F7152E">
        <w:t xml:space="preserve">need </w:t>
      </w:r>
      <w:r w:rsidR="00664E7C">
        <w:t xml:space="preserve">arises, </w:t>
      </w:r>
      <w:r w:rsidR="00BC2E7E">
        <w:t>the Australian Government will continue to use the information already available and work with industry to collect additional information where required and justifiable.</w:t>
      </w:r>
      <w:r w:rsidR="00F7152E">
        <w:t xml:space="preserve"> </w:t>
      </w:r>
    </w:p>
    <w:p w14:paraId="5B4505D2" w14:textId="77777777" w:rsidR="005270D3" w:rsidRDefault="00664E7C">
      <w:pPr>
        <w:spacing w:after="0"/>
      </w:pPr>
      <w:r>
        <w:lastRenderedPageBreak/>
        <w:t xml:space="preserve">The </w:t>
      </w:r>
      <w:r w:rsidR="00C376F8">
        <w:t xml:space="preserve">recommendation relating to the need for the </w:t>
      </w:r>
      <w:r w:rsidR="00F7152E">
        <w:t xml:space="preserve">‘comprehensive and consistent collection of data and information’ </w:t>
      </w:r>
      <w:r w:rsidR="00BE2FCB">
        <w:t xml:space="preserve">from sources outside the </w:t>
      </w:r>
      <w:r w:rsidR="0056178C">
        <w:t xml:space="preserve">PSO </w:t>
      </w:r>
      <w:r w:rsidR="00BE2FCB">
        <w:t>Scheme</w:t>
      </w:r>
      <w:r w:rsidR="00F7152E">
        <w:t xml:space="preserve"> would be</w:t>
      </w:r>
      <w:r w:rsidR="00BE2FCB">
        <w:t xml:space="preserve"> </w:t>
      </w:r>
      <w:r w:rsidR="00113BF2">
        <w:t>problematic</w:t>
      </w:r>
      <w:r w:rsidR="00BE2FCB">
        <w:t xml:space="preserve">. </w:t>
      </w:r>
      <w:r>
        <w:t>As set out in the response to Recommendation</w:t>
      </w:r>
      <w:r w:rsidR="00DB7E36">
        <w:t>s</w:t>
      </w:r>
      <w:r>
        <w:t xml:space="preserve"> 8</w:t>
      </w:r>
      <w:r w:rsidR="00DB7E36">
        <w:t xml:space="preserve"> and 9</w:t>
      </w:r>
      <w:r>
        <w:t xml:space="preserve">, </w:t>
      </w:r>
      <w:r w:rsidR="00A351DA">
        <w:t>rather than</w:t>
      </w:r>
      <w:r w:rsidR="00F7152E">
        <w:t xml:space="preserve"> </w:t>
      </w:r>
      <w:r w:rsidR="00A351DA">
        <w:t xml:space="preserve">external bodies undertaking </w:t>
      </w:r>
      <w:r w:rsidR="00F7152E">
        <w:t xml:space="preserve">a role in </w:t>
      </w:r>
      <w:r w:rsidR="00A351DA">
        <w:t xml:space="preserve">this function, </w:t>
      </w:r>
      <w:r>
        <w:t xml:space="preserve">the </w:t>
      </w:r>
      <w:r w:rsidR="00536F02">
        <w:t>Department of the Environment and Energy</w:t>
      </w:r>
      <w:r>
        <w:t xml:space="preserve"> </w:t>
      </w:r>
      <w:r w:rsidR="00A351DA">
        <w:t xml:space="preserve">would </w:t>
      </w:r>
      <w:r w:rsidR="00BE2FCB">
        <w:t>seek advice from relevant parties</w:t>
      </w:r>
      <w:r w:rsidR="009202D7">
        <w:t xml:space="preserve">. </w:t>
      </w:r>
    </w:p>
    <w:p w14:paraId="5B4505D3" w14:textId="77777777" w:rsidR="008815BE" w:rsidRDefault="008815BE">
      <w:pPr>
        <w:spacing w:after="0"/>
      </w:pPr>
    </w:p>
    <w:p w14:paraId="5B4505D4" w14:textId="77777777" w:rsidR="00076D59" w:rsidRDefault="00076D59">
      <w:pPr>
        <w:spacing w:after="0"/>
        <w:rPr>
          <w:rFonts w:cs="Arial"/>
          <w:b/>
          <w:bCs/>
          <w:iCs/>
          <w:sz w:val="24"/>
          <w:szCs w:val="28"/>
        </w:rPr>
      </w:pPr>
      <w:r>
        <w:br w:type="page"/>
      </w:r>
    </w:p>
    <w:p w14:paraId="5B4505D5" w14:textId="77777777" w:rsidR="004C3E1F" w:rsidRDefault="004C3E1F" w:rsidP="00BA7A84">
      <w:pPr>
        <w:pStyle w:val="Heading2"/>
        <w:spacing w:after="240"/>
        <w:ind w:right="-285"/>
      </w:pPr>
      <w:bookmarkStart w:id="11" w:name="_Toc461003998"/>
      <w:r>
        <w:lastRenderedPageBreak/>
        <w:t>2.7</w:t>
      </w:r>
      <w:r>
        <w:tab/>
        <w:t>Investment in collection infrastructure and incentivising collection</w:t>
      </w:r>
      <w:bookmarkEnd w:id="11"/>
      <w:r>
        <w:t xml:space="preserve"> </w:t>
      </w:r>
    </w:p>
    <w:p w14:paraId="5B4505D6" w14:textId="77777777" w:rsidR="005F7BF0" w:rsidRPr="004C3E1F" w:rsidRDefault="004C3E1F" w:rsidP="007D771E">
      <w:pPr>
        <w:pStyle w:val="ListParagraph"/>
        <w:pBdr>
          <w:top w:val="single" w:sz="4" w:space="1" w:color="auto"/>
          <w:left w:val="single" w:sz="4" w:space="4" w:color="auto"/>
          <w:bottom w:val="single" w:sz="4" w:space="1" w:color="auto"/>
          <w:right w:val="single" w:sz="4" w:space="4" w:color="auto"/>
        </w:pBdr>
        <w:ind w:left="0" w:right="-285"/>
        <w:rPr>
          <w:b/>
        </w:rPr>
      </w:pPr>
      <w:r w:rsidRPr="004C3E1F">
        <w:rPr>
          <w:b/>
        </w:rPr>
        <w:t xml:space="preserve">Recommendation 11: </w:t>
      </w:r>
    </w:p>
    <w:p w14:paraId="5B4505D7" w14:textId="77777777" w:rsidR="004C3E1F" w:rsidRDefault="004C3E1F" w:rsidP="007D771E">
      <w:pPr>
        <w:pStyle w:val="ListParagraph"/>
        <w:pBdr>
          <w:top w:val="single" w:sz="4" w:space="1" w:color="auto"/>
          <w:left w:val="single" w:sz="4" w:space="4" w:color="auto"/>
          <w:bottom w:val="single" w:sz="4" w:space="1" w:color="auto"/>
          <w:right w:val="single" w:sz="4" w:space="4" w:color="auto"/>
        </w:pBdr>
        <w:ind w:left="0" w:right="-285"/>
      </w:pPr>
      <w:r w:rsidRPr="004C3E1F">
        <w:t>Mechanisms to deal with very high collection costs and poor access to end use markets are required in some regional and remote areas. Additional investigations should be undertaken into the most appropriate mechanisms as soon as possible.</w:t>
      </w:r>
      <w:r w:rsidR="00071D38">
        <w:t xml:space="preserve"> </w:t>
      </w:r>
      <w:r w:rsidRPr="004C3E1F">
        <w:t xml:space="preserve">The Oil Stewardship Advisory Council and Waste Thematic </w:t>
      </w:r>
      <w:r w:rsidR="00071D38">
        <w:t>O</w:t>
      </w:r>
      <w:r w:rsidRPr="004C3E1F">
        <w:t xml:space="preserve">versight Group should be consulted and provide advice on these matters. </w:t>
      </w:r>
    </w:p>
    <w:p w14:paraId="5B4505D8" w14:textId="77777777" w:rsidR="00164A1A" w:rsidRDefault="00164A1A" w:rsidP="007D771E">
      <w:pPr>
        <w:pStyle w:val="ListParagraph"/>
        <w:pBdr>
          <w:top w:val="single" w:sz="4" w:space="1" w:color="auto"/>
          <w:left w:val="single" w:sz="4" w:space="4" w:color="auto"/>
          <w:bottom w:val="single" w:sz="4" w:space="1" w:color="auto"/>
          <w:right w:val="single" w:sz="4" w:space="4" w:color="auto"/>
        </w:pBdr>
        <w:ind w:left="0" w:right="-285"/>
      </w:pPr>
    </w:p>
    <w:p w14:paraId="5B4505D9" w14:textId="77777777" w:rsidR="00164A1A" w:rsidRPr="008F51B3" w:rsidRDefault="00164A1A" w:rsidP="007D771E">
      <w:pPr>
        <w:pStyle w:val="ListParagraph"/>
        <w:pBdr>
          <w:top w:val="single" w:sz="4" w:space="1" w:color="auto"/>
          <w:left w:val="single" w:sz="4" w:space="4" w:color="auto"/>
          <w:bottom w:val="single" w:sz="4" w:space="1" w:color="auto"/>
          <w:right w:val="single" w:sz="4" w:space="4" w:color="auto"/>
        </w:pBdr>
        <w:ind w:left="0" w:right="-285"/>
        <w:rPr>
          <w:b/>
        </w:rPr>
      </w:pPr>
      <w:r w:rsidRPr="008F51B3">
        <w:rPr>
          <w:b/>
        </w:rPr>
        <w:t>Recommendation 12:</w:t>
      </w:r>
    </w:p>
    <w:p w14:paraId="5B4505DA" w14:textId="77777777" w:rsidR="00164A1A" w:rsidRPr="008F51B3" w:rsidRDefault="00164A1A" w:rsidP="007D771E">
      <w:pPr>
        <w:pStyle w:val="ListParagraph"/>
        <w:pBdr>
          <w:top w:val="single" w:sz="4" w:space="1" w:color="auto"/>
          <w:left w:val="single" w:sz="4" w:space="4" w:color="auto"/>
          <w:bottom w:val="single" w:sz="4" w:space="1" w:color="auto"/>
          <w:right w:val="single" w:sz="4" w:space="4" w:color="auto"/>
        </w:pBdr>
        <w:ind w:left="0" w:right="-285"/>
      </w:pPr>
      <w:r w:rsidRPr="008F51B3">
        <w:t>Surpluses generated by changes to the levy-benefit arrang</w:t>
      </w:r>
      <w:r>
        <w:t xml:space="preserve">ement </w:t>
      </w:r>
      <w:r w:rsidRPr="008F51B3">
        <w:t xml:space="preserve">should be directed </w:t>
      </w:r>
      <w:r>
        <w:t xml:space="preserve">towards investment in existing or new public or shared collection infrastructure, through a competitive grants Scheme, and towards direct incentives for collection in areas where collection is currently insufficient. Further analysis should be undertaken to identify areas of need and priority infrastructure. </w:t>
      </w:r>
    </w:p>
    <w:p w14:paraId="5B4505DB" w14:textId="77777777" w:rsidR="00D41DB3" w:rsidRDefault="00D41DB3" w:rsidP="00BA7A84">
      <w:pPr>
        <w:pStyle w:val="ListParagraph"/>
        <w:ind w:left="0" w:right="-285" w:firstLine="11"/>
        <w:rPr>
          <w:b/>
        </w:rPr>
      </w:pPr>
    </w:p>
    <w:p w14:paraId="5B4505DC" w14:textId="77777777" w:rsidR="00D41DB3" w:rsidRPr="00EC3F35" w:rsidRDefault="00D41DB3" w:rsidP="00BA7A84">
      <w:pPr>
        <w:pStyle w:val="ListParagraph"/>
        <w:ind w:left="0" w:right="-285" w:firstLine="11"/>
        <w:rPr>
          <w:b/>
        </w:rPr>
      </w:pPr>
      <w:r w:rsidRPr="00EC3F35">
        <w:rPr>
          <w:b/>
        </w:rPr>
        <w:t xml:space="preserve">Response </w:t>
      </w:r>
    </w:p>
    <w:p w14:paraId="5B4505DD" w14:textId="77777777" w:rsidR="00B84DC1" w:rsidRDefault="00B84DC1" w:rsidP="00B84DC1">
      <w:pPr>
        <w:ind w:right="-285"/>
      </w:pPr>
      <w:r>
        <w:t>The Australian Government recognises that the effective collection of used oil is essential to the success of the PSO Scheme and supports those aspects of Recommendations 11 and 12 relat</w:t>
      </w:r>
      <w:r w:rsidR="00172264">
        <w:t>ing</w:t>
      </w:r>
      <w:r>
        <w:t xml:space="preserve"> to this issue. </w:t>
      </w:r>
      <w:r w:rsidR="00172264">
        <w:t>Accordingly, t</w:t>
      </w:r>
      <w:r>
        <w:t>he Australian Government has decided to refer the matter to the next review when information on the collection infrastructure will be sought from relevant parties, allowing an assessment of collection capability to be undertaken.</w:t>
      </w:r>
      <w:r w:rsidR="001E0783">
        <w:t xml:space="preserve"> </w:t>
      </w:r>
    </w:p>
    <w:p w14:paraId="5B4505DE" w14:textId="77777777" w:rsidR="0059351D" w:rsidRDefault="00174C1D" w:rsidP="00BA7A84">
      <w:pPr>
        <w:ind w:right="-285"/>
      </w:pPr>
      <w:r>
        <w:t xml:space="preserve">The </w:t>
      </w:r>
      <w:r w:rsidR="00164A1A">
        <w:t xml:space="preserve">PSO Scheme </w:t>
      </w:r>
      <w:r>
        <w:t>aims to address the environmental and health risks from the inappropriate disposal of used oil</w:t>
      </w:r>
      <w:r w:rsidR="00BC2772">
        <w:t>. As</w:t>
      </w:r>
      <w:r w:rsidR="0059351D">
        <w:t xml:space="preserve"> noted in the Report, </w:t>
      </w:r>
      <w:r w:rsidR="009C1180">
        <w:t xml:space="preserve">most of the environmental benefits arising from the PSO Scheme are attributable to the sound management of used oil </w:t>
      </w:r>
      <w:r w:rsidR="00105BA5">
        <w:t xml:space="preserve">that the PSO Scheme </w:t>
      </w:r>
      <w:r w:rsidR="009C1180">
        <w:t>provides.</w:t>
      </w:r>
      <w:r w:rsidR="001E0783">
        <w:t xml:space="preserve"> </w:t>
      </w:r>
    </w:p>
    <w:p w14:paraId="5B4505DF" w14:textId="77777777" w:rsidR="00DB7E36" w:rsidRDefault="00136D40" w:rsidP="00BA7A84">
      <w:pPr>
        <w:ind w:right="-285"/>
      </w:pPr>
      <w:r>
        <w:t>In response to Recommendation 11, it should be noted that, a</w:t>
      </w:r>
      <w:r w:rsidR="00DB7E36">
        <w:t xml:space="preserve">s </w:t>
      </w:r>
      <w:r>
        <w:t xml:space="preserve">stated above, </w:t>
      </w:r>
      <w:r w:rsidR="00DB7E36">
        <w:t xml:space="preserve">rather than external bodies undertaking a role in this function, the </w:t>
      </w:r>
      <w:r w:rsidR="00536F02">
        <w:t>Department of the Environment and Energy</w:t>
      </w:r>
      <w:r w:rsidR="00DB7E36">
        <w:t xml:space="preserve"> would seek advice from relevant parties</w:t>
      </w:r>
      <w:r>
        <w:t xml:space="preserve">. In this case, the relevant parties would be </w:t>
      </w:r>
      <w:r w:rsidR="00DB7E36">
        <w:t>collectors and recyclers of used oil as well as local, state and territory governments.</w:t>
      </w:r>
      <w:r w:rsidR="001E0783">
        <w:t xml:space="preserve"> </w:t>
      </w:r>
    </w:p>
    <w:p w14:paraId="5B4505E0" w14:textId="77777777" w:rsidR="009202D7" w:rsidRDefault="00FB2DF8" w:rsidP="00BA7A84">
      <w:pPr>
        <w:ind w:right="-285"/>
      </w:pPr>
      <w:r w:rsidRPr="001B7DA3">
        <w:t>I</w:t>
      </w:r>
      <w:r>
        <w:t>n relation to Recommendation 12, i</w:t>
      </w:r>
      <w:r w:rsidRPr="004233D0">
        <w:t xml:space="preserve">t should be noted that there is no </w:t>
      </w:r>
      <w:r>
        <w:t>hypothecation between t</w:t>
      </w:r>
      <w:r w:rsidRPr="004233D0">
        <w:t>he funds raised through</w:t>
      </w:r>
      <w:r>
        <w:t xml:space="preserve"> the levy and the benefits paid on the products of recycling.</w:t>
      </w:r>
    </w:p>
    <w:p w14:paraId="5B4505E1" w14:textId="77777777" w:rsidR="008815BE" w:rsidRDefault="008815BE" w:rsidP="00BA7A84">
      <w:pPr>
        <w:ind w:right="-285"/>
      </w:pPr>
    </w:p>
    <w:p w14:paraId="5B4505E2" w14:textId="77777777" w:rsidR="004C3E1F" w:rsidRPr="00AE77B4" w:rsidRDefault="004C3E1F" w:rsidP="00BA7A84">
      <w:pPr>
        <w:pStyle w:val="Heading2"/>
        <w:spacing w:after="240"/>
        <w:ind w:right="-285"/>
      </w:pPr>
      <w:bookmarkStart w:id="12" w:name="_Toc461003999"/>
      <w:r w:rsidRPr="00AE77B4">
        <w:t>2.8</w:t>
      </w:r>
      <w:r w:rsidRPr="00AE77B4">
        <w:tab/>
      </w:r>
      <w:r w:rsidRPr="00AE77B4">
        <w:rPr>
          <w:i/>
        </w:rPr>
        <w:t>Product Stewardship Act 2011</w:t>
      </w:r>
      <w:bookmarkEnd w:id="12"/>
    </w:p>
    <w:p w14:paraId="5B4505E3" w14:textId="77777777" w:rsidR="004C3E1F" w:rsidRDefault="008F51B3" w:rsidP="007D771E">
      <w:pPr>
        <w:pStyle w:val="ListParagraph"/>
        <w:pBdr>
          <w:top w:val="single" w:sz="4" w:space="1" w:color="auto"/>
          <w:left w:val="single" w:sz="4" w:space="4" w:color="auto"/>
          <w:bottom w:val="single" w:sz="4" w:space="1" w:color="auto"/>
          <w:right w:val="single" w:sz="4" w:space="4" w:color="auto"/>
        </w:pBdr>
        <w:ind w:left="0" w:right="-285"/>
        <w:rPr>
          <w:b/>
        </w:rPr>
      </w:pPr>
      <w:r w:rsidRPr="008F51B3">
        <w:rPr>
          <w:b/>
        </w:rPr>
        <w:t xml:space="preserve">Recommendation 13: </w:t>
      </w:r>
    </w:p>
    <w:p w14:paraId="5B4505E4" w14:textId="77777777" w:rsidR="008F51B3" w:rsidRDefault="008F51B3" w:rsidP="007D771E">
      <w:pPr>
        <w:pStyle w:val="ListParagraph"/>
        <w:pBdr>
          <w:top w:val="single" w:sz="4" w:space="1" w:color="auto"/>
          <w:left w:val="single" w:sz="4" w:space="4" w:color="auto"/>
          <w:bottom w:val="single" w:sz="4" w:space="1" w:color="auto"/>
          <w:right w:val="single" w:sz="4" w:space="4" w:color="auto"/>
        </w:pBdr>
        <w:ind w:left="0" w:right="-285"/>
        <w:rPr>
          <w:i/>
        </w:rPr>
      </w:pPr>
      <w:r w:rsidRPr="006A342A">
        <w:t xml:space="preserve">The </w:t>
      </w:r>
      <w:r w:rsidR="00536F02">
        <w:t>Department of the Environment and Energy</w:t>
      </w:r>
      <w:r w:rsidRPr="006A342A">
        <w:t xml:space="preserve"> should undertake further investigations into the feasibility and possible design options for used oil arrangements under the </w:t>
      </w:r>
      <w:r w:rsidRPr="006A342A">
        <w:rPr>
          <w:i/>
        </w:rPr>
        <w:t>Product Stewardship Act 2011</w:t>
      </w:r>
      <w:r w:rsidR="006A342A">
        <w:rPr>
          <w:i/>
        </w:rPr>
        <w:t xml:space="preserve">, </w:t>
      </w:r>
      <w:r w:rsidR="006A342A" w:rsidRPr="006A342A">
        <w:t>prior to the next PSO Scheme review.</w:t>
      </w:r>
      <w:r w:rsidR="006A342A">
        <w:rPr>
          <w:i/>
        </w:rPr>
        <w:t xml:space="preserve"> </w:t>
      </w:r>
    </w:p>
    <w:p w14:paraId="5B4505E5" w14:textId="77777777" w:rsidR="00571C2C" w:rsidRDefault="00571C2C" w:rsidP="00BA7A84">
      <w:pPr>
        <w:pStyle w:val="ListParagraph"/>
        <w:ind w:left="0" w:right="-285" w:firstLine="11"/>
        <w:rPr>
          <w:b/>
        </w:rPr>
      </w:pPr>
    </w:p>
    <w:p w14:paraId="5B4505E6" w14:textId="77777777" w:rsidR="00571C2C" w:rsidRPr="00EC3F35" w:rsidRDefault="00571C2C" w:rsidP="00BA7A84">
      <w:pPr>
        <w:pStyle w:val="ListParagraph"/>
        <w:ind w:left="0" w:right="-285" w:firstLine="11"/>
        <w:rPr>
          <w:b/>
        </w:rPr>
      </w:pPr>
      <w:r w:rsidRPr="00EC3F35">
        <w:rPr>
          <w:b/>
        </w:rPr>
        <w:t xml:space="preserve">Response </w:t>
      </w:r>
    </w:p>
    <w:p w14:paraId="5B4505E7" w14:textId="77777777" w:rsidR="000A5F73" w:rsidRDefault="000A5F73" w:rsidP="000A5F73">
      <w:pPr>
        <w:pStyle w:val="ListParagraph"/>
        <w:ind w:left="0" w:right="-285"/>
        <w:contextualSpacing w:val="0"/>
      </w:pPr>
      <w:r>
        <w:t xml:space="preserve">The Australian Government has decided that, as the PSO Scheme continues to be effective in achieving its objects and is already supported by sound legislation, it is not </w:t>
      </w:r>
      <w:r>
        <w:lastRenderedPageBreak/>
        <w:t xml:space="preserve">necessary to consider a new arrangement for the management of used oil under the </w:t>
      </w:r>
      <w:r w:rsidRPr="00521399">
        <w:rPr>
          <w:i/>
        </w:rPr>
        <w:t>Product Stewardship Act 2011</w:t>
      </w:r>
      <w:r>
        <w:t xml:space="preserve"> at this time.</w:t>
      </w:r>
      <w:r w:rsidR="001E0783">
        <w:t xml:space="preserve"> </w:t>
      </w:r>
    </w:p>
    <w:p w14:paraId="5B4505E8" w14:textId="77777777" w:rsidR="006A342A" w:rsidRDefault="006E60A0" w:rsidP="00BA7A84">
      <w:pPr>
        <w:ind w:right="-285"/>
      </w:pPr>
      <w:r>
        <w:t>The Review Report stated a preference ‘to modify the existing PSO Scheme using available policy levers, correct its major problems and set out a long term pathway to greater environmental</w:t>
      </w:r>
      <w:r w:rsidR="0055133E">
        <w:t xml:space="preserve"> effectiveness, efficiency and sustainability at lo</w:t>
      </w:r>
      <w:r w:rsidR="000E3FD0">
        <w:t>w</w:t>
      </w:r>
      <w:r w:rsidR="0055133E">
        <w:t xml:space="preserve"> costs to consumers and taxpayers’. </w:t>
      </w:r>
    </w:p>
    <w:p w14:paraId="5B4505E9" w14:textId="77777777" w:rsidR="00056558" w:rsidRDefault="001F1819" w:rsidP="00BA7A84">
      <w:pPr>
        <w:ind w:right="-285"/>
      </w:pPr>
      <w:r>
        <w:t>As recommended in the Report, t</w:t>
      </w:r>
      <w:r w:rsidR="00056558">
        <w:t xml:space="preserve">he </w:t>
      </w:r>
      <w:r w:rsidR="00536F02">
        <w:t>Department of the Environment and Energy</w:t>
      </w:r>
      <w:r w:rsidR="00056558">
        <w:t xml:space="preserve"> undertook </w:t>
      </w:r>
      <w:r>
        <w:t xml:space="preserve">an assessment of the feasibility and design options for the product stewardship of oil to be based on an arrangement under the </w:t>
      </w:r>
      <w:r w:rsidRPr="00943B73">
        <w:rPr>
          <w:i/>
        </w:rPr>
        <w:t>Product Stewardship Act 2011</w:t>
      </w:r>
      <w:r>
        <w:t xml:space="preserve">. The assessment concluded </w:t>
      </w:r>
      <w:r w:rsidR="00056558">
        <w:t>that</w:t>
      </w:r>
      <w:r w:rsidR="00A16B57">
        <w:t xml:space="preserve"> </w:t>
      </w:r>
      <w:r w:rsidR="00056558">
        <w:t>the PSO Scheme should continue to be implemented through the legislation that currently applies</w:t>
      </w:r>
      <w:r w:rsidR="00943B73">
        <w:t xml:space="preserve">, noting that amendments to that legislation </w:t>
      </w:r>
      <w:r w:rsidR="00A16B57">
        <w:t xml:space="preserve">may be required to enhance the effectiveness of the </w:t>
      </w:r>
      <w:r w:rsidR="00EE6065">
        <w:t xml:space="preserve">PSO </w:t>
      </w:r>
      <w:r w:rsidR="00A16B57">
        <w:t>Scheme and ensure its financial sustainability.</w:t>
      </w:r>
      <w:r w:rsidR="001E0783">
        <w:t xml:space="preserve"> </w:t>
      </w:r>
    </w:p>
    <w:p w14:paraId="5B4505EA" w14:textId="77777777" w:rsidR="006A342A" w:rsidRPr="006A342A" w:rsidRDefault="006A342A" w:rsidP="00BA7A84">
      <w:pPr>
        <w:pStyle w:val="ListParagraph"/>
        <w:ind w:left="0" w:right="-285"/>
        <w:contextualSpacing w:val="0"/>
      </w:pPr>
    </w:p>
    <w:p w14:paraId="5B4505EB" w14:textId="77777777" w:rsidR="00E405E2" w:rsidRDefault="00E405E2" w:rsidP="00BA7A84">
      <w:pPr>
        <w:pStyle w:val="Heading1"/>
        <w:numPr>
          <w:ilvl w:val="0"/>
          <w:numId w:val="27"/>
        </w:numPr>
        <w:ind w:right="-285" w:hanging="720"/>
      </w:pPr>
      <w:bookmarkStart w:id="13" w:name="_Toc461004000"/>
      <w:r>
        <w:t>Conclusion</w:t>
      </w:r>
      <w:bookmarkEnd w:id="13"/>
      <w:r>
        <w:t xml:space="preserve"> </w:t>
      </w:r>
    </w:p>
    <w:p w14:paraId="5B4505EC" w14:textId="77777777" w:rsidR="007463B6" w:rsidRDefault="003E07EF" w:rsidP="00BA7A84">
      <w:pPr>
        <w:ind w:right="-285"/>
      </w:pPr>
      <w:r>
        <w:t>Given its essential role in the management of used oil and protection of the environment, t</w:t>
      </w:r>
      <w:r w:rsidR="00E405E2" w:rsidRPr="00E405E2">
        <w:t xml:space="preserve">he </w:t>
      </w:r>
      <w:r w:rsidR="00E405E2">
        <w:t xml:space="preserve">Australian </w:t>
      </w:r>
      <w:r w:rsidR="00E405E2" w:rsidRPr="00E405E2">
        <w:t>Government continue</w:t>
      </w:r>
      <w:r w:rsidR="00E405E2">
        <w:t>s</w:t>
      </w:r>
      <w:r w:rsidR="00E405E2" w:rsidRPr="00E405E2">
        <w:t xml:space="preserve"> to support the PSO Scheme</w:t>
      </w:r>
      <w:r w:rsidR="00055D38">
        <w:t>.</w:t>
      </w:r>
      <w:r w:rsidR="00380705">
        <w:t xml:space="preserve"> </w:t>
      </w:r>
    </w:p>
    <w:p w14:paraId="5B4505ED" w14:textId="77777777" w:rsidR="00E97C61" w:rsidRDefault="00C408FC" w:rsidP="00BA7A84">
      <w:pPr>
        <w:ind w:right="-285"/>
      </w:pPr>
      <w:r>
        <w:t xml:space="preserve">The Australian Government </w:t>
      </w:r>
      <w:r w:rsidR="00D148C1">
        <w:t xml:space="preserve">has concluded that </w:t>
      </w:r>
      <w:r>
        <w:t xml:space="preserve">it is not </w:t>
      </w:r>
      <w:r w:rsidR="00956F8E">
        <w:t xml:space="preserve">necessary </w:t>
      </w:r>
      <w:r>
        <w:t>to pursue any substantive restructure of the PSO Scheme</w:t>
      </w:r>
      <w:r w:rsidR="007463B6">
        <w:t xml:space="preserve"> at this </w:t>
      </w:r>
      <w:r w:rsidR="00B014B7">
        <w:t>time</w:t>
      </w:r>
      <w:r w:rsidR="00AD124E">
        <w:t>.</w:t>
      </w:r>
      <w:r w:rsidR="001E0783">
        <w:t xml:space="preserve"> </w:t>
      </w:r>
      <w:r w:rsidR="00B014B7">
        <w:t xml:space="preserve">The outcomes </w:t>
      </w:r>
      <w:r w:rsidR="000D631D">
        <w:t xml:space="preserve">and financial viability </w:t>
      </w:r>
      <w:r w:rsidR="00B014B7">
        <w:t>of the PSO Scheme will continue to be monitored and reviewed over time</w:t>
      </w:r>
      <w:r w:rsidR="000D631D">
        <w:t xml:space="preserve">, and this will inform consideration of any future </w:t>
      </w:r>
      <w:r w:rsidR="00956F8E">
        <w:t>actions that may be</w:t>
      </w:r>
      <w:r w:rsidR="000D631D">
        <w:t xml:space="preserve"> necessary</w:t>
      </w:r>
      <w:r w:rsidR="00B014B7">
        <w:t xml:space="preserve"> to ensure its ongoing success.</w:t>
      </w:r>
    </w:p>
    <w:p w14:paraId="5B4505EE" w14:textId="77777777" w:rsidR="00E97C61" w:rsidRPr="00E97C61" w:rsidRDefault="00E97C61" w:rsidP="00E97C61"/>
    <w:p w14:paraId="5B4505EF" w14:textId="77777777" w:rsidR="00E97C61" w:rsidRPr="00E97C61" w:rsidRDefault="00E97C61" w:rsidP="00E97C61"/>
    <w:p w14:paraId="5B4505F0" w14:textId="77777777" w:rsidR="00E97C61" w:rsidRPr="00E97C61" w:rsidRDefault="00E97C61" w:rsidP="00E97C61"/>
    <w:p w14:paraId="5B4505F1" w14:textId="77777777" w:rsidR="00E97C61" w:rsidRPr="00E97C61" w:rsidRDefault="00E97C61" w:rsidP="00E97C61"/>
    <w:p w14:paraId="5B4505F2" w14:textId="77777777" w:rsidR="00E97C61" w:rsidRPr="00E97C61" w:rsidRDefault="00E97C61" w:rsidP="00E97C61"/>
    <w:p w14:paraId="5B4505F3" w14:textId="77777777" w:rsidR="00E97C61" w:rsidRPr="00E97C61" w:rsidRDefault="00E97C61" w:rsidP="00E97C61"/>
    <w:p w14:paraId="5B4505F4" w14:textId="77777777" w:rsidR="00E97C61" w:rsidRDefault="00E97C61" w:rsidP="00E97C61"/>
    <w:p w14:paraId="5B4505F5" w14:textId="77777777" w:rsidR="007E1995" w:rsidRPr="00E97C61" w:rsidRDefault="007E1995" w:rsidP="00E97C61">
      <w:pPr>
        <w:jc w:val="center"/>
      </w:pPr>
    </w:p>
    <w:p w14:paraId="5B4505F6" w14:textId="77777777" w:rsidR="00561CDD" w:rsidRPr="00C33142" w:rsidRDefault="00561CDD" w:rsidP="00BA7A84">
      <w:pPr>
        <w:pStyle w:val="ActHead2"/>
        <w:pageBreakBefore/>
        <w:ind w:left="0" w:right="-285" w:firstLine="0"/>
        <w:jc w:val="right"/>
        <w:rPr>
          <w:rStyle w:val="CharPartNo"/>
          <w:rFonts w:ascii="Arial" w:hAnsi="Arial" w:cs="Arial"/>
          <w:sz w:val="24"/>
          <w:szCs w:val="24"/>
        </w:rPr>
      </w:pPr>
      <w:bookmarkStart w:id="14" w:name="_Toc461004001"/>
      <w:bookmarkStart w:id="15" w:name="_Toc394304098"/>
      <w:r w:rsidRPr="00C33142">
        <w:rPr>
          <w:rStyle w:val="CharPartNo"/>
          <w:rFonts w:ascii="Arial" w:hAnsi="Arial" w:cs="Arial"/>
          <w:sz w:val="24"/>
          <w:szCs w:val="24"/>
        </w:rPr>
        <w:lastRenderedPageBreak/>
        <w:t xml:space="preserve">Appendix </w:t>
      </w:r>
      <w:r w:rsidR="00076D59">
        <w:rPr>
          <w:rStyle w:val="CharPartNo"/>
          <w:rFonts w:ascii="Arial" w:hAnsi="Arial" w:cs="Arial"/>
          <w:sz w:val="24"/>
          <w:szCs w:val="24"/>
        </w:rPr>
        <w:t>A</w:t>
      </w:r>
      <w:bookmarkEnd w:id="14"/>
    </w:p>
    <w:p w14:paraId="5B4505F7" w14:textId="77777777" w:rsidR="00561CDD" w:rsidRPr="00C33142" w:rsidRDefault="00561CDD" w:rsidP="00BA7A84">
      <w:pPr>
        <w:pStyle w:val="ActHead5"/>
        <w:ind w:right="-285"/>
        <w:jc w:val="center"/>
        <w:rPr>
          <w:rFonts w:ascii="Arial" w:hAnsi="Arial" w:cs="Arial"/>
          <w:sz w:val="28"/>
          <w:szCs w:val="28"/>
        </w:rPr>
      </w:pPr>
      <w:bookmarkStart w:id="16" w:name="_Toc394304099"/>
      <w:r w:rsidRPr="00C33142">
        <w:rPr>
          <w:rFonts w:ascii="Arial" w:hAnsi="Arial" w:cs="Arial"/>
          <w:sz w:val="28"/>
          <w:szCs w:val="28"/>
        </w:rPr>
        <w:t>Amount of product stewardship benefit</w:t>
      </w:r>
      <w:bookmarkEnd w:id="16"/>
      <w:r w:rsidR="0004579E" w:rsidRPr="00C33142">
        <w:rPr>
          <w:rFonts w:ascii="Arial" w:hAnsi="Arial" w:cs="Arial"/>
          <w:sz w:val="28"/>
          <w:szCs w:val="28"/>
        </w:rPr>
        <w:t>s</w:t>
      </w:r>
      <w:r w:rsidR="00CE7F97" w:rsidRPr="00C33142">
        <w:rPr>
          <w:rStyle w:val="CharSectno"/>
          <w:rFonts w:ascii="Arial" w:hAnsi="Arial" w:cs="Arial"/>
          <w:sz w:val="28"/>
          <w:szCs w:val="28"/>
        </w:rPr>
        <w:t xml:space="preserve"> </w:t>
      </w:r>
      <w:r w:rsidR="00480144" w:rsidRPr="00C33142">
        <w:rPr>
          <w:rStyle w:val="CharSectno"/>
          <w:rFonts w:ascii="Arial" w:hAnsi="Arial" w:cs="Arial"/>
          <w:sz w:val="28"/>
          <w:szCs w:val="28"/>
        </w:rPr>
        <w:t xml:space="preserve">as at </w:t>
      </w:r>
      <w:r w:rsidR="0004579E" w:rsidRPr="00C33142">
        <w:rPr>
          <w:rStyle w:val="CharSectno"/>
          <w:rFonts w:ascii="Arial" w:hAnsi="Arial" w:cs="Arial"/>
          <w:sz w:val="28"/>
          <w:szCs w:val="28"/>
        </w:rPr>
        <w:t xml:space="preserve">1 </w:t>
      </w:r>
      <w:r w:rsidR="00CE7F97" w:rsidRPr="00C33142">
        <w:rPr>
          <w:rStyle w:val="CharSectno"/>
          <w:rFonts w:ascii="Arial" w:hAnsi="Arial" w:cs="Arial"/>
          <w:sz w:val="28"/>
          <w:szCs w:val="28"/>
        </w:rPr>
        <w:t>July 2014</w:t>
      </w:r>
    </w:p>
    <w:p w14:paraId="5B4505F8" w14:textId="77777777" w:rsidR="00561CDD" w:rsidRPr="00C33142" w:rsidRDefault="008F18A3" w:rsidP="00BA7A84">
      <w:pPr>
        <w:pStyle w:val="subsection"/>
        <w:ind w:right="-285"/>
        <w:rPr>
          <w:rFonts w:ascii="Arial" w:hAnsi="Arial" w:cs="Arial"/>
          <w:sz w:val="16"/>
          <w:szCs w:val="16"/>
        </w:rPr>
      </w:pPr>
      <w:r w:rsidRPr="00C33142">
        <w:rPr>
          <w:rFonts w:ascii="Arial" w:hAnsi="Arial" w:cs="Arial"/>
        </w:rPr>
        <w:t xml:space="preserve">Part 2 of the </w:t>
      </w:r>
      <w:r w:rsidRPr="00C33142">
        <w:rPr>
          <w:rFonts w:ascii="Arial" w:hAnsi="Arial" w:cs="Arial"/>
          <w:i/>
        </w:rPr>
        <w:t>Product Stewardship (Oil) Regulations 2000</w:t>
      </w:r>
      <w:r w:rsidRPr="00C33142">
        <w:rPr>
          <w:rFonts w:ascii="Arial" w:hAnsi="Arial" w:cs="Arial"/>
        </w:rPr>
        <w:t xml:space="preserve"> </w:t>
      </w:r>
      <w:r w:rsidR="004B0D56" w:rsidRPr="00C33142">
        <w:rPr>
          <w:rFonts w:ascii="Arial" w:hAnsi="Arial" w:cs="Arial"/>
        </w:rPr>
        <w:t xml:space="preserve">specifies the conditions that apply to the entitlement to product stewardship (oil) benefits and provides </w:t>
      </w:r>
      <w:r w:rsidRPr="00C33142">
        <w:rPr>
          <w:rFonts w:ascii="Arial" w:hAnsi="Arial" w:cs="Arial"/>
        </w:rPr>
        <w:t xml:space="preserve">the following table </w:t>
      </w:r>
      <w:r w:rsidR="004B0D56" w:rsidRPr="00C33142">
        <w:rPr>
          <w:rFonts w:ascii="Arial" w:hAnsi="Arial" w:cs="Arial"/>
        </w:rPr>
        <w:t>of current benefits</w:t>
      </w:r>
      <w:r w:rsidR="00055D38" w:rsidRPr="00C33142">
        <w:rPr>
          <w:rFonts w:ascii="Arial" w:hAnsi="Arial" w:cs="Arial"/>
        </w:rPr>
        <w:t>.</w:t>
      </w:r>
      <w:r w:rsidR="001E0783">
        <w:rPr>
          <w:rFonts w:ascii="Arial" w:hAnsi="Arial" w:cs="Arial"/>
        </w:rPr>
        <w:t xml:space="preserve"> </w:t>
      </w:r>
    </w:p>
    <w:tbl>
      <w:tblPr>
        <w:tblW w:w="0" w:type="auto"/>
        <w:tblInd w:w="959"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4677"/>
        <w:gridCol w:w="951"/>
        <w:gridCol w:w="6"/>
      </w:tblGrid>
      <w:tr w:rsidR="00561CDD" w:rsidRPr="0078518D" w14:paraId="5B4505FC" w14:textId="77777777" w:rsidTr="00561CDD">
        <w:trPr>
          <w:gridAfter w:val="1"/>
          <w:wAfter w:w="6" w:type="dxa"/>
          <w:tblHeader/>
        </w:trPr>
        <w:tc>
          <w:tcPr>
            <w:tcW w:w="709" w:type="dxa"/>
            <w:tcBorders>
              <w:top w:val="single" w:sz="12" w:space="0" w:color="auto"/>
              <w:bottom w:val="single" w:sz="12" w:space="0" w:color="auto"/>
            </w:tcBorders>
            <w:shd w:val="clear" w:color="auto" w:fill="auto"/>
          </w:tcPr>
          <w:p w14:paraId="5B4505F9" w14:textId="77777777" w:rsidR="00561CDD" w:rsidRPr="0078518D" w:rsidRDefault="00561CDD" w:rsidP="00BA7A84">
            <w:pPr>
              <w:pStyle w:val="TableHeading"/>
              <w:ind w:right="-285"/>
            </w:pPr>
            <w:r w:rsidRPr="0078518D">
              <w:t>Item</w:t>
            </w:r>
          </w:p>
        </w:tc>
        <w:tc>
          <w:tcPr>
            <w:tcW w:w="4677" w:type="dxa"/>
            <w:tcBorders>
              <w:top w:val="single" w:sz="12" w:space="0" w:color="auto"/>
              <w:bottom w:val="single" w:sz="12" w:space="0" w:color="auto"/>
            </w:tcBorders>
            <w:shd w:val="clear" w:color="auto" w:fill="auto"/>
          </w:tcPr>
          <w:p w14:paraId="5B4505FA" w14:textId="77777777" w:rsidR="00561CDD" w:rsidRPr="0078518D" w:rsidRDefault="00561CDD" w:rsidP="00BA7A84">
            <w:pPr>
              <w:pStyle w:val="TableHeading"/>
              <w:ind w:right="-285"/>
            </w:pPr>
            <w:r w:rsidRPr="0078518D">
              <w:t>Category</w:t>
            </w:r>
          </w:p>
        </w:tc>
        <w:tc>
          <w:tcPr>
            <w:tcW w:w="951" w:type="dxa"/>
            <w:tcBorders>
              <w:top w:val="single" w:sz="12" w:space="0" w:color="auto"/>
              <w:bottom w:val="single" w:sz="12" w:space="0" w:color="auto"/>
            </w:tcBorders>
            <w:shd w:val="clear" w:color="auto" w:fill="auto"/>
          </w:tcPr>
          <w:p w14:paraId="5B4505FB" w14:textId="77777777" w:rsidR="00561CDD" w:rsidRPr="0078518D" w:rsidRDefault="00561CDD" w:rsidP="00BA7A84">
            <w:pPr>
              <w:pStyle w:val="TableHeading"/>
              <w:ind w:right="-285"/>
            </w:pPr>
            <w:r w:rsidRPr="0078518D">
              <w:t>Amount (cents/l)</w:t>
            </w:r>
          </w:p>
        </w:tc>
      </w:tr>
      <w:tr w:rsidR="00561CDD" w:rsidRPr="0078518D" w14:paraId="5B450600" w14:textId="77777777" w:rsidTr="00561CDD">
        <w:trPr>
          <w:gridAfter w:val="1"/>
          <w:wAfter w:w="6" w:type="dxa"/>
        </w:trPr>
        <w:tc>
          <w:tcPr>
            <w:tcW w:w="709" w:type="dxa"/>
            <w:tcBorders>
              <w:top w:val="single" w:sz="12" w:space="0" w:color="auto"/>
            </w:tcBorders>
            <w:shd w:val="clear" w:color="auto" w:fill="auto"/>
          </w:tcPr>
          <w:p w14:paraId="5B4505FD" w14:textId="77777777" w:rsidR="00561CDD" w:rsidRPr="0078518D" w:rsidRDefault="00561CDD" w:rsidP="00BA7A84">
            <w:pPr>
              <w:pStyle w:val="Tabletext0"/>
              <w:ind w:right="-285"/>
            </w:pPr>
            <w:r w:rsidRPr="0078518D">
              <w:t>1</w:t>
            </w:r>
          </w:p>
        </w:tc>
        <w:tc>
          <w:tcPr>
            <w:tcW w:w="4677" w:type="dxa"/>
            <w:tcBorders>
              <w:top w:val="single" w:sz="12" w:space="0" w:color="auto"/>
            </w:tcBorders>
            <w:shd w:val="clear" w:color="auto" w:fill="auto"/>
          </w:tcPr>
          <w:p w14:paraId="5B4505FE" w14:textId="77777777" w:rsidR="00561CDD" w:rsidRPr="0078518D" w:rsidRDefault="00561CDD" w:rsidP="00BA7A84">
            <w:pPr>
              <w:pStyle w:val="Tabletext0"/>
              <w:ind w:right="-285"/>
            </w:pPr>
            <w:r w:rsidRPr="0078518D">
              <w:t>Re</w:t>
            </w:r>
            <w:r>
              <w:noBreakHyphen/>
            </w:r>
            <w:r w:rsidRPr="0078518D">
              <w:t>refined base oil (for use as a lubricant or a hydraulic or transformer oil) that meets the criteria mentioned in Schedule</w:t>
            </w:r>
            <w:r>
              <w:t> </w:t>
            </w:r>
            <w:r w:rsidRPr="0078518D">
              <w:t>1</w:t>
            </w:r>
          </w:p>
        </w:tc>
        <w:tc>
          <w:tcPr>
            <w:tcW w:w="951" w:type="dxa"/>
            <w:tcBorders>
              <w:top w:val="single" w:sz="12" w:space="0" w:color="auto"/>
            </w:tcBorders>
            <w:shd w:val="clear" w:color="auto" w:fill="auto"/>
          </w:tcPr>
          <w:p w14:paraId="5B4505FF" w14:textId="77777777" w:rsidR="00561CDD" w:rsidRPr="0078518D" w:rsidRDefault="00561CDD" w:rsidP="00BA7A84">
            <w:pPr>
              <w:pStyle w:val="Tabletext0"/>
              <w:ind w:right="-285"/>
            </w:pPr>
            <w:r w:rsidRPr="0078518D">
              <w:t>50</w:t>
            </w:r>
          </w:p>
        </w:tc>
      </w:tr>
      <w:tr w:rsidR="00561CDD" w:rsidRPr="0078518D" w14:paraId="5B450604" w14:textId="77777777" w:rsidTr="00561CDD">
        <w:trPr>
          <w:gridAfter w:val="1"/>
          <w:wAfter w:w="6" w:type="dxa"/>
        </w:trPr>
        <w:tc>
          <w:tcPr>
            <w:tcW w:w="709" w:type="dxa"/>
            <w:shd w:val="clear" w:color="auto" w:fill="auto"/>
          </w:tcPr>
          <w:p w14:paraId="5B450601" w14:textId="77777777" w:rsidR="00561CDD" w:rsidRPr="0078518D" w:rsidRDefault="00561CDD" w:rsidP="00BA7A84">
            <w:pPr>
              <w:pStyle w:val="Tabletext0"/>
              <w:ind w:right="-285"/>
            </w:pPr>
            <w:r w:rsidRPr="0078518D">
              <w:t>2</w:t>
            </w:r>
          </w:p>
        </w:tc>
        <w:tc>
          <w:tcPr>
            <w:tcW w:w="4677" w:type="dxa"/>
            <w:shd w:val="clear" w:color="auto" w:fill="auto"/>
          </w:tcPr>
          <w:p w14:paraId="5B450602" w14:textId="77777777" w:rsidR="00561CDD" w:rsidRPr="0078518D" w:rsidRDefault="00561CDD" w:rsidP="00BA7A84">
            <w:pPr>
              <w:pStyle w:val="Tabletext0"/>
              <w:ind w:right="-285"/>
            </w:pPr>
            <w:r w:rsidRPr="0078518D">
              <w:t>Other re</w:t>
            </w:r>
            <w:r>
              <w:noBreakHyphen/>
            </w:r>
            <w:r w:rsidRPr="0078518D">
              <w:t>refined base oils</w:t>
            </w:r>
          </w:p>
        </w:tc>
        <w:tc>
          <w:tcPr>
            <w:tcW w:w="951" w:type="dxa"/>
            <w:shd w:val="clear" w:color="auto" w:fill="auto"/>
          </w:tcPr>
          <w:p w14:paraId="5B450603" w14:textId="77777777" w:rsidR="00561CDD" w:rsidRPr="0078518D" w:rsidRDefault="00561CDD" w:rsidP="00BA7A84">
            <w:pPr>
              <w:pStyle w:val="Tabletext0"/>
              <w:ind w:right="-285"/>
            </w:pPr>
            <w:r w:rsidRPr="0078518D">
              <w:t>10</w:t>
            </w:r>
          </w:p>
        </w:tc>
      </w:tr>
      <w:tr w:rsidR="00561CDD" w:rsidRPr="0078518D" w14:paraId="5B450608" w14:textId="77777777" w:rsidTr="00561CDD">
        <w:tc>
          <w:tcPr>
            <w:tcW w:w="709" w:type="dxa"/>
            <w:shd w:val="clear" w:color="auto" w:fill="auto"/>
          </w:tcPr>
          <w:p w14:paraId="5B450605" w14:textId="77777777" w:rsidR="00561CDD" w:rsidRPr="0078518D" w:rsidRDefault="00561CDD" w:rsidP="00BA7A84">
            <w:pPr>
              <w:pStyle w:val="Tabletext0"/>
              <w:ind w:right="-285"/>
            </w:pPr>
            <w:r w:rsidRPr="0078518D">
              <w:t>3</w:t>
            </w:r>
          </w:p>
        </w:tc>
        <w:tc>
          <w:tcPr>
            <w:tcW w:w="4677" w:type="dxa"/>
            <w:shd w:val="clear" w:color="auto" w:fill="auto"/>
          </w:tcPr>
          <w:p w14:paraId="5B450606" w14:textId="77777777" w:rsidR="00561CDD" w:rsidRPr="0078518D" w:rsidRDefault="00561CDD" w:rsidP="00BA7A84">
            <w:pPr>
              <w:pStyle w:val="Tabletext0"/>
              <w:ind w:right="-285"/>
            </w:pPr>
            <w:r w:rsidRPr="0078518D">
              <w:t xml:space="preserve">Diesel fuels that comply with the </w:t>
            </w:r>
            <w:r w:rsidRPr="0078518D">
              <w:rPr>
                <w:i/>
              </w:rPr>
              <w:t>Fuel Standard (Automotive Diesel) Determination</w:t>
            </w:r>
            <w:r>
              <w:rPr>
                <w:i/>
              </w:rPr>
              <w:t> </w:t>
            </w:r>
            <w:r w:rsidRPr="0078518D">
              <w:rPr>
                <w:i/>
              </w:rPr>
              <w:t>2001</w:t>
            </w:r>
            <w:r w:rsidRPr="0078518D">
              <w:t>, as in force from time to time</w:t>
            </w:r>
          </w:p>
        </w:tc>
        <w:tc>
          <w:tcPr>
            <w:tcW w:w="957" w:type="dxa"/>
            <w:gridSpan w:val="2"/>
            <w:shd w:val="clear" w:color="auto" w:fill="auto"/>
          </w:tcPr>
          <w:p w14:paraId="5B450607" w14:textId="77777777" w:rsidR="00561CDD" w:rsidRPr="0078518D" w:rsidRDefault="00561CDD" w:rsidP="00BA7A84">
            <w:pPr>
              <w:pStyle w:val="Tabletext0"/>
              <w:ind w:right="-285"/>
            </w:pPr>
            <w:r w:rsidRPr="0078518D">
              <w:t>7</w:t>
            </w:r>
          </w:p>
        </w:tc>
      </w:tr>
      <w:tr w:rsidR="00561CDD" w:rsidRPr="0078518D" w14:paraId="5B45060E" w14:textId="77777777" w:rsidTr="00561CDD">
        <w:trPr>
          <w:gridAfter w:val="1"/>
          <w:wAfter w:w="6" w:type="dxa"/>
          <w:cantSplit/>
        </w:trPr>
        <w:tc>
          <w:tcPr>
            <w:tcW w:w="709" w:type="dxa"/>
            <w:shd w:val="clear" w:color="auto" w:fill="auto"/>
          </w:tcPr>
          <w:p w14:paraId="5B450609" w14:textId="77777777" w:rsidR="00561CDD" w:rsidRPr="0078518D" w:rsidRDefault="00561CDD" w:rsidP="00BA7A84">
            <w:pPr>
              <w:pStyle w:val="Tabletext0"/>
              <w:ind w:right="-285"/>
            </w:pPr>
            <w:r w:rsidRPr="0078518D">
              <w:t>4</w:t>
            </w:r>
          </w:p>
        </w:tc>
        <w:tc>
          <w:tcPr>
            <w:tcW w:w="4677" w:type="dxa"/>
            <w:shd w:val="clear" w:color="auto" w:fill="auto"/>
          </w:tcPr>
          <w:p w14:paraId="5B45060A" w14:textId="77777777" w:rsidR="00561CDD" w:rsidRPr="0078518D" w:rsidRDefault="00561CDD" w:rsidP="00BA7A84">
            <w:pPr>
              <w:pStyle w:val="Tabletext0"/>
              <w:ind w:right="-285"/>
            </w:pPr>
            <w:r w:rsidRPr="0078518D">
              <w:t>Diesel extenders:</w:t>
            </w:r>
          </w:p>
          <w:p w14:paraId="5B45060B" w14:textId="77777777" w:rsidR="00561CDD" w:rsidRPr="0078518D" w:rsidRDefault="00561CDD" w:rsidP="00BA7A84">
            <w:pPr>
              <w:pStyle w:val="Tablea"/>
              <w:ind w:right="-285"/>
            </w:pPr>
            <w:r w:rsidRPr="0078518D">
              <w:t>(a) that are filtered, de</w:t>
            </w:r>
            <w:r>
              <w:noBreakHyphen/>
            </w:r>
            <w:r w:rsidRPr="0078518D">
              <w:t>watered and de</w:t>
            </w:r>
            <w:r>
              <w:noBreakHyphen/>
            </w:r>
            <w:r w:rsidRPr="0078518D">
              <w:t>mineralised; and</w:t>
            </w:r>
          </w:p>
          <w:p w14:paraId="5B45060C" w14:textId="77777777" w:rsidR="00561CDD" w:rsidRPr="0078518D" w:rsidRDefault="00561CDD" w:rsidP="00BA7A84">
            <w:pPr>
              <w:pStyle w:val="Tablea"/>
              <w:ind w:right="-285"/>
            </w:pPr>
            <w:r w:rsidRPr="0078518D">
              <w:t>(b) that, if combined with diesel fuels, would produce a combined fuel that complies with the Determination mentioned in item</w:t>
            </w:r>
            <w:r>
              <w:t> </w:t>
            </w:r>
            <w:r w:rsidRPr="0078518D">
              <w:t>3</w:t>
            </w:r>
          </w:p>
        </w:tc>
        <w:tc>
          <w:tcPr>
            <w:tcW w:w="951" w:type="dxa"/>
            <w:shd w:val="clear" w:color="auto" w:fill="auto"/>
          </w:tcPr>
          <w:p w14:paraId="5B45060D" w14:textId="77777777" w:rsidR="00561CDD" w:rsidRPr="0078518D" w:rsidRDefault="00561CDD" w:rsidP="00BA7A84">
            <w:pPr>
              <w:pStyle w:val="Tabletext0"/>
              <w:ind w:right="-285"/>
            </w:pPr>
            <w:r w:rsidRPr="0078518D">
              <w:t>5</w:t>
            </w:r>
          </w:p>
        </w:tc>
      </w:tr>
      <w:tr w:rsidR="00561CDD" w:rsidRPr="0078518D" w14:paraId="5B450612" w14:textId="77777777" w:rsidTr="00561CDD">
        <w:trPr>
          <w:gridAfter w:val="1"/>
          <w:wAfter w:w="6" w:type="dxa"/>
        </w:trPr>
        <w:tc>
          <w:tcPr>
            <w:tcW w:w="709" w:type="dxa"/>
            <w:shd w:val="clear" w:color="auto" w:fill="auto"/>
          </w:tcPr>
          <w:p w14:paraId="5B45060F" w14:textId="77777777" w:rsidR="00561CDD" w:rsidRPr="0078518D" w:rsidRDefault="00561CDD" w:rsidP="00BA7A84">
            <w:pPr>
              <w:pStyle w:val="Tabletext0"/>
              <w:ind w:right="-285"/>
            </w:pPr>
            <w:r w:rsidRPr="0078518D">
              <w:t>5</w:t>
            </w:r>
          </w:p>
        </w:tc>
        <w:tc>
          <w:tcPr>
            <w:tcW w:w="4677" w:type="dxa"/>
            <w:shd w:val="clear" w:color="auto" w:fill="auto"/>
          </w:tcPr>
          <w:p w14:paraId="5B450610" w14:textId="77777777" w:rsidR="00561CDD" w:rsidRPr="0078518D" w:rsidRDefault="00561CDD" w:rsidP="00BA7A84">
            <w:pPr>
              <w:pStyle w:val="Tabletext0"/>
              <w:ind w:right="-285"/>
            </w:pPr>
            <w:r w:rsidRPr="0078518D">
              <w:t>High grade industrial burning oils (filtered, de</w:t>
            </w:r>
            <w:r>
              <w:noBreakHyphen/>
            </w:r>
            <w:r w:rsidRPr="0078518D">
              <w:t>watered and de</w:t>
            </w:r>
            <w:r>
              <w:noBreakHyphen/>
            </w:r>
            <w:r w:rsidRPr="0078518D">
              <w:t>mineralised)</w:t>
            </w:r>
          </w:p>
        </w:tc>
        <w:tc>
          <w:tcPr>
            <w:tcW w:w="951" w:type="dxa"/>
            <w:shd w:val="clear" w:color="auto" w:fill="auto"/>
          </w:tcPr>
          <w:p w14:paraId="5B450611" w14:textId="77777777" w:rsidR="00561CDD" w:rsidRPr="0078518D" w:rsidRDefault="00561CDD" w:rsidP="00BA7A84">
            <w:pPr>
              <w:pStyle w:val="Tabletext0"/>
              <w:ind w:right="-285"/>
            </w:pPr>
            <w:r w:rsidRPr="0078518D">
              <w:t>5</w:t>
            </w:r>
          </w:p>
        </w:tc>
      </w:tr>
      <w:tr w:rsidR="00561CDD" w:rsidRPr="0078518D" w14:paraId="5B450616" w14:textId="77777777" w:rsidTr="00561CDD">
        <w:trPr>
          <w:gridAfter w:val="1"/>
          <w:wAfter w:w="6" w:type="dxa"/>
        </w:trPr>
        <w:tc>
          <w:tcPr>
            <w:tcW w:w="709" w:type="dxa"/>
            <w:shd w:val="clear" w:color="auto" w:fill="auto"/>
          </w:tcPr>
          <w:p w14:paraId="5B450613" w14:textId="77777777" w:rsidR="00561CDD" w:rsidRPr="0078518D" w:rsidRDefault="00561CDD" w:rsidP="00BA7A84">
            <w:pPr>
              <w:pStyle w:val="Tabletext0"/>
              <w:ind w:right="-285"/>
            </w:pPr>
            <w:r w:rsidRPr="0078518D">
              <w:t>6</w:t>
            </w:r>
          </w:p>
        </w:tc>
        <w:tc>
          <w:tcPr>
            <w:tcW w:w="4677" w:type="dxa"/>
            <w:shd w:val="clear" w:color="auto" w:fill="auto"/>
          </w:tcPr>
          <w:p w14:paraId="5B450614" w14:textId="77777777" w:rsidR="00561CDD" w:rsidRPr="0078518D" w:rsidRDefault="00561CDD" w:rsidP="00BA7A84">
            <w:pPr>
              <w:pStyle w:val="Tabletext0"/>
              <w:ind w:right="-285"/>
            </w:pPr>
            <w:r w:rsidRPr="0078518D">
              <w:t>Low grade industrial burning oils (filtered and de</w:t>
            </w:r>
            <w:r>
              <w:noBreakHyphen/>
            </w:r>
            <w:r w:rsidRPr="0078518D">
              <w:t>watered)</w:t>
            </w:r>
          </w:p>
        </w:tc>
        <w:tc>
          <w:tcPr>
            <w:tcW w:w="951" w:type="dxa"/>
            <w:shd w:val="clear" w:color="auto" w:fill="auto"/>
          </w:tcPr>
          <w:p w14:paraId="5B450615" w14:textId="77777777" w:rsidR="00561CDD" w:rsidRPr="0078518D" w:rsidRDefault="00561CDD" w:rsidP="00BA7A84">
            <w:pPr>
              <w:pStyle w:val="Tabletext0"/>
              <w:ind w:right="-285"/>
            </w:pPr>
            <w:r w:rsidRPr="0078518D">
              <w:t>3</w:t>
            </w:r>
            <w:r w:rsidR="0055133E">
              <w:rPr>
                <w:rStyle w:val="FootnoteReference"/>
              </w:rPr>
              <w:footnoteReference w:id="2"/>
            </w:r>
          </w:p>
        </w:tc>
      </w:tr>
      <w:tr w:rsidR="00561CDD" w:rsidRPr="0078518D" w14:paraId="5B45061A" w14:textId="77777777" w:rsidTr="00561CDD">
        <w:trPr>
          <w:gridAfter w:val="1"/>
          <w:wAfter w:w="6" w:type="dxa"/>
        </w:trPr>
        <w:tc>
          <w:tcPr>
            <w:tcW w:w="709" w:type="dxa"/>
            <w:shd w:val="clear" w:color="auto" w:fill="auto"/>
          </w:tcPr>
          <w:p w14:paraId="5B450617" w14:textId="77777777" w:rsidR="00561CDD" w:rsidRPr="0078518D" w:rsidRDefault="00561CDD" w:rsidP="00BA7A84">
            <w:pPr>
              <w:pStyle w:val="Tabletext0"/>
              <w:ind w:right="-285"/>
            </w:pPr>
            <w:r w:rsidRPr="0078518D">
              <w:t>7</w:t>
            </w:r>
          </w:p>
        </w:tc>
        <w:tc>
          <w:tcPr>
            <w:tcW w:w="4677" w:type="dxa"/>
            <w:shd w:val="clear" w:color="auto" w:fill="auto"/>
          </w:tcPr>
          <w:p w14:paraId="5B450618" w14:textId="77777777" w:rsidR="00561CDD" w:rsidRPr="0078518D" w:rsidRDefault="00561CDD" w:rsidP="00BA7A84">
            <w:pPr>
              <w:pStyle w:val="Tabletext0"/>
              <w:ind w:right="-285"/>
            </w:pPr>
            <w:r w:rsidRPr="0078518D">
              <w:t>Industrial process oils and lubricants, including hydraulic and transformer oils (re</w:t>
            </w:r>
            <w:r>
              <w:noBreakHyphen/>
            </w:r>
            <w:r w:rsidRPr="0078518D">
              <w:t>processed or filtered, but not re</w:t>
            </w:r>
            <w:r>
              <w:noBreakHyphen/>
            </w:r>
            <w:r w:rsidRPr="0078518D">
              <w:t>refined)</w:t>
            </w:r>
          </w:p>
        </w:tc>
        <w:tc>
          <w:tcPr>
            <w:tcW w:w="951" w:type="dxa"/>
            <w:shd w:val="clear" w:color="auto" w:fill="auto"/>
          </w:tcPr>
          <w:p w14:paraId="5B450619" w14:textId="77777777" w:rsidR="00561CDD" w:rsidRPr="0078518D" w:rsidRDefault="00561CDD" w:rsidP="00BA7A84">
            <w:pPr>
              <w:pStyle w:val="Tabletext0"/>
              <w:ind w:right="-285"/>
            </w:pPr>
            <w:r w:rsidRPr="0078518D">
              <w:t>0</w:t>
            </w:r>
          </w:p>
        </w:tc>
      </w:tr>
      <w:tr w:rsidR="00561CDD" w:rsidRPr="0078518D" w14:paraId="5B45061E" w14:textId="77777777" w:rsidTr="00561CDD">
        <w:trPr>
          <w:gridAfter w:val="1"/>
          <w:wAfter w:w="6" w:type="dxa"/>
        </w:trPr>
        <w:tc>
          <w:tcPr>
            <w:tcW w:w="709" w:type="dxa"/>
            <w:tcBorders>
              <w:bottom w:val="single" w:sz="4" w:space="0" w:color="auto"/>
            </w:tcBorders>
            <w:shd w:val="clear" w:color="auto" w:fill="auto"/>
          </w:tcPr>
          <w:p w14:paraId="5B45061B" w14:textId="77777777" w:rsidR="00561CDD" w:rsidRPr="0078518D" w:rsidRDefault="00561CDD" w:rsidP="00BA7A84">
            <w:pPr>
              <w:pStyle w:val="Tabletext0"/>
              <w:ind w:right="-285"/>
            </w:pPr>
            <w:r w:rsidRPr="0078518D">
              <w:t>8</w:t>
            </w:r>
          </w:p>
        </w:tc>
        <w:tc>
          <w:tcPr>
            <w:tcW w:w="4677" w:type="dxa"/>
            <w:tcBorders>
              <w:bottom w:val="single" w:sz="4" w:space="0" w:color="auto"/>
            </w:tcBorders>
            <w:shd w:val="clear" w:color="auto" w:fill="auto"/>
          </w:tcPr>
          <w:p w14:paraId="5B45061C" w14:textId="77777777" w:rsidR="00561CDD" w:rsidRPr="0078518D" w:rsidRDefault="00561CDD" w:rsidP="00BA7A84">
            <w:pPr>
              <w:pStyle w:val="Tabletext0"/>
              <w:ind w:right="-285"/>
            </w:pPr>
            <w:r w:rsidRPr="0078518D">
              <w:t>Gazetted oil consumed in Australia for a gazetted use</w:t>
            </w:r>
          </w:p>
        </w:tc>
        <w:tc>
          <w:tcPr>
            <w:tcW w:w="951" w:type="dxa"/>
            <w:tcBorders>
              <w:bottom w:val="single" w:sz="4" w:space="0" w:color="auto"/>
            </w:tcBorders>
            <w:shd w:val="clear" w:color="auto" w:fill="auto"/>
          </w:tcPr>
          <w:p w14:paraId="5B45061D" w14:textId="77777777" w:rsidR="00561CDD" w:rsidRPr="0078518D" w:rsidRDefault="00561CDD" w:rsidP="00BA7A84">
            <w:pPr>
              <w:pStyle w:val="Tabletext0"/>
              <w:ind w:right="-285"/>
            </w:pPr>
            <w:r w:rsidRPr="00D80236">
              <w:t>8.5</w:t>
            </w:r>
          </w:p>
        </w:tc>
      </w:tr>
      <w:tr w:rsidR="00561CDD" w:rsidRPr="0078518D" w14:paraId="5B450622" w14:textId="77777777" w:rsidTr="00561CDD">
        <w:trPr>
          <w:gridAfter w:val="1"/>
          <w:wAfter w:w="6" w:type="dxa"/>
        </w:trPr>
        <w:tc>
          <w:tcPr>
            <w:tcW w:w="709" w:type="dxa"/>
            <w:tcBorders>
              <w:bottom w:val="single" w:sz="12" w:space="0" w:color="auto"/>
            </w:tcBorders>
            <w:shd w:val="clear" w:color="auto" w:fill="auto"/>
          </w:tcPr>
          <w:p w14:paraId="5B45061F" w14:textId="77777777" w:rsidR="00561CDD" w:rsidRPr="0078518D" w:rsidRDefault="00561CDD" w:rsidP="00BA7A84">
            <w:pPr>
              <w:pStyle w:val="Tabletext0"/>
              <w:ind w:right="-285"/>
            </w:pPr>
            <w:r w:rsidRPr="0078518D">
              <w:t>9</w:t>
            </w:r>
          </w:p>
        </w:tc>
        <w:tc>
          <w:tcPr>
            <w:tcW w:w="4677" w:type="dxa"/>
            <w:tcBorders>
              <w:bottom w:val="single" w:sz="12" w:space="0" w:color="auto"/>
            </w:tcBorders>
            <w:shd w:val="clear" w:color="auto" w:fill="auto"/>
          </w:tcPr>
          <w:p w14:paraId="5B450620" w14:textId="77777777" w:rsidR="00561CDD" w:rsidRPr="0078518D" w:rsidRDefault="00561CDD" w:rsidP="00BA7A84">
            <w:pPr>
              <w:pStyle w:val="Tabletext0"/>
              <w:ind w:right="-285"/>
            </w:pPr>
            <w:r w:rsidRPr="0078518D">
              <w:t>recycled oil mentioned in item</w:t>
            </w:r>
            <w:r>
              <w:t> </w:t>
            </w:r>
            <w:r w:rsidRPr="0078518D">
              <w:t>5 or 6 that has been blended with a petroleum product that meets the criteria mentioned in Schedule</w:t>
            </w:r>
            <w:r>
              <w:t> </w:t>
            </w:r>
            <w:r w:rsidRPr="0078518D">
              <w:t xml:space="preserve">2 </w:t>
            </w:r>
          </w:p>
        </w:tc>
        <w:tc>
          <w:tcPr>
            <w:tcW w:w="951" w:type="dxa"/>
            <w:tcBorders>
              <w:bottom w:val="single" w:sz="12" w:space="0" w:color="auto"/>
            </w:tcBorders>
            <w:shd w:val="clear" w:color="auto" w:fill="auto"/>
          </w:tcPr>
          <w:p w14:paraId="5B450621" w14:textId="77777777" w:rsidR="00561CDD" w:rsidRPr="0078518D" w:rsidRDefault="00561CDD" w:rsidP="00BA7A84">
            <w:pPr>
              <w:pStyle w:val="Tabletext0"/>
              <w:ind w:right="-285"/>
            </w:pPr>
            <w:r w:rsidRPr="0078518D">
              <w:t>9.557</w:t>
            </w:r>
          </w:p>
        </w:tc>
      </w:tr>
    </w:tbl>
    <w:p w14:paraId="5B450623" w14:textId="77777777" w:rsidR="00561CDD" w:rsidRPr="00EF53FF" w:rsidRDefault="00561CDD" w:rsidP="00BA7A84">
      <w:pPr>
        <w:ind w:right="-285"/>
      </w:pPr>
    </w:p>
    <w:bookmarkEnd w:id="15"/>
    <w:p w14:paraId="5B450624" w14:textId="77777777" w:rsidR="00561CDD" w:rsidRPr="00561CDD" w:rsidRDefault="00561CDD" w:rsidP="00BA7A84">
      <w:pPr>
        <w:ind w:right="-285"/>
        <w:rPr>
          <w:lang w:eastAsia="en-AU"/>
        </w:rPr>
      </w:pPr>
    </w:p>
    <w:sectPr w:rsidR="00561CDD" w:rsidRPr="00561CDD" w:rsidSect="00791091">
      <w:headerReference w:type="even" r:id="rId14"/>
      <w:headerReference w:type="default" r:id="rId15"/>
      <w:footerReference w:type="even" r:id="rId16"/>
      <w:footerReference w:type="default" r:id="rId17"/>
      <w:headerReference w:type="first" r:id="rId18"/>
      <w:footerReference w:type="first" r:id="rId19"/>
      <w:pgSz w:w="11906" w:h="16838"/>
      <w:pgMar w:top="1134" w:right="1276" w:bottom="1134" w:left="1134"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50627" w14:textId="77777777" w:rsidR="000D631D" w:rsidRDefault="000D631D" w:rsidP="00A60185">
      <w:r>
        <w:separator/>
      </w:r>
    </w:p>
  </w:endnote>
  <w:endnote w:type="continuationSeparator" w:id="0">
    <w:p w14:paraId="5B450628" w14:textId="77777777" w:rsidR="000D631D" w:rsidRDefault="000D631D" w:rsidP="00A6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Web Pro">
    <w:altName w:val="Corbel"/>
    <w:charset w:val="00"/>
    <w:family w:val="swiss"/>
    <w:pitch w:val="variable"/>
    <w:sig w:usb0="8000002F" w:usb1="5000204A"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62A" w14:textId="77777777" w:rsidR="000D631D" w:rsidRDefault="000D631D" w:rsidP="00A76733">
    <w:pPr>
      <w:pStyle w:val="Footerclassification"/>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4622"/>
      <w:docPartObj>
        <w:docPartGallery w:val="Page Numbers (Bottom of Page)"/>
        <w:docPartUnique/>
      </w:docPartObj>
    </w:sdtPr>
    <w:sdtEndPr/>
    <w:sdtContent>
      <w:p w14:paraId="5B45062B" w14:textId="77777777" w:rsidR="000D631D" w:rsidRDefault="00831529">
        <w:pPr>
          <w:pStyle w:val="Footer"/>
          <w:jc w:val="center"/>
        </w:pPr>
        <w:r>
          <w:fldChar w:fldCharType="begin"/>
        </w:r>
        <w:r>
          <w:instrText xml:space="preserve"> PAGE   \* MERGEFORMAT </w:instrText>
        </w:r>
        <w:r>
          <w:fldChar w:fldCharType="separate"/>
        </w:r>
        <w:r w:rsidR="000D631D">
          <w:rPr>
            <w:noProof/>
          </w:rPr>
          <w:t>1</w:t>
        </w:r>
        <w:r>
          <w:rPr>
            <w:noProof/>
          </w:rPr>
          <w:fldChar w:fldCharType="end"/>
        </w:r>
      </w:p>
    </w:sdtContent>
  </w:sdt>
  <w:p w14:paraId="5B45062C" w14:textId="77777777" w:rsidR="000D631D" w:rsidRDefault="000D631D" w:rsidP="00A76733">
    <w:pPr>
      <w:pStyle w:val="Footerclassification"/>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62F" w14:textId="77777777" w:rsidR="000D631D" w:rsidRDefault="000D631D">
    <w:pPr>
      <w:pStyle w:val="Footer"/>
    </w:pPr>
    <w:r w:rsidRPr="001E3C58">
      <w:rPr>
        <w:noProof/>
        <w:lang w:eastAsia="en-AU"/>
      </w:rPr>
      <w:drawing>
        <wp:anchor distT="0" distB="0" distL="114300" distR="114300" simplePos="0" relativeHeight="251656704" behindDoc="0" locked="0" layoutInCell="1" allowOverlap="1" wp14:anchorId="5B45063B" wp14:editId="5B45063C">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632" w14:textId="77777777" w:rsidR="000D631D" w:rsidRDefault="000D63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5B450633" w14:textId="77777777" w:rsidR="000D631D" w:rsidRDefault="00831529">
        <w:pPr>
          <w:pStyle w:val="Footer"/>
          <w:jc w:val="center"/>
        </w:pPr>
        <w:r>
          <w:fldChar w:fldCharType="begin"/>
        </w:r>
        <w:r>
          <w:instrText xml:space="preserve"> PAGE   \* MERGEFORMAT </w:instrText>
        </w:r>
        <w:r>
          <w:fldChar w:fldCharType="separate"/>
        </w:r>
        <w:r w:rsidR="00F001FF">
          <w:rPr>
            <w:noProof/>
          </w:rPr>
          <w:t>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4640"/>
      <w:docPartObj>
        <w:docPartGallery w:val="Page Numbers (Bottom of Page)"/>
        <w:docPartUnique/>
      </w:docPartObj>
    </w:sdtPr>
    <w:sdtEndPr/>
    <w:sdtContent>
      <w:p w14:paraId="5B450635" w14:textId="77777777" w:rsidR="000D631D" w:rsidRDefault="00831529">
        <w:pPr>
          <w:pStyle w:val="Footer"/>
          <w:jc w:val="center"/>
        </w:pPr>
        <w:r>
          <w:fldChar w:fldCharType="begin"/>
        </w:r>
        <w:r>
          <w:instrText xml:space="preserve"> PAGE   \* MERGEFORMAT </w:instrText>
        </w:r>
        <w:r>
          <w:fldChar w:fldCharType="separate"/>
        </w:r>
        <w:r w:rsidR="00F001FF">
          <w:rPr>
            <w:noProof/>
          </w:rPr>
          <w:t>1</w:t>
        </w:r>
        <w:r>
          <w:rPr>
            <w:noProof/>
          </w:rPr>
          <w:fldChar w:fldCharType="end"/>
        </w:r>
      </w:p>
    </w:sdtContent>
  </w:sdt>
  <w:p w14:paraId="5B450636" w14:textId="77777777" w:rsidR="000D631D" w:rsidRDefault="000D63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50625" w14:textId="77777777" w:rsidR="000D631D" w:rsidRDefault="000D631D" w:rsidP="00A60185">
      <w:r>
        <w:separator/>
      </w:r>
    </w:p>
  </w:footnote>
  <w:footnote w:type="continuationSeparator" w:id="0">
    <w:p w14:paraId="5B450626" w14:textId="77777777" w:rsidR="000D631D" w:rsidRDefault="000D631D" w:rsidP="00A60185">
      <w:r>
        <w:continuationSeparator/>
      </w:r>
    </w:p>
  </w:footnote>
  <w:footnote w:id="1">
    <w:p w14:paraId="5B45063D" w14:textId="77777777" w:rsidR="000D631D" w:rsidRDefault="000D631D" w:rsidP="00A70AA6">
      <w:pPr>
        <w:pStyle w:val="FootnoteText"/>
        <w:ind w:left="284" w:hanging="284"/>
      </w:pPr>
      <w:r>
        <w:rPr>
          <w:rStyle w:val="FootnoteReference"/>
        </w:rPr>
        <w:footnoteRef/>
      </w:r>
      <w:r>
        <w:t xml:space="preserve">  Available at: </w:t>
      </w:r>
      <w:r w:rsidRPr="0045693A">
        <w:t>http://www.environment.gov.au/resource/third-independent-review-product-stewardship-oil-act-2000</w:t>
      </w:r>
    </w:p>
  </w:footnote>
  <w:footnote w:id="2">
    <w:p w14:paraId="5B45063E" w14:textId="77777777" w:rsidR="000D631D" w:rsidRDefault="000D631D">
      <w:pPr>
        <w:pStyle w:val="FootnoteText"/>
      </w:pPr>
      <w:r>
        <w:rPr>
          <w:rStyle w:val="FootnoteReference"/>
        </w:rPr>
        <w:footnoteRef/>
      </w:r>
      <w:r>
        <w:t xml:space="preserve"> The Australian Taxation Office no longer pays benefits for Category 6 products.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629" w14:textId="77777777" w:rsidR="000D631D" w:rsidRDefault="000D631D" w:rsidP="00E45765">
    <w:pPr>
      <w:pStyle w:val="Classification"/>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AC2DB" w14:textId="77777777" w:rsidR="00F001FF" w:rsidRDefault="00F001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62D" w14:textId="77777777" w:rsidR="000D631D" w:rsidRPr="00A20565" w:rsidRDefault="000D631D" w:rsidP="00A20565">
    <w:pPr>
      <w:pStyle w:val="Header"/>
      <w:jc w:val="right"/>
      <w:rPr>
        <w:b/>
        <w:sz w:val="24"/>
        <w:szCs w:val="24"/>
      </w:rPr>
    </w:pPr>
  </w:p>
  <w:p w14:paraId="5B45062E" w14:textId="77777777" w:rsidR="000D631D" w:rsidRDefault="000D631D">
    <w:pPr>
      <w:pStyle w:val="Header"/>
    </w:pPr>
    <w:r>
      <w:rPr>
        <w:noProof/>
        <w:lang w:eastAsia="en-AU"/>
      </w:rPr>
      <w:drawing>
        <wp:inline distT="0" distB="0" distL="0" distR="0" wp14:anchorId="5B450637" wp14:editId="5B450638">
          <wp:extent cx="3292768" cy="564760"/>
          <wp:effectExtent l="19050" t="0" r="2882" b="0"/>
          <wp:docPr id="3" name="Picture 2" descr="DotE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EE logo.png"/>
                  <pic:cNvPicPr/>
                </pic:nvPicPr>
                <pic:blipFill>
                  <a:blip r:embed="rId1"/>
                  <a:stretch>
                    <a:fillRect/>
                  </a:stretch>
                </pic:blipFill>
                <pic:spPr>
                  <a:xfrm>
                    <a:off x="0" y="0"/>
                    <a:ext cx="3292855" cy="564775"/>
                  </a:xfrm>
                  <a:prstGeom prst="rect">
                    <a:avLst/>
                  </a:prstGeom>
                </pic:spPr>
              </pic:pic>
            </a:graphicData>
          </a:graphic>
        </wp:inline>
      </w:drawing>
    </w:r>
    <w:r>
      <w:rPr>
        <w:noProof/>
        <w:lang w:eastAsia="en-AU"/>
      </w:rPr>
      <w:drawing>
        <wp:anchor distT="0" distB="0" distL="114300" distR="114300" simplePos="0" relativeHeight="251657728" behindDoc="1" locked="0" layoutInCell="1" allowOverlap="1" wp14:anchorId="5B450639" wp14:editId="5B45063A">
          <wp:simplePos x="0" y="0"/>
          <wp:positionH relativeFrom="page">
            <wp:posOffset>-2092</wp:posOffset>
          </wp:positionH>
          <wp:positionV relativeFrom="page">
            <wp:posOffset>5940957</wp:posOffset>
          </wp:positionV>
          <wp:extent cx="7596000" cy="3918788"/>
          <wp:effectExtent l="19050" t="0" r="495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630" w14:textId="77777777" w:rsidR="000D631D" w:rsidRDefault="009B1EA2" w:rsidP="00E45765">
    <w:pPr>
      <w:pStyle w:val="Classification"/>
    </w:pPr>
    <w:r>
      <w:fldChar w:fldCharType="begin"/>
    </w:r>
    <w:r w:rsidR="000D631D">
      <w:instrText xml:space="preserve"> DOCPROPERTY SecurityClassification \* MERGEFORMAT </w:instrText>
    </w:r>
    <w:r>
      <w:fldChar w:fldCharType="separate"/>
    </w:r>
    <w:r w:rsidR="005B4740">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631" w14:textId="77777777" w:rsidR="000D631D" w:rsidRPr="007E4FF7" w:rsidRDefault="000D631D" w:rsidP="007E4FF7">
    <w:pPr>
      <w:pStyle w:val="Header"/>
      <w:jc w:val="center"/>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634" w14:textId="77777777" w:rsidR="000D631D" w:rsidRDefault="000D63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56A3F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rPr>
    </w:lvl>
    <w:lvl w:ilvl="2">
      <w:start w:val="1"/>
      <w:numFmt w:val="decimal"/>
      <w:pStyle w:val="Heading3"/>
      <w:lvlText w:val="%1.%2.%3"/>
      <w:lvlJc w:val="left"/>
      <w:pPr>
        <w:tabs>
          <w:tab w:val="num" w:pos="1004"/>
        </w:tabs>
        <w:ind w:left="1004" w:hanging="720"/>
      </w:pPr>
      <w:rPr>
        <w:rFonts w:hint="default"/>
        <w:b/>
        <w:color w:val="auto"/>
      </w:rPr>
    </w:lvl>
    <w:lvl w:ilvl="3">
      <w:start w:val="1"/>
      <w:numFmt w:val="lowerLetter"/>
      <w:pStyle w:val="Heading4"/>
      <w:lvlText w:val="%4."/>
      <w:lvlJc w:val="left"/>
      <w:pPr>
        <w:tabs>
          <w:tab w:val="num" w:pos="864"/>
        </w:tabs>
        <w:ind w:left="864" w:hanging="864"/>
      </w:pPr>
      <w:rPr>
        <w:rFonts w:hint="default"/>
      </w:rPr>
    </w:lvl>
    <w:lvl w:ilvl="4">
      <w:start w:val="1"/>
      <w:numFmt w:val="lowerRoman"/>
      <w:pStyle w:val="Heading5"/>
      <w:lvlText w:val="%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5CB59A6"/>
    <w:multiLevelType w:val="multilevel"/>
    <w:tmpl w:val="DBB8C462"/>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0066E3"/>
    <w:multiLevelType w:val="multilevel"/>
    <w:tmpl w:val="CB44AED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rPr>
    </w:lvl>
    <w:lvl w:ilvl="2">
      <w:start w:val="1"/>
      <w:numFmt w:val="decimal"/>
      <w:lvlText w:val="%3."/>
      <w:lvlJc w:val="left"/>
      <w:pPr>
        <w:tabs>
          <w:tab w:val="num" w:pos="1004"/>
        </w:tabs>
        <w:ind w:left="1004" w:hanging="720"/>
      </w:pPr>
      <w:rPr>
        <w:rFonts w:hint="default"/>
        <w:b/>
        <w:color w:val="auto"/>
      </w:rPr>
    </w:lvl>
    <w:lvl w:ilvl="3">
      <w:start w:val="1"/>
      <w:numFmt w:val="lowerLetter"/>
      <w:lvlText w:val="%4."/>
      <w:lvlJc w:val="left"/>
      <w:pPr>
        <w:tabs>
          <w:tab w:val="num" w:pos="864"/>
        </w:tabs>
        <w:ind w:left="864" w:hanging="864"/>
      </w:pPr>
      <w:rPr>
        <w:rFonts w:hint="default"/>
      </w:rPr>
    </w:lvl>
    <w:lvl w:ilvl="4">
      <w:start w:val="1"/>
      <w:numFmt w:val="lowerRoman"/>
      <w:lvlText w:val="%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5F17E90"/>
    <w:multiLevelType w:val="singleLevel"/>
    <w:tmpl w:val="6158E45E"/>
    <w:lvl w:ilvl="0">
      <w:start w:val="1"/>
      <w:numFmt w:val="bullet"/>
      <w:pStyle w:val="legcomeasuredash"/>
      <w:lvlText w:val="-"/>
      <w:lvlJc w:val="left"/>
      <w:pPr>
        <w:tabs>
          <w:tab w:val="num" w:pos="397"/>
        </w:tabs>
        <w:ind w:left="397" w:hanging="397"/>
      </w:pPr>
      <w:rPr>
        <w:rFonts w:ascii="Times New Roman" w:hAnsi="Times New Roman" w:hint="default"/>
      </w:rPr>
    </w:lvl>
  </w:abstractNum>
  <w:abstractNum w:abstractNumId="5" w15:restartNumberingAfterBreak="0">
    <w:nsid w:val="1F745BC2"/>
    <w:multiLevelType w:val="multilevel"/>
    <w:tmpl w:val="E5E89F92"/>
    <w:numStyleLink w:val="BulletList"/>
  </w:abstractNum>
  <w:abstractNum w:abstractNumId="6" w15:restartNumberingAfterBreak="0">
    <w:nsid w:val="241F66E3"/>
    <w:multiLevelType w:val="hybridMultilevel"/>
    <w:tmpl w:val="54B40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8538B9"/>
    <w:multiLevelType w:val="multilevel"/>
    <w:tmpl w:val="BA9EDEA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C463E0"/>
    <w:multiLevelType w:val="multilevel"/>
    <w:tmpl w:val="4614D96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19D494A"/>
    <w:multiLevelType w:val="multilevel"/>
    <w:tmpl w:val="A99A2704"/>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5A070FEC"/>
    <w:multiLevelType w:val="multilevel"/>
    <w:tmpl w:val="400EB600"/>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108291E"/>
    <w:multiLevelType w:val="multilevel"/>
    <w:tmpl w:val="400EB600"/>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5456429"/>
    <w:multiLevelType w:val="multilevel"/>
    <w:tmpl w:val="E898CC72"/>
    <w:numStyleLink w:val="KeyPoints"/>
  </w:abstractNum>
  <w:abstractNum w:abstractNumId="14" w15:restartNumberingAfterBreak="0">
    <w:nsid w:val="6B0D3157"/>
    <w:multiLevelType w:val="hybridMultilevel"/>
    <w:tmpl w:val="3676B0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E951038"/>
    <w:multiLevelType w:val="hybridMultilevel"/>
    <w:tmpl w:val="E078D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5C51A5"/>
    <w:multiLevelType w:val="hybridMultilevel"/>
    <w:tmpl w:val="9134E346"/>
    <w:lvl w:ilvl="0" w:tplc="92C06DD2">
      <w:start w:val="1"/>
      <w:numFmt w:val="bullet"/>
      <w:pStyle w:val="bullets"/>
      <w:lvlText w:val=""/>
      <w:lvlJc w:val="left"/>
      <w:pPr>
        <w:ind w:left="360" w:hanging="360"/>
      </w:pPr>
      <w:rPr>
        <w:rFonts w:ascii="Symbol" w:hAnsi="Symbol" w:hint="default"/>
        <w:color w:val="000000"/>
      </w:rPr>
    </w:lvl>
    <w:lvl w:ilvl="1" w:tplc="3C2277A0">
      <w:start w:val="1"/>
      <w:numFmt w:val="bullet"/>
      <w:pStyle w:val="bullet2"/>
      <w:lvlText w:val="-"/>
      <w:lvlJc w:val="left"/>
      <w:pPr>
        <w:ind w:left="1080" w:hanging="360"/>
      </w:pPr>
      <w:rPr>
        <w:rFonts w:ascii="Courier New" w:hAnsi="Courier New" w:cs="Times New Roman" w:hint="default"/>
        <w:color w:val="7F7F7F"/>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15:restartNumberingAfterBreak="0">
    <w:nsid w:val="7CFB006B"/>
    <w:multiLevelType w:val="multilevel"/>
    <w:tmpl w:val="8C32F34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rPr>
    </w:lvl>
    <w:lvl w:ilvl="2">
      <w:start w:val="1"/>
      <w:numFmt w:val="decimal"/>
      <w:lvlText w:val="%3."/>
      <w:lvlJc w:val="left"/>
      <w:pPr>
        <w:tabs>
          <w:tab w:val="num" w:pos="1004"/>
        </w:tabs>
        <w:ind w:left="1004" w:hanging="720"/>
      </w:pPr>
      <w:rPr>
        <w:rFonts w:hint="default"/>
        <w:b/>
        <w:color w:val="auto"/>
      </w:rPr>
    </w:lvl>
    <w:lvl w:ilvl="3">
      <w:start w:val="1"/>
      <w:numFmt w:val="lowerLetter"/>
      <w:lvlText w:val="%4."/>
      <w:lvlJc w:val="left"/>
      <w:pPr>
        <w:tabs>
          <w:tab w:val="num" w:pos="864"/>
        </w:tabs>
        <w:ind w:left="864" w:hanging="864"/>
      </w:pPr>
      <w:rPr>
        <w:rFonts w:hint="default"/>
      </w:rPr>
    </w:lvl>
    <w:lvl w:ilvl="4">
      <w:start w:val="1"/>
      <w:numFmt w:val="lowerRoman"/>
      <w:lvlText w:val="%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8"/>
  </w:num>
  <w:num w:numId="2">
    <w:abstractNumId w:val="1"/>
  </w:num>
  <w:num w:numId="3">
    <w:abstractNumId w:val="8"/>
  </w:num>
  <w:num w:numId="4">
    <w:abstractNumId w:val="13"/>
  </w:num>
  <w:num w:numId="5">
    <w:abstractNumId w:val="5"/>
  </w:num>
  <w:num w:numId="6">
    <w:abstractNumId w:val="0"/>
  </w:num>
  <w:num w:numId="7">
    <w:abstractNumId w:val="17"/>
  </w:num>
  <w:num w:numId="8">
    <w:abstractNumId w:val="16"/>
  </w:num>
  <w:num w:numId="9">
    <w:abstractNumId w:val="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4"/>
  </w:num>
  <w:num w:numId="13">
    <w:abstractNumId w:val="19"/>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3"/>
  </w:num>
  <w:num w:numId="27">
    <w:abstractNumId w:val="9"/>
  </w:num>
  <w:num w:numId="28">
    <w:abstractNumId w:val="6"/>
  </w:num>
  <w:num w:numId="29">
    <w:abstractNumId w:val="12"/>
  </w:num>
  <w:num w:numId="30">
    <w:abstractNumId w:val="11"/>
  </w:num>
  <w:num w:numId="31">
    <w:abstractNumId w:val="2"/>
  </w:num>
  <w:num w:numId="32">
    <w:abstractNumId w:val="15"/>
  </w:num>
  <w:num w:numId="33">
    <w:abstractNumId w:val="7"/>
  </w:num>
  <w:num w:numId="34">
    <w:abstractNumId w:val="5"/>
  </w:num>
  <w:num w:numId="35">
    <w:abstractNumId w:val="5"/>
  </w:num>
  <w:num w:numId="3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2C53B0"/>
    <w:rsid w:val="00002627"/>
    <w:rsid w:val="00003AB7"/>
    <w:rsid w:val="00004AEE"/>
    <w:rsid w:val="00005CAA"/>
    <w:rsid w:val="00010210"/>
    <w:rsid w:val="0001131D"/>
    <w:rsid w:val="00012D66"/>
    <w:rsid w:val="00015786"/>
    <w:rsid w:val="00015ADA"/>
    <w:rsid w:val="00020C99"/>
    <w:rsid w:val="00022488"/>
    <w:rsid w:val="00026242"/>
    <w:rsid w:val="0002707B"/>
    <w:rsid w:val="00030471"/>
    <w:rsid w:val="00031D8C"/>
    <w:rsid w:val="00031F53"/>
    <w:rsid w:val="00032E2D"/>
    <w:rsid w:val="0003590A"/>
    <w:rsid w:val="0003629C"/>
    <w:rsid w:val="000372B0"/>
    <w:rsid w:val="00041154"/>
    <w:rsid w:val="00042A52"/>
    <w:rsid w:val="000430E5"/>
    <w:rsid w:val="0004560F"/>
    <w:rsid w:val="0004579E"/>
    <w:rsid w:val="000470A8"/>
    <w:rsid w:val="0005148E"/>
    <w:rsid w:val="00055D38"/>
    <w:rsid w:val="00056558"/>
    <w:rsid w:val="0005700F"/>
    <w:rsid w:val="000718F6"/>
    <w:rsid w:val="00071D38"/>
    <w:rsid w:val="00072C5A"/>
    <w:rsid w:val="000759E5"/>
    <w:rsid w:val="00076D59"/>
    <w:rsid w:val="0007716C"/>
    <w:rsid w:val="0007764E"/>
    <w:rsid w:val="0008064F"/>
    <w:rsid w:val="00083425"/>
    <w:rsid w:val="00084AC6"/>
    <w:rsid w:val="0008507A"/>
    <w:rsid w:val="0008697F"/>
    <w:rsid w:val="00091608"/>
    <w:rsid w:val="0009333C"/>
    <w:rsid w:val="000934D6"/>
    <w:rsid w:val="0009704F"/>
    <w:rsid w:val="000A0F11"/>
    <w:rsid w:val="000A125A"/>
    <w:rsid w:val="000A19DD"/>
    <w:rsid w:val="000A392C"/>
    <w:rsid w:val="000A57CD"/>
    <w:rsid w:val="000A5F73"/>
    <w:rsid w:val="000A7E94"/>
    <w:rsid w:val="000B171B"/>
    <w:rsid w:val="000B3758"/>
    <w:rsid w:val="000B7681"/>
    <w:rsid w:val="000B7B42"/>
    <w:rsid w:val="000C02B7"/>
    <w:rsid w:val="000C1C33"/>
    <w:rsid w:val="000C25D2"/>
    <w:rsid w:val="000C4453"/>
    <w:rsid w:val="000C5100"/>
    <w:rsid w:val="000C5342"/>
    <w:rsid w:val="000C547C"/>
    <w:rsid w:val="000C56C9"/>
    <w:rsid w:val="000C706A"/>
    <w:rsid w:val="000C7609"/>
    <w:rsid w:val="000D0456"/>
    <w:rsid w:val="000D2887"/>
    <w:rsid w:val="000D39EE"/>
    <w:rsid w:val="000D631D"/>
    <w:rsid w:val="000D6D63"/>
    <w:rsid w:val="000E0081"/>
    <w:rsid w:val="000E07CF"/>
    <w:rsid w:val="000E304B"/>
    <w:rsid w:val="000E304C"/>
    <w:rsid w:val="000E31C1"/>
    <w:rsid w:val="000E3FD0"/>
    <w:rsid w:val="000E40E2"/>
    <w:rsid w:val="000F2CF2"/>
    <w:rsid w:val="000F66BC"/>
    <w:rsid w:val="00100BEF"/>
    <w:rsid w:val="00100EF0"/>
    <w:rsid w:val="0010248F"/>
    <w:rsid w:val="00102560"/>
    <w:rsid w:val="00103AC6"/>
    <w:rsid w:val="00105556"/>
    <w:rsid w:val="00105BA5"/>
    <w:rsid w:val="00106BEF"/>
    <w:rsid w:val="00107606"/>
    <w:rsid w:val="00110847"/>
    <w:rsid w:val="00111326"/>
    <w:rsid w:val="00113BF2"/>
    <w:rsid w:val="0011498E"/>
    <w:rsid w:val="001166A5"/>
    <w:rsid w:val="00117720"/>
    <w:rsid w:val="00117A45"/>
    <w:rsid w:val="00121C43"/>
    <w:rsid w:val="001224AE"/>
    <w:rsid w:val="00125013"/>
    <w:rsid w:val="0012579E"/>
    <w:rsid w:val="00132001"/>
    <w:rsid w:val="00132FBD"/>
    <w:rsid w:val="001337D4"/>
    <w:rsid w:val="00134046"/>
    <w:rsid w:val="00134FF6"/>
    <w:rsid w:val="001357DF"/>
    <w:rsid w:val="00136D40"/>
    <w:rsid w:val="001419A5"/>
    <w:rsid w:val="00144551"/>
    <w:rsid w:val="00147C12"/>
    <w:rsid w:val="00150BBB"/>
    <w:rsid w:val="001527A1"/>
    <w:rsid w:val="001530DC"/>
    <w:rsid w:val="00154989"/>
    <w:rsid w:val="00155A9F"/>
    <w:rsid w:val="00155C9E"/>
    <w:rsid w:val="001571FA"/>
    <w:rsid w:val="00160262"/>
    <w:rsid w:val="00160887"/>
    <w:rsid w:val="00161BC8"/>
    <w:rsid w:val="00164A1A"/>
    <w:rsid w:val="00165744"/>
    <w:rsid w:val="0016780A"/>
    <w:rsid w:val="001713FA"/>
    <w:rsid w:val="00172264"/>
    <w:rsid w:val="00172623"/>
    <w:rsid w:val="00173EBF"/>
    <w:rsid w:val="00173EDA"/>
    <w:rsid w:val="00174C1D"/>
    <w:rsid w:val="00175ED3"/>
    <w:rsid w:val="00177358"/>
    <w:rsid w:val="00177D18"/>
    <w:rsid w:val="00182F14"/>
    <w:rsid w:val="001842A2"/>
    <w:rsid w:val="001857B8"/>
    <w:rsid w:val="00185E9A"/>
    <w:rsid w:val="00187064"/>
    <w:rsid w:val="00187FA8"/>
    <w:rsid w:val="00190CF3"/>
    <w:rsid w:val="00192592"/>
    <w:rsid w:val="00192F5E"/>
    <w:rsid w:val="001933E2"/>
    <w:rsid w:val="00195597"/>
    <w:rsid w:val="001965B0"/>
    <w:rsid w:val="00197772"/>
    <w:rsid w:val="001A005D"/>
    <w:rsid w:val="001A0218"/>
    <w:rsid w:val="001A19DF"/>
    <w:rsid w:val="001A24A9"/>
    <w:rsid w:val="001A51C8"/>
    <w:rsid w:val="001B4CA8"/>
    <w:rsid w:val="001B5708"/>
    <w:rsid w:val="001B5EA1"/>
    <w:rsid w:val="001B7DA3"/>
    <w:rsid w:val="001C4F3D"/>
    <w:rsid w:val="001C5281"/>
    <w:rsid w:val="001C67AB"/>
    <w:rsid w:val="001C7D80"/>
    <w:rsid w:val="001D0CDC"/>
    <w:rsid w:val="001D1D82"/>
    <w:rsid w:val="001D27C6"/>
    <w:rsid w:val="001D36ED"/>
    <w:rsid w:val="001D573E"/>
    <w:rsid w:val="001D6FDE"/>
    <w:rsid w:val="001E0783"/>
    <w:rsid w:val="001E1182"/>
    <w:rsid w:val="001F1819"/>
    <w:rsid w:val="001F252C"/>
    <w:rsid w:val="001F36AD"/>
    <w:rsid w:val="001F525D"/>
    <w:rsid w:val="001F536C"/>
    <w:rsid w:val="001F699F"/>
    <w:rsid w:val="001F77B9"/>
    <w:rsid w:val="0020018C"/>
    <w:rsid w:val="00200A2E"/>
    <w:rsid w:val="00201C46"/>
    <w:rsid w:val="00202C90"/>
    <w:rsid w:val="00213DE8"/>
    <w:rsid w:val="00216118"/>
    <w:rsid w:val="002161D4"/>
    <w:rsid w:val="002209AB"/>
    <w:rsid w:val="002210C0"/>
    <w:rsid w:val="00221518"/>
    <w:rsid w:val="00221C3A"/>
    <w:rsid w:val="002251E3"/>
    <w:rsid w:val="0022592A"/>
    <w:rsid w:val="00225F1D"/>
    <w:rsid w:val="002267F2"/>
    <w:rsid w:val="00227A95"/>
    <w:rsid w:val="002316BD"/>
    <w:rsid w:val="00233717"/>
    <w:rsid w:val="00234DAF"/>
    <w:rsid w:val="00237D96"/>
    <w:rsid w:val="002440C5"/>
    <w:rsid w:val="002473FC"/>
    <w:rsid w:val="00252E3C"/>
    <w:rsid w:val="002532D8"/>
    <w:rsid w:val="00253A13"/>
    <w:rsid w:val="002563BA"/>
    <w:rsid w:val="00257009"/>
    <w:rsid w:val="0026092B"/>
    <w:rsid w:val="00262198"/>
    <w:rsid w:val="002632CF"/>
    <w:rsid w:val="00263986"/>
    <w:rsid w:val="002728CB"/>
    <w:rsid w:val="00272CFA"/>
    <w:rsid w:val="00274548"/>
    <w:rsid w:val="00282F28"/>
    <w:rsid w:val="00283C5E"/>
    <w:rsid w:val="00285F1B"/>
    <w:rsid w:val="00286D9C"/>
    <w:rsid w:val="00290C9D"/>
    <w:rsid w:val="00291CE6"/>
    <w:rsid w:val="00292B81"/>
    <w:rsid w:val="00293DEB"/>
    <w:rsid w:val="0029446B"/>
    <w:rsid w:val="00296FBD"/>
    <w:rsid w:val="002A2A9D"/>
    <w:rsid w:val="002A412B"/>
    <w:rsid w:val="002A5B05"/>
    <w:rsid w:val="002A6E79"/>
    <w:rsid w:val="002A7BB4"/>
    <w:rsid w:val="002B0972"/>
    <w:rsid w:val="002B18AE"/>
    <w:rsid w:val="002B2376"/>
    <w:rsid w:val="002B4452"/>
    <w:rsid w:val="002C0D51"/>
    <w:rsid w:val="002C1C93"/>
    <w:rsid w:val="002C1CF7"/>
    <w:rsid w:val="002C2B61"/>
    <w:rsid w:val="002C3F49"/>
    <w:rsid w:val="002C4F6B"/>
    <w:rsid w:val="002C5066"/>
    <w:rsid w:val="002C53B0"/>
    <w:rsid w:val="002C5813"/>
    <w:rsid w:val="002D0185"/>
    <w:rsid w:val="002D39C8"/>
    <w:rsid w:val="002D4AAC"/>
    <w:rsid w:val="002D609F"/>
    <w:rsid w:val="002E19D6"/>
    <w:rsid w:val="002E4491"/>
    <w:rsid w:val="002E5BD7"/>
    <w:rsid w:val="002F045A"/>
    <w:rsid w:val="002F626C"/>
    <w:rsid w:val="0030039D"/>
    <w:rsid w:val="00300E2F"/>
    <w:rsid w:val="0030270B"/>
    <w:rsid w:val="0030326F"/>
    <w:rsid w:val="00304306"/>
    <w:rsid w:val="003048EF"/>
    <w:rsid w:val="00307CE4"/>
    <w:rsid w:val="00310701"/>
    <w:rsid w:val="0031264A"/>
    <w:rsid w:val="003131D8"/>
    <w:rsid w:val="00314B96"/>
    <w:rsid w:val="0031586A"/>
    <w:rsid w:val="00315980"/>
    <w:rsid w:val="00316F7F"/>
    <w:rsid w:val="00320A43"/>
    <w:rsid w:val="003218E8"/>
    <w:rsid w:val="00325E34"/>
    <w:rsid w:val="003268CA"/>
    <w:rsid w:val="00330DCE"/>
    <w:rsid w:val="00330EAB"/>
    <w:rsid w:val="00331E11"/>
    <w:rsid w:val="0033391C"/>
    <w:rsid w:val="00334316"/>
    <w:rsid w:val="003346B9"/>
    <w:rsid w:val="00334761"/>
    <w:rsid w:val="00337EBC"/>
    <w:rsid w:val="00340677"/>
    <w:rsid w:val="003409E9"/>
    <w:rsid w:val="00341DCD"/>
    <w:rsid w:val="003437AC"/>
    <w:rsid w:val="003448E4"/>
    <w:rsid w:val="00345209"/>
    <w:rsid w:val="0034563E"/>
    <w:rsid w:val="00347319"/>
    <w:rsid w:val="00350C11"/>
    <w:rsid w:val="003518D6"/>
    <w:rsid w:val="003525DF"/>
    <w:rsid w:val="0035460C"/>
    <w:rsid w:val="003556BD"/>
    <w:rsid w:val="003576B4"/>
    <w:rsid w:val="00364D3D"/>
    <w:rsid w:val="00365147"/>
    <w:rsid w:val="0036526C"/>
    <w:rsid w:val="0037016E"/>
    <w:rsid w:val="00372908"/>
    <w:rsid w:val="003730C8"/>
    <w:rsid w:val="00374076"/>
    <w:rsid w:val="00374183"/>
    <w:rsid w:val="003772D3"/>
    <w:rsid w:val="00380705"/>
    <w:rsid w:val="00383020"/>
    <w:rsid w:val="00384DF2"/>
    <w:rsid w:val="00385E83"/>
    <w:rsid w:val="00390FD4"/>
    <w:rsid w:val="003932A2"/>
    <w:rsid w:val="0039476C"/>
    <w:rsid w:val="0039495D"/>
    <w:rsid w:val="00394D7E"/>
    <w:rsid w:val="003975FD"/>
    <w:rsid w:val="003B057D"/>
    <w:rsid w:val="003B1093"/>
    <w:rsid w:val="003B15DA"/>
    <w:rsid w:val="003B2D90"/>
    <w:rsid w:val="003B4A3A"/>
    <w:rsid w:val="003B60CC"/>
    <w:rsid w:val="003B6E9C"/>
    <w:rsid w:val="003C1B25"/>
    <w:rsid w:val="003C2443"/>
    <w:rsid w:val="003C59BC"/>
    <w:rsid w:val="003C5DA3"/>
    <w:rsid w:val="003D051B"/>
    <w:rsid w:val="003D2C6D"/>
    <w:rsid w:val="003D4BCD"/>
    <w:rsid w:val="003D6C2B"/>
    <w:rsid w:val="003D7C5D"/>
    <w:rsid w:val="003E01D8"/>
    <w:rsid w:val="003E07EF"/>
    <w:rsid w:val="003E2100"/>
    <w:rsid w:val="003E5513"/>
    <w:rsid w:val="003F0A56"/>
    <w:rsid w:val="003F162F"/>
    <w:rsid w:val="003F34B0"/>
    <w:rsid w:val="003F6F5B"/>
    <w:rsid w:val="0040342D"/>
    <w:rsid w:val="004043DB"/>
    <w:rsid w:val="00407E39"/>
    <w:rsid w:val="00407F3B"/>
    <w:rsid w:val="0041027E"/>
    <w:rsid w:val="0041192D"/>
    <w:rsid w:val="00413EE1"/>
    <w:rsid w:val="00416B6C"/>
    <w:rsid w:val="00417662"/>
    <w:rsid w:val="00420E0D"/>
    <w:rsid w:val="0042128E"/>
    <w:rsid w:val="004233D0"/>
    <w:rsid w:val="0042415F"/>
    <w:rsid w:val="00424C8E"/>
    <w:rsid w:val="004329F5"/>
    <w:rsid w:val="00432B60"/>
    <w:rsid w:val="004330A9"/>
    <w:rsid w:val="00433B21"/>
    <w:rsid w:val="00440698"/>
    <w:rsid w:val="00441E45"/>
    <w:rsid w:val="00442110"/>
    <w:rsid w:val="00443A07"/>
    <w:rsid w:val="00445946"/>
    <w:rsid w:val="00445FE1"/>
    <w:rsid w:val="004505B1"/>
    <w:rsid w:val="004540E2"/>
    <w:rsid w:val="00454454"/>
    <w:rsid w:val="0045497E"/>
    <w:rsid w:val="0045693A"/>
    <w:rsid w:val="00463A8B"/>
    <w:rsid w:val="00464F22"/>
    <w:rsid w:val="00465652"/>
    <w:rsid w:val="00467924"/>
    <w:rsid w:val="004712A5"/>
    <w:rsid w:val="0047266F"/>
    <w:rsid w:val="004736D7"/>
    <w:rsid w:val="00474A3C"/>
    <w:rsid w:val="00474E78"/>
    <w:rsid w:val="00476D6B"/>
    <w:rsid w:val="00480144"/>
    <w:rsid w:val="00482B12"/>
    <w:rsid w:val="00483394"/>
    <w:rsid w:val="0048357C"/>
    <w:rsid w:val="00490E19"/>
    <w:rsid w:val="00492C16"/>
    <w:rsid w:val="00496453"/>
    <w:rsid w:val="004A0678"/>
    <w:rsid w:val="004A1022"/>
    <w:rsid w:val="004A48A3"/>
    <w:rsid w:val="004B0D56"/>
    <w:rsid w:val="004B0D92"/>
    <w:rsid w:val="004B0EC0"/>
    <w:rsid w:val="004B1FE0"/>
    <w:rsid w:val="004B5DD0"/>
    <w:rsid w:val="004B66F1"/>
    <w:rsid w:val="004C3E1F"/>
    <w:rsid w:val="004C3EA0"/>
    <w:rsid w:val="004D6552"/>
    <w:rsid w:val="004D7861"/>
    <w:rsid w:val="004E28EE"/>
    <w:rsid w:val="004E4F75"/>
    <w:rsid w:val="004F07FB"/>
    <w:rsid w:val="004F0908"/>
    <w:rsid w:val="004F179E"/>
    <w:rsid w:val="004F7169"/>
    <w:rsid w:val="00500D66"/>
    <w:rsid w:val="00502819"/>
    <w:rsid w:val="00503181"/>
    <w:rsid w:val="00506259"/>
    <w:rsid w:val="00511502"/>
    <w:rsid w:val="0051214F"/>
    <w:rsid w:val="005145D4"/>
    <w:rsid w:val="00514C49"/>
    <w:rsid w:val="00514C8E"/>
    <w:rsid w:val="005161EC"/>
    <w:rsid w:val="00521399"/>
    <w:rsid w:val="005236A4"/>
    <w:rsid w:val="00523BC9"/>
    <w:rsid w:val="005270D3"/>
    <w:rsid w:val="005312D1"/>
    <w:rsid w:val="00531DBF"/>
    <w:rsid w:val="00532C53"/>
    <w:rsid w:val="00534045"/>
    <w:rsid w:val="0053489C"/>
    <w:rsid w:val="00535121"/>
    <w:rsid w:val="00536326"/>
    <w:rsid w:val="00536F02"/>
    <w:rsid w:val="0054260C"/>
    <w:rsid w:val="00545759"/>
    <w:rsid w:val="00545BE0"/>
    <w:rsid w:val="00546363"/>
    <w:rsid w:val="00546930"/>
    <w:rsid w:val="0055133E"/>
    <w:rsid w:val="0055302C"/>
    <w:rsid w:val="005544A7"/>
    <w:rsid w:val="00554C6A"/>
    <w:rsid w:val="0055580C"/>
    <w:rsid w:val="0055653D"/>
    <w:rsid w:val="00556BCC"/>
    <w:rsid w:val="005603EE"/>
    <w:rsid w:val="00560492"/>
    <w:rsid w:val="0056178C"/>
    <w:rsid w:val="00561CDD"/>
    <w:rsid w:val="00562E85"/>
    <w:rsid w:val="0056332F"/>
    <w:rsid w:val="005712A3"/>
    <w:rsid w:val="005719B3"/>
    <w:rsid w:val="00571C2C"/>
    <w:rsid w:val="0057295E"/>
    <w:rsid w:val="00574BF6"/>
    <w:rsid w:val="00575021"/>
    <w:rsid w:val="00581C39"/>
    <w:rsid w:val="005822D4"/>
    <w:rsid w:val="00583307"/>
    <w:rsid w:val="0058336D"/>
    <w:rsid w:val="0058408E"/>
    <w:rsid w:val="005879D6"/>
    <w:rsid w:val="005903B6"/>
    <w:rsid w:val="0059351D"/>
    <w:rsid w:val="005956AE"/>
    <w:rsid w:val="005A0247"/>
    <w:rsid w:val="005A126E"/>
    <w:rsid w:val="005A3667"/>
    <w:rsid w:val="005A452F"/>
    <w:rsid w:val="005A5205"/>
    <w:rsid w:val="005A5A6B"/>
    <w:rsid w:val="005B140D"/>
    <w:rsid w:val="005B3BD0"/>
    <w:rsid w:val="005B3E88"/>
    <w:rsid w:val="005B4740"/>
    <w:rsid w:val="005B69F0"/>
    <w:rsid w:val="005C0CD7"/>
    <w:rsid w:val="005C1FEA"/>
    <w:rsid w:val="005C2155"/>
    <w:rsid w:val="005C257C"/>
    <w:rsid w:val="005C3495"/>
    <w:rsid w:val="005D511C"/>
    <w:rsid w:val="005E3BA0"/>
    <w:rsid w:val="005E3DFC"/>
    <w:rsid w:val="005E4A3C"/>
    <w:rsid w:val="005E5942"/>
    <w:rsid w:val="005E60AF"/>
    <w:rsid w:val="005F1DEA"/>
    <w:rsid w:val="005F77B9"/>
    <w:rsid w:val="005F7BF0"/>
    <w:rsid w:val="0060273A"/>
    <w:rsid w:val="00607FC9"/>
    <w:rsid w:val="00611AD1"/>
    <w:rsid w:val="00611ADB"/>
    <w:rsid w:val="006157EE"/>
    <w:rsid w:val="00616771"/>
    <w:rsid w:val="00620423"/>
    <w:rsid w:val="00621A11"/>
    <w:rsid w:val="00621EEA"/>
    <w:rsid w:val="00622FE1"/>
    <w:rsid w:val="00623F96"/>
    <w:rsid w:val="0062521C"/>
    <w:rsid w:val="006300BD"/>
    <w:rsid w:val="00630A2B"/>
    <w:rsid w:val="00630C20"/>
    <w:rsid w:val="00631815"/>
    <w:rsid w:val="00632DC7"/>
    <w:rsid w:val="00633974"/>
    <w:rsid w:val="006357FB"/>
    <w:rsid w:val="00636106"/>
    <w:rsid w:val="006406FC"/>
    <w:rsid w:val="00640E57"/>
    <w:rsid w:val="00643E38"/>
    <w:rsid w:val="00646122"/>
    <w:rsid w:val="006463E8"/>
    <w:rsid w:val="006512F5"/>
    <w:rsid w:val="00651CAC"/>
    <w:rsid w:val="00653082"/>
    <w:rsid w:val="00653E16"/>
    <w:rsid w:val="006563F8"/>
    <w:rsid w:val="00656E9A"/>
    <w:rsid w:val="00656EE3"/>
    <w:rsid w:val="00657220"/>
    <w:rsid w:val="00657362"/>
    <w:rsid w:val="00657B2F"/>
    <w:rsid w:val="0066104B"/>
    <w:rsid w:val="006615F1"/>
    <w:rsid w:val="00662087"/>
    <w:rsid w:val="00664E7C"/>
    <w:rsid w:val="006655EE"/>
    <w:rsid w:val="006663EE"/>
    <w:rsid w:val="00667816"/>
    <w:rsid w:val="00667C10"/>
    <w:rsid w:val="00667EF4"/>
    <w:rsid w:val="00670E4B"/>
    <w:rsid w:val="00671E77"/>
    <w:rsid w:val="006733E3"/>
    <w:rsid w:val="00675CED"/>
    <w:rsid w:val="00676FCA"/>
    <w:rsid w:val="00677177"/>
    <w:rsid w:val="006847EE"/>
    <w:rsid w:val="006849D5"/>
    <w:rsid w:val="00685F20"/>
    <w:rsid w:val="0068612E"/>
    <w:rsid w:val="00686B20"/>
    <w:rsid w:val="00686D31"/>
    <w:rsid w:val="00687526"/>
    <w:rsid w:val="00687C92"/>
    <w:rsid w:val="00687D42"/>
    <w:rsid w:val="006907D5"/>
    <w:rsid w:val="00691309"/>
    <w:rsid w:val="0069534E"/>
    <w:rsid w:val="006957CD"/>
    <w:rsid w:val="0069669C"/>
    <w:rsid w:val="006A0123"/>
    <w:rsid w:val="006A1200"/>
    <w:rsid w:val="006A342A"/>
    <w:rsid w:val="006A42C4"/>
    <w:rsid w:val="006A4A40"/>
    <w:rsid w:val="006A4F4E"/>
    <w:rsid w:val="006A6C23"/>
    <w:rsid w:val="006A7839"/>
    <w:rsid w:val="006B14DB"/>
    <w:rsid w:val="006B21C4"/>
    <w:rsid w:val="006B3160"/>
    <w:rsid w:val="006C3810"/>
    <w:rsid w:val="006C4A1A"/>
    <w:rsid w:val="006C6CCC"/>
    <w:rsid w:val="006D0179"/>
    <w:rsid w:val="006D0393"/>
    <w:rsid w:val="006D1A83"/>
    <w:rsid w:val="006D47F8"/>
    <w:rsid w:val="006E0BDA"/>
    <w:rsid w:val="006E1C7E"/>
    <w:rsid w:val="006E1CFE"/>
    <w:rsid w:val="006E2785"/>
    <w:rsid w:val="006E60A0"/>
    <w:rsid w:val="006F10C4"/>
    <w:rsid w:val="006F3FC7"/>
    <w:rsid w:val="006F40E9"/>
    <w:rsid w:val="006F5603"/>
    <w:rsid w:val="0070047E"/>
    <w:rsid w:val="00700570"/>
    <w:rsid w:val="00701400"/>
    <w:rsid w:val="00703743"/>
    <w:rsid w:val="007037CF"/>
    <w:rsid w:val="00705289"/>
    <w:rsid w:val="007102F9"/>
    <w:rsid w:val="007167C0"/>
    <w:rsid w:val="00716818"/>
    <w:rsid w:val="00720481"/>
    <w:rsid w:val="007204AF"/>
    <w:rsid w:val="00722564"/>
    <w:rsid w:val="00723107"/>
    <w:rsid w:val="007236BF"/>
    <w:rsid w:val="007237C5"/>
    <w:rsid w:val="00725563"/>
    <w:rsid w:val="007255D5"/>
    <w:rsid w:val="00732B53"/>
    <w:rsid w:val="00733193"/>
    <w:rsid w:val="00735D0A"/>
    <w:rsid w:val="00736CBB"/>
    <w:rsid w:val="00744DDA"/>
    <w:rsid w:val="00744EF6"/>
    <w:rsid w:val="0074560B"/>
    <w:rsid w:val="00745E03"/>
    <w:rsid w:val="007463B6"/>
    <w:rsid w:val="00752BC7"/>
    <w:rsid w:val="00755C03"/>
    <w:rsid w:val="0075732A"/>
    <w:rsid w:val="00757CEE"/>
    <w:rsid w:val="007600F8"/>
    <w:rsid w:val="00760262"/>
    <w:rsid w:val="00761F4C"/>
    <w:rsid w:val="0076310C"/>
    <w:rsid w:val="0076467D"/>
    <w:rsid w:val="007647CE"/>
    <w:rsid w:val="0076588C"/>
    <w:rsid w:val="00767325"/>
    <w:rsid w:val="0076744F"/>
    <w:rsid w:val="00767BCE"/>
    <w:rsid w:val="00767EFC"/>
    <w:rsid w:val="007707DE"/>
    <w:rsid w:val="00770B5D"/>
    <w:rsid w:val="00772132"/>
    <w:rsid w:val="0077444C"/>
    <w:rsid w:val="007752F1"/>
    <w:rsid w:val="00776768"/>
    <w:rsid w:val="00777029"/>
    <w:rsid w:val="00777316"/>
    <w:rsid w:val="007804FA"/>
    <w:rsid w:val="0078187A"/>
    <w:rsid w:val="00784457"/>
    <w:rsid w:val="0078576A"/>
    <w:rsid w:val="00791091"/>
    <w:rsid w:val="007972D6"/>
    <w:rsid w:val="007A00BE"/>
    <w:rsid w:val="007A12C3"/>
    <w:rsid w:val="007A2573"/>
    <w:rsid w:val="007A5EFD"/>
    <w:rsid w:val="007B106C"/>
    <w:rsid w:val="007B1A4E"/>
    <w:rsid w:val="007B1C71"/>
    <w:rsid w:val="007B3D05"/>
    <w:rsid w:val="007B4209"/>
    <w:rsid w:val="007B5503"/>
    <w:rsid w:val="007B59B2"/>
    <w:rsid w:val="007C04AB"/>
    <w:rsid w:val="007C179C"/>
    <w:rsid w:val="007C3C3D"/>
    <w:rsid w:val="007C6BB3"/>
    <w:rsid w:val="007D14B4"/>
    <w:rsid w:val="007D3AD7"/>
    <w:rsid w:val="007D4EA6"/>
    <w:rsid w:val="007D771E"/>
    <w:rsid w:val="007E074E"/>
    <w:rsid w:val="007E09C1"/>
    <w:rsid w:val="007E1995"/>
    <w:rsid w:val="007E24F6"/>
    <w:rsid w:val="007E2568"/>
    <w:rsid w:val="007E4FF7"/>
    <w:rsid w:val="007E7CD0"/>
    <w:rsid w:val="007F1207"/>
    <w:rsid w:val="007F3408"/>
    <w:rsid w:val="007F35EA"/>
    <w:rsid w:val="007F671E"/>
    <w:rsid w:val="007F7871"/>
    <w:rsid w:val="007F79E5"/>
    <w:rsid w:val="0080087B"/>
    <w:rsid w:val="00800F64"/>
    <w:rsid w:val="00801050"/>
    <w:rsid w:val="00802F0B"/>
    <w:rsid w:val="00804891"/>
    <w:rsid w:val="00810A67"/>
    <w:rsid w:val="00811540"/>
    <w:rsid w:val="00813D5F"/>
    <w:rsid w:val="0081411E"/>
    <w:rsid w:val="00816B66"/>
    <w:rsid w:val="00820A35"/>
    <w:rsid w:val="00820FE3"/>
    <w:rsid w:val="00821F79"/>
    <w:rsid w:val="00823F39"/>
    <w:rsid w:val="008248D9"/>
    <w:rsid w:val="00826B99"/>
    <w:rsid w:val="00830216"/>
    <w:rsid w:val="00831529"/>
    <w:rsid w:val="00833CF7"/>
    <w:rsid w:val="00834CDE"/>
    <w:rsid w:val="008365E1"/>
    <w:rsid w:val="00836E8C"/>
    <w:rsid w:val="00842464"/>
    <w:rsid w:val="008446B1"/>
    <w:rsid w:val="00845601"/>
    <w:rsid w:val="00852E8B"/>
    <w:rsid w:val="00855C5C"/>
    <w:rsid w:val="00870A19"/>
    <w:rsid w:val="00871C94"/>
    <w:rsid w:val="00871E70"/>
    <w:rsid w:val="00875283"/>
    <w:rsid w:val="008762E2"/>
    <w:rsid w:val="008815BE"/>
    <w:rsid w:val="00883C08"/>
    <w:rsid w:val="00885324"/>
    <w:rsid w:val="0088644E"/>
    <w:rsid w:val="00890609"/>
    <w:rsid w:val="00890CAC"/>
    <w:rsid w:val="00891433"/>
    <w:rsid w:val="0089357B"/>
    <w:rsid w:val="0089421D"/>
    <w:rsid w:val="008956D1"/>
    <w:rsid w:val="00896CC9"/>
    <w:rsid w:val="00896E12"/>
    <w:rsid w:val="00897CB2"/>
    <w:rsid w:val="00897F99"/>
    <w:rsid w:val="008A3C96"/>
    <w:rsid w:val="008A4691"/>
    <w:rsid w:val="008A55C7"/>
    <w:rsid w:val="008A6A00"/>
    <w:rsid w:val="008A6CB7"/>
    <w:rsid w:val="008B1458"/>
    <w:rsid w:val="008B1882"/>
    <w:rsid w:val="008B3974"/>
    <w:rsid w:val="008B4019"/>
    <w:rsid w:val="008B593C"/>
    <w:rsid w:val="008B65C9"/>
    <w:rsid w:val="008B664C"/>
    <w:rsid w:val="008B72AD"/>
    <w:rsid w:val="008C24A9"/>
    <w:rsid w:val="008C26CD"/>
    <w:rsid w:val="008C2D4A"/>
    <w:rsid w:val="008C31DF"/>
    <w:rsid w:val="008C439D"/>
    <w:rsid w:val="008D3900"/>
    <w:rsid w:val="008D5A66"/>
    <w:rsid w:val="008D6E1D"/>
    <w:rsid w:val="008E0DFA"/>
    <w:rsid w:val="008E152C"/>
    <w:rsid w:val="008E2009"/>
    <w:rsid w:val="008E25F2"/>
    <w:rsid w:val="008E4A60"/>
    <w:rsid w:val="008F15EA"/>
    <w:rsid w:val="008F17D0"/>
    <w:rsid w:val="008F18A3"/>
    <w:rsid w:val="008F21F6"/>
    <w:rsid w:val="008F383D"/>
    <w:rsid w:val="008F39B4"/>
    <w:rsid w:val="008F4162"/>
    <w:rsid w:val="008F43EE"/>
    <w:rsid w:val="008F51B3"/>
    <w:rsid w:val="00900DC3"/>
    <w:rsid w:val="00903E02"/>
    <w:rsid w:val="00906610"/>
    <w:rsid w:val="00910083"/>
    <w:rsid w:val="00910F2F"/>
    <w:rsid w:val="00912C6D"/>
    <w:rsid w:val="00913175"/>
    <w:rsid w:val="00914E90"/>
    <w:rsid w:val="00916EDB"/>
    <w:rsid w:val="009202D7"/>
    <w:rsid w:val="00920861"/>
    <w:rsid w:val="00920BC9"/>
    <w:rsid w:val="00922B13"/>
    <w:rsid w:val="00923445"/>
    <w:rsid w:val="009242EF"/>
    <w:rsid w:val="00925E92"/>
    <w:rsid w:val="009272A6"/>
    <w:rsid w:val="00927B82"/>
    <w:rsid w:val="00930341"/>
    <w:rsid w:val="00932291"/>
    <w:rsid w:val="009327B2"/>
    <w:rsid w:val="00932861"/>
    <w:rsid w:val="00933C6B"/>
    <w:rsid w:val="0093408E"/>
    <w:rsid w:val="0093440E"/>
    <w:rsid w:val="00936879"/>
    <w:rsid w:val="00943B73"/>
    <w:rsid w:val="0095273F"/>
    <w:rsid w:val="00952DDF"/>
    <w:rsid w:val="00956DB8"/>
    <w:rsid w:val="00956F8E"/>
    <w:rsid w:val="00961869"/>
    <w:rsid w:val="0096332B"/>
    <w:rsid w:val="00963B6A"/>
    <w:rsid w:val="0096584A"/>
    <w:rsid w:val="00970950"/>
    <w:rsid w:val="00971399"/>
    <w:rsid w:val="0097181F"/>
    <w:rsid w:val="009752E8"/>
    <w:rsid w:val="00976B1C"/>
    <w:rsid w:val="009812D4"/>
    <w:rsid w:val="009822E7"/>
    <w:rsid w:val="00982C8D"/>
    <w:rsid w:val="00984FB9"/>
    <w:rsid w:val="00985108"/>
    <w:rsid w:val="009876AB"/>
    <w:rsid w:val="00990A81"/>
    <w:rsid w:val="00991323"/>
    <w:rsid w:val="009920D8"/>
    <w:rsid w:val="00995EC4"/>
    <w:rsid w:val="009A363E"/>
    <w:rsid w:val="009A609C"/>
    <w:rsid w:val="009A6DF0"/>
    <w:rsid w:val="009B0622"/>
    <w:rsid w:val="009B1EA2"/>
    <w:rsid w:val="009B2BBD"/>
    <w:rsid w:val="009B38BE"/>
    <w:rsid w:val="009B5E32"/>
    <w:rsid w:val="009C1180"/>
    <w:rsid w:val="009C3D0F"/>
    <w:rsid w:val="009C4B81"/>
    <w:rsid w:val="009C7AB4"/>
    <w:rsid w:val="009D2649"/>
    <w:rsid w:val="009D3EAE"/>
    <w:rsid w:val="009D65B9"/>
    <w:rsid w:val="009D786E"/>
    <w:rsid w:val="009E194B"/>
    <w:rsid w:val="009E1B19"/>
    <w:rsid w:val="009E273A"/>
    <w:rsid w:val="009E29C3"/>
    <w:rsid w:val="009E3687"/>
    <w:rsid w:val="009E54D4"/>
    <w:rsid w:val="009E57EA"/>
    <w:rsid w:val="009F0518"/>
    <w:rsid w:val="009F0954"/>
    <w:rsid w:val="009F35E2"/>
    <w:rsid w:val="009F3DBF"/>
    <w:rsid w:val="009F473D"/>
    <w:rsid w:val="009F65F9"/>
    <w:rsid w:val="009F68BA"/>
    <w:rsid w:val="009F6EBC"/>
    <w:rsid w:val="00A00740"/>
    <w:rsid w:val="00A036A9"/>
    <w:rsid w:val="00A04DF4"/>
    <w:rsid w:val="00A06277"/>
    <w:rsid w:val="00A079DC"/>
    <w:rsid w:val="00A10CC7"/>
    <w:rsid w:val="00A111C2"/>
    <w:rsid w:val="00A14BA2"/>
    <w:rsid w:val="00A1620D"/>
    <w:rsid w:val="00A168E7"/>
    <w:rsid w:val="00A16B57"/>
    <w:rsid w:val="00A17386"/>
    <w:rsid w:val="00A17BA5"/>
    <w:rsid w:val="00A20565"/>
    <w:rsid w:val="00A236B6"/>
    <w:rsid w:val="00A26226"/>
    <w:rsid w:val="00A32418"/>
    <w:rsid w:val="00A33442"/>
    <w:rsid w:val="00A338E7"/>
    <w:rsid w:val="00A34D48"/>
    <w:rsid w:val="00A351DA"/>
    <w:rsid w:val="00A35CAA"/>
    <w:rsid w:val="00A36081"/>
    <w:rsid w:val="00A36E7F"/>
    <w:rsid w:val="00A40BC5"/>
    <w:rsid w:val="00A41E65"/>
    <w:rsid w:val="00A43E0A"/>
    <w:rsid w:val="00A43E93"/>
    <w:rsid w:val="00A45AC8"/>
    <w:rsid w:val="00A4627D"/>
    <w:rsid w:val="00A479F7"/>
    <w:rsid w:val="00A50DC0"/>
    <w:rsid w:val="00A50F67"/>
    <w:rsid w:val="00A521E6"/>
    <w:rsid w:val="00A530C7"/>
    <w:rsid w:val="00A55AFF"/>
    <w:rsid w:val="00A55F5B"/>
    <w:rsid w:val="00A56239"/>
    <w:rsid w:val="00A60185"/>
    <w:rsid w:val="00A603BD"/>
    <w:rsid w:val="00A6521D"/>
    <w:rsid w:val="00A661EA"/>
    <w:rsid w:val="00A70AA6"/>
    <w:rsid w:val="00A74369"/>
    <w:rsid w:val="00A76168"/>
    <w:rsid w:val="00A76733"/>
    <w:rsid w:val="00A830E5"/>
    <w:rsid w:val="00A8338F"/>
    <w:rsid w:val="00A87135"/>
    <w:rsid w:val="00A91032"/>
    <w:rsid w:val="00A91973"/>
    <w:rsid w:val="00A93280"/>
    <w:rsid w:val="00A932AE"/>
    <w:rsid w:val="00A951EA"/>
    <w:rsid w:val="00A95EDE"/>
    <w:rsid w:val="00A962CB"/>
    <w:rsid w:val="00A9693D"/>
    <w:rsid w:val="00A9721E"/>
    <w:rsid w:val="00AA0C8F"/>
    <w:rsid w:val="00AA2548"/>
    <w:rsid w:val="00AA58C4"/>
    <w:rsid w:val="00AA6BF1"/>
    <w:rsid w:val="00AB11C8"/>
    <w:rsid w:val="00AB47D6"/>
    <w:rsid w:val="00AB48C7"/>
    <w:rsid w:val="00AC08A8"/>
    <w:rsid w:val="00AD0681"/>
    <w:rsid w:val="00AD1093"/>
    <w:rsid w:val="00AD124E"/>
    <w:rsid w:val="00AD22DB"/>
    <w:rsid w:val="00AD2E35"/>
    <w:rsid w:val="00AD3A57"/>
    <w:rsid w:val="00AD56C8"/>
    <w:rsid w:val="00AD58F2"/>
    <w:rsid w:val="00AD6B33"/>
    <w:rsid w:val="00AE0A71"/>
    <w:rsid w:val="00AE0DF5"/>
    <w:rsid w:val="00AE4F2F"/>
    <w:rsid w:val="00AE77B4"/>
    <w:rsid w:val="00AF08D1"/>
    <w:rsid w:val="00AF13F7"/>
    <w:rsid w:val="00AF33F3"/>
    <w:rsid w:val="00AF69F4"/>
    <w:rsid w:val="00AF6DF9"/>
    <w:rsid w:val="00AF716C"/>
    <w:rsid w:val="00B0007C"/>
    <w:rsid w:val="00B014B7"/>
    <w:rsid w:val="00B025C6"/>
    <w:rsid w:val="00B0470E"/>
    <w:rsid w:val="00B0512A"/>
    <w:rsid w:val="00B0529F"/>
    <w:rsid w:val="00B067BB"/>
    <w:rsid w:val="00B12C57"/>
    <w:rsid w:val="00B13812"/>
    <w:rsid w:val="00B1418B"/>
    <w:rsid w:val="00B149CE"/>
    <w:rsid w:val="00B15C5C"/>
    <w:rsid w:val="00B20AB5"/>
    <w:rsid w:val="00B21195"/>
    <w:rsid w:val="00B21CA4"/>
    <w:rsid w:val="00B24B22"/>
    <w:rsid w:val="00B25310"/>
    <w:rsid w:val="00B2562E"/>
    <w:rsid w:val="00B27B2E"/>
    <w:rsid w:val="00B32F8F"/>
    <w:rsid w:val="00B40D63"/>
    <w:rsid w:val="00B4262F"/>
    <w:rsid w:val="00B42910"/>
    <w:rsid w:val="00B4427A"/>
    <w:rsid w:val="00B4597E"/>
    <w:rsid w:val="00B4700F"/>
    <w:rsid w:val="00B54DE9"/>
    <w:rsid w:val="00B553EC"/>
    <w:rsid w:val="00B55E3F"/>
    <w:rsid w:val="00B57AB5"/>
    <w:rsid w:val="00B66704"/>
    <w:rsid w:val="00B67E35"/>
    <w:rsid w:val="00B72D0C"/>
    <w:rsid w:val="00B73746"/>
    <w:rsid w:val="00B76D6F"/>
    <w:rsid w:val="00B819FF"/>
    <w:rsid w:val="00B82E1D"/>
    <w:rsid w:val="00B834E5"/>
    <w:rsid w:val="00B844B7"/>
    <w:rsid w:val="00B84DC1"/>
    <w:rsid w:val="00B870DC"/>
    <w:rsid w:val="00B91B80"/>
    <w:rsid w:val="00B93DD0"/>
    <w:rsid w:val="00B9523C"/>
    <w:rsid w:val="00B96AF0"/>
    <w:rsid w:val="00B97732"/>
    <w:rsid w:val="00BA4A83"/>
    <w:rsid w:val="00BA65A8"/>
    <w:rsid w:val="00BA6D19"/>
    <w:rsid w:val="00BA7461"/>
    <w:rsid w:val="00BA7A84"/>
    <w:rsid w:val="00BA7DA9"/>
    <w:rsid w:val="00BA7E42"/>
    <w:rsid w:val="00BC2772"/>
    <w:rsid w:val="00BC2E7E"/>
    <w:rsid w:val="00BC4215"/>
    <w:rsid w:val="00BC6E96"/>
    <w:rsid w:val="00BD1A6F"/>
    <w:rsid w:val="00BE2FCB"/>
    <w:rsid w:val="00BE400C"/>
    <w:rsid w:val="00BE4F9D"/>
    <w:rsid w:val="00BE6D3C"/>
    <w:rsid w:val="00BE7852"/>
    <w:rsid w:val="00BF0E58"/>
    <w:rsid w:val="00BF55F4"/>
    <w:rsid w:val="00BF7CEE"/>
    <w:rsid w:val="00C00865"/>
    <w:rsid w:val="00C03150"/>
    <w:rsid w:val="00C035A0"/>
    <w:rsid w:val="00C03880"/>
    <w:rsid w:val="00C07E0F"/>
    <w:rsid w:val="00C116FF"/>
    <w:rsid w:val="00C135CF"/>
    <w:rsid w:val="00C14933"/>
    <w:rsid w:val="00C157DC"/>
    <w:rsid w:val="00C17716"/>
    <w:rsid w:val="00C2066C"/>
    <w:rsid w:val="00C21202"/>
    <w:rsid w:val="00C23469"/>
    <w:rsid w:val="00C2683F"/>
    <w:rsid w:val="00C3002F"/>
    <w:rsid w:val="00C3184D"/>
    <w:rsid w:val="00C318A5"/>
    <w:rsid w:val="00C33142"/>
    <w:rsid w:val="00C37280"/>
    <w:rsid w:val="00C376F8"/>
    <w:rsid w:val="00C408FC"/>
    <w:rsid w:val="00C41077"/>
    <w:rsid w:val="00C42470"/>
    <w:rsid w:val="00C45020"/>
    <w:rsid w:val="00C4714E"/>
    <w:rsid w:val="00C51CCA"/>
    <w:rsid w:val="00C5504F"/>
    <w:rsid w:val="00C57B55"/>
    <w:rsid w:val="00C608FB"/>
    <w:rsid w:val="00C63376"/>
    <w:rsid w:val="00C7008C"/>
    <w:rsid w:val="00C739F0"/>
    <w:rsid w:val="00C73FEF"/>
    <w:rsid w:val="00C74F97"/>
    <w:rsid w:val="00C76251"/>
    <w:rsid w:val="00C76443"/>
    <w:rsid w:val="00C77245"/>
    <w:rsid w:val="00C800BC"/>
    <w:rsid w:val="00C819C0"/>
    <w:rsid w:val="00C823C7"/>
    <w:rsid w:val="00C8276E"/>
    <w:rsid w:val="00C842AC"/>
    <w:rsid w:val="00C847A3"/>
    <w:rsid w:val="00C8583A"/>
    <w:rsid w:val="00C86C66"/>
    <w:rsid w:val="00C873CA"/>
    <w:rsid w:val="00C900BE"/>
    <w:rsid w:val="00C92209"/>
    <w:rsid w:val="00C96688"/>
    <w:rsid w:val="00CA0723"/>
    <w:rsid w:val="00CA1B7E"/>
    <w:rsid w:val="00CA61D5"/>
    <w:rsid w:val="00CA7F6D"/>
    <w:rsid w:val="00CB0F9C"/>
    <w:rsid w:val="00CB1690"/>
    <w:rsid w:val="00CB1CF3"/>
    <w:rsid w:val="00CB244F"/>
    <w:rsid w:val="00CC06F4"/>
    <w:rsid w:val="00CC4365"/>
    <w:rsid w:val="00CD11B0"/>
    <w:rsid w:val="00CD216C"/>
    <w:rsid w:val="00CD55BE"/>
    <w:rsid w:val="00CD7C92"/>
    <w:rsid w:val="00CE427D"/>
    <w:rsid w:val="00CE71C2"/>
    <w:rsid w:val="00CE7F97"/>
    <w:rsid w:val="00CF14CF"/>
    <w:rsid w:val="00CF3C5D"/>
    <w:rsid w:val="00CF42D5"/>
    <w:rsid w:val="00CF4EDA"/>
    <w:rsid w:val="00D01706"/>
    <w:rsid w:val="00D021CB"/>
    <w:rsid w:val="00D037DF"/>
    <w:rsid w:val="00D07119"/>
    <w:rsid w:val="00D10F1A"/>
    <w:rsid w:val="00D116F8"/>
    <w:rsid w:val="00D1424A"/>
    <w:rsid w:val="00D144AF"/>
    <w:rsid w:val="00D148C1"/>
    <w:rsid w:val="00D17596"/>
    <w:rsid w:val="00D21040"/>
    <w:rsid w:val="00D2222D"/>
    <w:rsid w:val="00D22640"/>
    <w:rsid w:val="00D25E10"/>
    <w:rsid w:val="00D2672E"/>
    <w:rsid w:val="00D26D3A"/>
    <w:rsid w:val="00D320C1"/>
    <w:rsid w:val="00D363A6"/>
    <w:rsid w:val="00D41AA8"/>
    <w:rsid w:val="00D41DB3"/>
    <w:rsid w:val="00D45EE3"/>
    <w:rsid w:val="00D50618"/>
    <w:rsid w:val="00D509E9"/>
    <w:rsid w:val="00D51F1E"/>
    <w:rsid w:val="00D52076"/>
    <w:rsid w:val="00D53B1C"/>
    <w:rsid w:val="00D56689"/>
    <w:rsid w:val="00D57045"/>
    <w:rsid w:val="00D610D9"/>
    <w:rsid w:val="00D63EC2"/>
    <w:rsid w:val="00D64496"/>
    <w:rsid w:val="00D64F26"/>
    <w:rsid w:val="00D64F96"/>
    <w:rsid w:val="00D74DC4"/>
    <w:rsid w:val="00D76BAE"/>
    <w:rsid w:val="00D77E2E"/>
    <w:rsid w:val="00D8035B"/>
    <w:rsid w:val="00D838AD"/>
    <w:rsid w:val="00D90792"/>
    <w:rsid w:val="00DA0876"/>
    <w:rsid w:val="00DA0BC1"/>
    <w:rsid w:val="00DA1B12"/>
    <w:rsid w:val="00DA27B5"/>
    <w:rsid w:val="00DA3D05"/>
    <w:rsid w:val="00DA54C9"/>
    <w:rsid w:val="00DA58A2"/>
    <w:rsid w:val="00DA6739"/>
    <w:rsid w:val="00DA6CAE"/>
    <w:rsid w:val="00DB1A9E"/>
    <w:rsid w:val="00DB31BB"/>
    <w:rsid w:val="00DB31D6"/>
    <w:rsid w:val="00DB4005"/>
    <w:rsid w:val="00DB58A1"/>
    <w:rsid w:val="00DB7E36"/>
    <w:rsid w:val="00DC2451"/>
    <w:rsid w:val="00DC2862"/>
    <w:rsid w:val="00DC34EB"/>
    <w:rsid w:val="00DD2BCF"/>
    <w:rsid w:val="00DD50DD"/>
    <w:rsid w:val="00DE1D1C"/>
    <w:rsid w:val="00DE2CE1"/>
    <w:rsid w:val="00DE598B"/>
    <w:rsid w:val="00DF0CF1"/>
    <w:rsid w:val="00DF1051"/>
    <w:rsid w:val="00DF1610"/>
    <w:rsid w:val="00DF1D1E"/>
    <w:rsid w:val="00DF1E5B"/>
    <w:rsid w:val="00DF2130"/>
    <w:rsid w:val="00DF2275"/>
    <w:rsid w:val="00DF30F9"/>
    <w:rsid w:val="00DF3343"/>
    <w:rsid w:val="00DF3A87"/>
    <w:rsid w:val="00DF3F5E"/>
    <w:rsid w:val="00DF5653"/>
    <w:rsid w:val="00DF5872"/>
    <w:rsid w:val="00E004A0"/>
    <w:rsid w:val="00E02B1E"/>
    <w:rsid w:val="00E0596E"/>
    <w:rsid w:val="00E06F66"/>
    <w:rsid w:val="00E07349"/>
    <w:rsid w:val="00E07F64"/>
    <w:rsid w:val="00E14C41"/>
    <w:rsid w:val="00E15427"/>
    <w:rsid w:val="00E165B5"/>
    <w:rsid w:val="00E201E1"/>
    <w:rsid w:val="00E2691A"/>
    <w:rsid w:val="00E32F7C"/>
    <w:rsid w:val="00E356E5"/>
    <w:rsid w:val="00E36F81"/>
    <w:rsid w:val="00E37019"/>
    <w:rsid w:val="00E3732C"/>
    <w:rsid w:val="00E375EB"/>
    <w:rsid w:val="00E405E2"/>
    <w:rsid w:val="00E40FD3"/>
    <w:rsid w:val="00E42E9A"/>
    <w:rsid w:val="00E456C6"/>
    <w:rsid w:val="00E45765"/>
    <w:rsid w:val="00E46532"/>
    <w:rsid w:val="00E5098C"/>
    <w:rsid w:val="00E534ED"/>
    <w:rsid w:val="00E5526E"/>
    <w:rsid w:val="00E55D70"/>
    <w:rsid w:val="00E560A4"/>
    <w:rsid w:val="00E565FB"/>
    <w:rsid w:val="00E5681A"/>
    <w:rsid w:val="00E60213"/>
    <w:rsid w:val="00E61343"/>
    <w:rsid w:val="00E613B1"/>
    <w:rsid w:val="00E61D48"/>
    <w:rsid w:val="00E661B2"/>
    <w:rsid w:val="00E73ABC"/>
    <w:rsid w:val="00E73D4C"/>
    <w:rsid w:val="00E74D29"/>
    <w:rsid w:val="00E75847"/>
    <w:rsid w:val="00E77E55"/>
    <w:rsid w:val="00E83C74"/>
    <w:rsid w:val="00E83CEE"/>
    <w:rsid w:val="00E868C1"/>
    <w:rsid w:val="00E86C91"/>
    <w:rsid w:val="00E90294"/>
    <w:rsid w:val="00E91F18"/>
    <w:rsid w:val="00E9226D"/>
    <w:rsid w:val="00E92295"/>
    <w:rsid w:val="00E925A6"/>
    <w:rsid w:val="00E9699F"/>
    <w:rsid w:val="00E97C61"/>
    <w:rsid w:val="00EA416C"/>
    <w:rsid w:val="00EA41AC"/>
    <w:rsid w:val="00EA5941"/>
    <w:rsid w:val="00EA69D7"/>
    <w:rsid w:val="00EB3828"/>
    <w:rsid w:val="00EB60CE"/>
    <w:rsid w:val="00EB6B77"/>
    <w:rsid w:val="00EB7D53"/>
    <w:rsid w:val="00EC3F35"/>
    <w:rsid w:val="00EC41F9"/>
    <w:rsid w:val="00EC4407"/>
    <w:rsid w:val="00ED0D69"/>
    <w:rsid w:val="00ED2B39"/>
    <w:rsid w:val="00ED6F3A"/>
    <w:rsid w:val="00EE3146"/>
    <w:rsid w:val="00EE5449"/>
    <w:rsid w:val="00EE6065"/>
    <w:rsid w:val="00EE7BC1"/>
    <w:rsid w:val="00EF4DEE"/>
    <w:rsid w:val="00EF50BB"/>
    <w:rsid w:val="00EF53FF"/>
    <w:rsid w:val="00EF7A6D"/>
    <w:rsid w:val="00F00192"/>
    <w:rsid w:val="00F001FF"/>
    <w:rsid w:val="00F01DF6"/>
    <w:rsid w:val="00F0340D"/>
    <w:rsid w:val="00F04691"/>
    <w:rsid w:val="00F059A6"/>
    <w:rsid w:val="00F13AA3"/>
    <w:rsid w:val="00F14616"/>
    <w:rsid w:val="00F17B67"/>
    <w:rsid w:val="00F23756"/>
    <w:rsid w:val="00F2422A"/>
    <w:rsid w:val="00F2523A"/>
    <w:rsid w:val="00F25FFA"/>
    <w:rsid w:val="00F2649C"/>
    <w:rsid w:val="00F30080"/>
    <w:rsid w:val="00F310D2"/>
    <w:rsid w:val="00F33740"/>
    <w:rsid w:val="00F33E4E"/>
    <w:rsid w:val="00F36F3D"/>
    <w:rsid w:val="00F419BB"/>
    <w:rsid w:val="00F43BB3"/>
    <w:rsid w:val="00F45867"/>
    <w:rsid w:val="00F4627B"/>
    <w:rsid w:val="00F46B9F"/>
    <w:rsid w:val="00F477BD"/>
    <w:rsid w:val="00F5209E"/>
    <w:rsid w:val="00F52908"/>
    <w:rsid w:val="00F53491"/>
    <w:rsid w:val="00F545C1"/>
    <w:rsid w:val="00F54C44"/>
    <w:rsid w:val="00F54E28"/>
    <w:rsid w:val="00F55260"/>
    <w:rsid w:val="00F5642D"/>
    <w:rsid w:val="00F57591"/>
    <w:rsid w:val="00F57F3D"/>
    <w:rsid w:val="00F63E4C"/>
    <w:rsid w:val="00F65A1C"/>
    <w:rsid w:val="00F65BAB"/>
    <w:rsid w:val="00F6652E"/>
    <w:rsid w:val="00F66646"/>
    <w:rsid w:val="00F66F50"/>
    <w:rsid w:val="00F6751B"/>
    <w:rsid w:val="00F67924"/>
    <w:rsid w:val="00F7119C"/>
    <w:rsid w:val="00F7152E"/>
    <w:rsid w:val="00F72DD0"/>
    <w:rsid w:val="00F82415"/>
    <w:rsid w:val="00F82FF8"/>
    <w:rsid w:val="00F8330D"/>
    <w:rsid w:val="00F84305"/>
    <w:rsid w:val="00F8485C"/>
    <w:rsid w:val="00F8636E"/>
    <w:rsid w:val="00F87149"/>
    <w:rsid w:val="00F87FFE"/>
    <w:rsid w:val="00F91DB1"/>
    <w:rsid w:val="00F94E4B"/>
    <w:rsid w:val="00F954C9"/>
    <w:rsid w:val="00F9726E"/>
    <w:rsid w:val="00FA09B7"/>
    <w:rsid w:val="00FA25CF"/>
    <w:rsid w:val="00FA4CF0"/>
    <w:rsid w:val="00FA61AA"/>
    <w:rsid w:val="00FA69A4"/>
    <w:rsid w:val="00FA759F"/>
    <w:rsid w:val="00FA7EE2"/>
    <w:rsid w:val="00FB1279"/>
    <w:rsid w:val="00FB1495"/>
    <w:rsid w:val="00FB2DF8"/>
    <w:rsid w:val="00FB2F00"/>
    <w:rsid w:val="00FB31E2"/>
    <w:rsid w:val="00FB3AE7"/>
    <w:rsid w:val="00FD0F7B"/>
    <w:rsid w:val="00FD1694"/>
    <w:rsid w:val="00FD4AA2"/>
    <w:rsid w:val="00FD7636"/>
    <w:rsid w:val="00FE0AD6"/>
    <w:rsid w:val="00FE2CBA"/>
    <w:rsid w:val="00FE3229"/>
    <w:rsid w:val="00FE3989"/>
    <w:rsid w:val="00FE4BAA"/>
    <w:rsid w:val="00FE5D5B"/>
    <w:rsid w:val="00FE74C3"/>
    <w:rsid w:val="00FF0077"/>
    <w:rsid w:val="00FF215C"/>
    <w:rsid w:val="00FF49E8"/>
    <w:rsid w:val="00FF5302"/>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B450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F02"/>
    <w:pPr>
      <w:spacing w:after="120"/>
    </w:pPr>
    <w:rPr>
      <w:rFonts w:ascii="Arial" w:eastAsia="Calibri" w:hAnsi="Arial"/>
      <w:sz w:val="22"/>
      <w:szCs w:val="22"/>
      <w:lang w:eastAsia="en-US"/>
    </w:rPr>
  </w:style>
  <w:style w:type="paragraph" w:styleId="Heading1">
    <w:name w:val="heading 1"/>
    <w:basedOn w:val="Normal"/>
    <w:next w:val="Normal"/>
    <w:link w:val="Heading1Char"/>
    <w:uiPriority w:val="9"/>
    <w:qFormat/>
    <w:rsid w:val="00B40D63"/>
    <w:pPr>
      <w:keepNext/>
      <w:outlineLvl w:val="0"/>
    </w:pPr>
    <w:rPr>
      <w:rFonts w:cs="Arial"/>
      <w:b/>
      <w:sz w:val="28"/>
    </w:rPr>
  </w:style>
  <w:style w:type="paragraph" w:styleId="Heading2">
    <w:name w:val="heading 2"/>
    <w:basedOn w:val="Normal"/>
    <w:next w:val="Normal"/>
    <w:link w:val="Heading2Char"/>
    <w:uiPriority w:val="9"/>
    <w:qFormat/>
    <w:rsid w:val="00A168E7"/>
    <w:pPr>
      <w:keepNext/>
      <w:spacing w:before="240" w:after="60"/>
      <w:outlineLvl w:val="1"/>
    </w:pPr>
    <w:rPr>
      <w:rFonts w:cs="Arial"/>
      <w:b/>
      <w:bCs/>
      <w:iCs/>
      <w:sz w:val="24"/>
      <w:szCs w:val="28"/>
    </w:rPr>
  </w:style>
  <w:style w:type="paragraph" w:styleId="Heading3">
    <w:name w:val="heading 3"/>
    <w:basedOn w:val="Normal"/>
    <w:next w:val="Normal"/>
    <w:link w:val="Heading3Char"/>
    <w:uiPriority w:val="9"/>
    <w:qFormat/>
    <w:rsid w:val="00B40D63"/>
    <w:pPr>
      <w:keepNext/>
      <w:numPr>
        <w:ilvl w:val="2"/>
        <w:numId w:val="6"/>
      </w:numPr>
      <w:spacing w:before="240" w:after="60"/>
      <w:outlineLvl w:val="2"/>
    </w:pPr>
    <w:rPr>
      <w:rFonts w:cs="Arial"/>
      <w:b/>
      <w:bCs/>
      <w:szCs w:val="26"/>
    </w:rPr>
  </w:style>
  <w:style w:type="paragraph" w:styleId="Heading4">
    <w:name w:val="heading 4"/>
    <w:basedOn w:val="Normal"/>
    <w:next w:val="Normal"/>
    <w:link w:val="Heading4Char"/>
    <w:uiPriority w:val="9"/>
    <w:qFormat/>
    <w:rsid w:val="00B40D63"/>
    <w:pPr>
      <w:keepNext/>
      <w:numPr>
        <w:ilvl w:val="3"/>
        <w:numId w:val="6"/>
      </w:numPr>
      <w:spacing w:before="240" w:after="60"/>
      <w:outlineLvl w:val="3"/>
    </w:pPr>
    <w:rPr>
      <w:rFonts w:cs="Arial"/>
      <w:b/>
      <w:bCs/>
      <w:i/>
      <w:szCs w:val="28"/>
    </w:rPr>
  </w:style>
  <w:style w:type="paragraph" w:styleId="Heading5">
    <w:name w:val="heading 5"/>
    <w:basedOn w:val="Heading4"/>
    <w:link w:val="Heading5Char"/>
    <w:qFormat/>
    <w:rsid w:val="00B40D63"/>
    <w:pPr>
      <w:numPr>
        <w:ilvl w:val="4"/>
      </w:numPr>
      <w:outlineLvl w:val="4"/>
    </w:pPr>
    <w:rPr>
      <w:rFonts w:cs="Times New Roman"/>
      <w:bCs w:val="0"/>
      <w:i w:val="0"/>
      <w:iCs/>
      <w:szCs w:val="26"/>
    </w:rPr>
  </w:style>
  <w:style w:type="paragraph" w:styleId="Heading6">
    <w:name w:val="heading 6"/>
    <w:basedOn w:val="Normal"/>
    <w:next w:val="Normal"/>
    <w:link w:val="Heading6Char"/>
    <w:qFormat/>
    <w:rsid w:val="00B40D63"/>
    <w:pPr>
      <w:numPr>
        <w:ilvl w:val="5"/>
        <w:numId w:val="6"/>
      </w:numPr>
      <w:spacing w:before="240" w:after="60"/>
      <w:outlineLvl w:val="5"/>
    </w:pPr>
    <w:rPr>
      <w:b/>
      <w:bCs/>
    </w:rPr>
  </w:style>
  <w:style w:type="paragraph" w:styleId="Heading7">
    <w:name w:val="heading 7"/>
    <w:basedOn w:val="Normal"/>
    <w:next w:val="Normal"/>
    <w:link w:val="Heading7Char"/>
    <w:qFormat/>
    <w:rsid w:val="00B40D63"/>
    <w:pPr>
      <w:numPr>
        <w:ilvl w:val="6"/>
        <w:numId w:val="6"/>
      </w:numPr>
      <w:spacing w:before="240" w:after="60"/>
      <w:outlineLvl w:val="6"/>
    </w:pPr>
  </w:style>
  <w:style w:type="paragraph" w:styleId="Heading8">
    <w:name w:val="heading 8"/>
    <w:basedOn w:val="Normal"/>
    <w:next w:val="Normal"/>
    <w:link w:val="Heading8Char"/>
    <w:qFormat/>
    <w:rsid w:val="00B40D63"/>
    <w:pPr>
      <w:numPr>
        <w:ilvl w:val="7"/>
        <w:numId w:val="6"/>
      </w:numPr>
      <w:spacing w:before="240" w:after="60"/>
      <w:outlineLvl w:val="7"/>
    </w:pPr>
    <w:rPr>
      <w:i/>
      <w:iCs/>
    </w:rPr>
  </w:style>
  <w:style w:type="paragraph" w:styleId="Heading9">
    <w:name w:val="heading 9"/>
    <w:basedOn w:val="Normal"/>
    <w:next w:val="Normal"/>
    <w:link w:val="Heading9Char"/>
    <w:qFormat/>
    <w:rsid w:val="00B40D63"/>
    <w:pPr>
      <w:numPr>
        <w:ilvl w:val="8"/>
        <w:numId w:val="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pPr>
  </w:style>
  <w:style w:type="character" w:customStyle="1" w:styleId="HeaderChar">
    <w:name w:val="Header Char"/>
    <w:basedOn w:val="DefaultParagraphFont"/>
    <w:link w:val="Header"/>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ind w:left="0"/>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szCs w:val="20"/>
      <w:lang w:eastAsia="en-AU"/>
    </w:rPr>
  </w:style>
  <w:style w:type="character" w:customStyle="1" w:styleId="Heading1Char">
    <w:name w:val="Heading 1 Char"/>
    <w:basedOn w:val="DefaultParagraphFont"/>
    <w:link w:val="Heading1"/>
    <w:uiPriority w:val="9"/>
    <w:rsid w:val="00B40D63"/>
    <w:rPr>
      <w:rFonts w:ascii="Arial" w:hAnsi="Arial" w:cs="Arial"/>
      <w:b/>
      <w:sz w:val="28"/>
      <w:szCs w:val="24"/>
      <w:lang w:eastAsia="ar-SA"/>
    </w:rPr>
  </w:style>
  <w:style w:type="character" w:customStyle="1" w:styleId="Heading2Char">
    <w:name w:val="Heading 2 Char"/>
    <w:basedOn w:val="DefaultParagraphFont"/>
    <w:link w:val="Heading2"/>
    <w:uiPriority w:val="9"/>
    <w:rsid w:val="00A168E7"/>
    <w:rPr>
      <w:rFonts w:ascii="Arial" w:eastAsia="Calibri" w:hAnsi="Arial" w:cs="Arial"/>
      <w:b/>
      <w:bCs/>
      <w:iCs/>
      <w:sz w:val="24"/>
      <w:szCs w:val="28"/>
      <w:lang w:eastAsia="en-US"/>
    </w:rPr>
  </w:style>
  <w:style w:type="character" w:customStyle="1" w:styleId="Heading3Char">
    <w:name w:val="Heading 3 Char"/>
    <w:basedOn w:val="DefaultParagraphFont"/>
    <w:link w:val="Heading3"/>
    <w:uiPriority w:val="9"/>
    <w:rsid w:val="000E31C1"/>
    <w:rPr>
      <w:rFonts w:ascii="Arial" w:eastAsia="Calibri" w:hAnsi="Arial" w:cs="Arial"/>
      <w:b/>
      <w:bCs/>
      <w:sz w:val="22"/>
      <w:szCs w:val="26"/>
      <w:lang w:eastAsia="en-US"/>
    </w:rPr>
  </w:style>
  <w:style w:type="character" w:customStyle="1" w:styleId="Heading4Char">
    <w:name w:val="Heading 4 Char"/>
    <w:basedOn w:val="DefaultParagraphFont"/>
    <w:link w:val="Heading4"/>
    <w:uiPriority w:val="9"/>
    <w:rsid w:val="000E31C1"/>
    <w:rPr>
      <w:rFonts w:ascii="Arial" w:hAnsi="Arial" w:cs="Arial"/>
      <w:b/>
      <w:bCs/>
      <w:i/>
      <w:szCs w:val="28"/>
      <w:lang w:eastAsia="ar-SA"/>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091608"/>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s>
      <w:spacing w:after="240"/>
      <w:jc w:val="center"/>
    </w:pPr>
    <w:rPr>
      <w:rFonts w:cs="Arial"/>
      <w:color w:val="FF0000"/>
      <w:sz w:val="28"/>
      <w:szCs w:val="28"/>
      <w:lang w:eastAsia="en-AU"/>
    </w:rPr>
  </w:style>
  <w:style w:type="paragraph" w:styleId="ListParagraph">
    <w:name w:val="List Paragraph"/>
    <w:basedOn w:val="Normal"/>
    <w:uiPriority w:val="34"/>
    <w:qFormat/>
    <w:rsid w:val="00B40D63"/>
    <w:pPr>
      <w:ind w:left="720"/>
      <w:contextualSpacing/>
    </w:pPr>
  </w:style>
  <w:style w:type="character" w:styleId="BookTitle">
    <w:name w:val="Book Title"/>
    <w:basedOn w:val="DefaultParagraphFont"/>
    <w:uiPriority w:val="33"/>
    <w:qFormat/>
    <w:rsid w:val="00383020"/>
    <w:rPr>
      <w:b/>
      <w:bCs/>
      <w:smallCaps/>
      <w:spacing w:val="5"/>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style>
  <w:style w:type="paragraph" w:customStyle="1" w:styleId="Classificationsensitivity">
    <w:name w:val="Classification sensitivity"/>
    <w:basedOn w:val="Classification"/>
    <w:rsid w:val="002C5813"/>
    <w:rPr>
      <w:sz w:val="22"/>
    </w:rPr>
  </w:style>
  <w:style w:type="character" w:customStyle="1" w:styleId="Heading5Char">
    <w:name w:val="Heading 5 Char"/>
    <w:basedOn w:val="DefaultParagraphFont"/>
    <w:link w:val="Heading5"/>
    <w:rsid w:val="00B40D63"/>
    <w:rPr>
      <w:rFonts w:ascii="Arial" w:hAnsi="Arial"/>
      <w:b/>
      <w:iCs/>
      <w:szCs w:val="26"/>
      <w:lang w:eastAsia="ar-SA"/>
    </w:rPr>
  </w:style>
  <w:style w:type="character" w:customStyle="1" w:styleId="Heading6Char">
    <w:name w:val="Heading 6 Char"/>
    <w:basedOn w:val="DefaultParagraphFont"/>
    <w:link w:val="Heading6"/>
    <w:rsid w:val="00B40D63"/>
    <w:rPr>
      <w:rFonts w:ascii="Arial" w:hAnsi="Arial"/>
      <w:b/>
      <w:bCs/>
      <w:sz w:val="22"/>
      <w:szCs w:val="22"/>
      <w:lang w:eastAsia="ar-SA"/>
    </w:rPr>
  </w:style>
  <w:style w:type="character" w:customStyle="1" w:styleId="Heading7Char">
    <w:name w:val="Heading 7 Char"/>
    <w:basedOn w:val="DefaultParagraphFont"/>
    <w:link w:val="Heading7"/>
    <w:rsid w:val="00B40D63"/>
    <w:rPr>
      <w:rFonts w:ascii="Arial" w:hAnsi="Arial"/>
      <w:szCs w:val="24"/>
      <w:lang w:eastAsia="ar-SA"/>
    </w:rPr>
  </w:style>
  <w:style w:type="character" w:customStyle="1" w:styleId="Heading8Char">
    <w:name w:val="Heading 8 Char"/>
    <w:basedOn w:val="DefaultParagraphFont"/>
    <w:link w:val="Heading8"/>
    <w:rsid w:val="00B40D63"/>
    <w:rPr>
      <w:rFonts w:ascii="Arial" w:hAnsi="Arial"/>
      <w:i/>
      <w:iCs/>
      <w:szCs w:val="24"/>
      <w:lang w:eastAsia="ar-SA"/>
    </w:rPr>
  </w:style>
  <w:style w:type="character" w:customStyle="1" w:styleId="Heading9Char">
    <w:name w:val="Heading 9 Char"/>
    <w:basedOn w:val="DefaultParagraphFont"/>
    <w:link w:val="Heading9"/>
    <w:rsid w:val="00B40D63"/>
    <w:rPr>
      <w:rFonts w:ascii="Arial" w:hAnsi="Arial"/>
      <w:szCs w:val="24"/>
      <w:lang w:eastAsia="ar-SA"/>
    </w:rPr>
  </w:style>
  <w:style w:type="paragraph" w:styleId="Caption">
    <w:name w:val="caption"/>
    <w:basedOn w:val="Normal"/>
    <w:next w:val="Normal"/>
    <w:uiPriority w:val="35"/>
    <w:qFormat/>
    <w:rsid w:val="00B40D63"/>
    <w:rPr>
      <w:b/>
      <w:bCs/>
      <w:szCs w:val="20"/>
    </w:rPr>
  </w:style>
  <w:style w:type="paragraph" w:styleId="Title">
    <w:name w:val="Title"/>
    <w:basedOn w:val="Normal"/>
    <w:next w:val="Normal"/>
    <w:link w:val="TitleChar"/>
    <w:qFormat/>
    <w:rsid w:val="00B40D63"/>
    <w:pPr>
      <w:jc w:val="center"/>
    </w:pPr>
    <w:rPr>
      <w:rFonts w:cs="Arial"/>
      <w:b/>
      <w:bCs/>
      <w:kern w:val="1"/>
      <w:sz w:val="40"/>
      <w:szCs w:val="32"/>
    </w:rPr>
  </w:style>
  <w:style w:type="character" w:customStyle="1" w:styleId="TitleChar">
    <w:name w:val="Title Char"/>
    <w:basedOn w:val="DefaultParagraphFont"/>
    <w:link w:val="Title"/>
    <w:rsid w:val="00B40D63"/>
    <w:rPr>
      <w:rFonts w:ascii="Arial" w:hAnsi="Arial" w:cs="Arial"/>
      <w:b/>
      <w:bCs/>
      <w:kern w:val="1"/>
      <w:sz w:val="40"/>
      <w:szCs w:val="32"/>
      <w:lang w:eastAsia="ar-SA"/>
    </w:rPr>
  </w:style>
  <w:style w:type="character" w:styleId="Emphasis">
    <w:name w:val="Emphasis"/>
    <w:basedOn w:val="DefaultParagraphFont"/>
    <w:uiPriority w:val="20"/>
    <w:qFormat/>
    <w:rsid w:val="00B40D63"/>
    <w:rPr>
      <w:i/>
      <w:iCs/>
    </w:rPr>
  </w:style>
  <w:style w:type="paragraph" w:styleId="NoSpacing">
    <w:name w:val="No Spacing"/>
    <w:uiPriority w:val="1"/>
    <w:qFormat/>
    <w:rsid w:val="00B40D63"/>
    <w:pPr>
      <w:tabs>
        <w:tab w:val="left" w:pos="1134"/>
        <w:tab w:val="left" w:pos="2268"/>
        <w:tab w:val="right" w:pos="9356"/>
      </w:tabs>
      <w:suppressAutoHyphens/>
    </w:pPr>
    <w:rPr>
      <w:rFonts w:ascii="Book Antiqua" w:hAnsi="Book Antiqua"/>
      <w:szCs w:val="24"/>
      <w:lang w:eastAsia="ar-SA"/>
    </w:rPr>
  </w:style>
  <w:style w:type="paragraph" w:styleId="TOCHeading">
    <w:name w:val="TOC Heading"/>
    <w:basedOn w:val="Heading1"/>
    <w:next w:val="Normal"/>
    <w:uiPriority w:val="39"/>
    <w:unhideWhenUsed/>
    <w:qFormat/>
    <w:rsid w:val="00B40D63"/>
    <w:pPr>
      <w:keepLines/>
      <w:spacing w:before="480"/>
      <w:outlineLvl w:val="9"/>
    </w:pPr>
    <w:rPr>
      <w:rFonts w:asciiTheme="majorHAnsi" w:eastAsiaTheme="majorEastAsia" w:hAnsiTheme="majorHAnsi" w:cstheme="majorBidi"/>
      <w:bCs/>
      <w:color w:val="365F91" w:themeColor="accent1" w:themeShade="BF"/>
      <w:szCs w:val="28"/>
      <w:lang w:val="en-US" w:eastAsia="ja-JP"/>
    </w:rPr>
  </w:style>
  <w:style w:type="paragraph" w:styleId="FootnoteText">
    <w:name w:val="footnote text"/>
    <w:basedOn w:val="Normal"/>
    <w:link w:val="FootnoteTextChar"/>
    <w:uiPriority w:val="99"/>
    <w:semiHidden/>
    <w:unhideWhenUsed/>
    <w:rsid w:val="002A7BB4"/>
    <w:pPr>
      <w:spacing w:after="0"/>
    </w:pPr>
    <w:rPr>
      <w:sz w:val="20"/>
      <w:szCs w:val="20"/>
    </w:rPr>
  </w:style>
  <w:style w:type="character" w:customStyle="1" w:styleId="FootnoteTextChar">
    <w:name w:val="Footnote Text Char"/>
    <w:basedOn w:val="DefaultParagraphFont"/>
    <w:link w:val="FootnoteText"/>
    <w:uiPriority w:val="99"/>
    <w:semiHidden/>
    <w:rsid w:val="002A7BB4"/>
    <w:rPr>
      <w:rFonts w:ascii="Arial" w:eastAsia="Calibri" w:hAnsi="Arial"/>
      <w:lang w:eastAsia="en-US"/>
    </w:rPr>
  </w:style>
  <w:style w:type="character" w:styleId="FootnoteReference">
    <w:name w:val="footnote reference"/>
    <w:basedOn w:val="DefaultParagraphFont"/>
    <w:uiPriority w:val="99"/>
    <w:semiHidden/>
    <w:unhideWhenUsed/>
    <w:rsid w:val="002A7BB4"/>
    <w:rPr>
      <w:vertAlign w:val="superscript"/>
    </w:rPr>
  </w:style>
  <w:style w:type="paragraph" w:customStyle="1" w:styleId="ReportTitle">
    <w:name w:val="Report Title"/>
    <w:basedOn w:val="Normal"/>
    <w:uiPriority w:val="11"/>
    <w:qFormat/>
    <w:rsid w:val="002A7BB4"/>
    <w:rPr>
      <w:b/>
      <w:color w:val="17365D" w:themeColor="text2" w:themeShade="BF"/>
      <w:sz w:val="52"/>
    </w:rPr>
  </w:style>
  <w:style w:type="paragraph" w:customStyle="1" w:styleId="Reportsubtitle">
    <w:name w:val="Report sub title"/>
    <w:basedOn w:val="ReportTitle"/>
    <w:uiPriority w:val="11"/>
    <w:qFormat/>
    <w:rsid w:val="002A7BB4"/>
    <w:rPr>
      <w:b w:val="0"/>
      <w:color w:val="auto"/>
      <w:sz w:val="32"/>
    </w:rPr>
  </w:style>
  <w:style w:type="paragraph" w:styleId="TOC1">
    <w:name w:val="toc 1"/>
    <w:basedOn w:val="Normal"/>
    <w:next w:val="Normal"/>
    <w:autoRedefine/>
    <w:uiPriority w:val="39"/>
    <w:unhideWhenUsed/>
    <w:rsid w:val="002A7BB4"/>
    <w:pPr>
      <w:spacing w:after="100"/>
    </w:pPr>
    <w:rPr>
      <w:b/>
    </w:rPr>
  </w:style>
  <w:style w:type="paragraph" w:styleId="TOC2">
    <w:name w:val="toc 2"/>
    <w:basedOn w:val="Normal"/>
    <w:next w:val="Normal"/>
    <w:autoRedefine/>
    <w:uiPriority w:val="39"/>
    <w:unhideWhenUsed/>
    <w:rsid w:val="002A7BB4"/>
    <w:pPr>
      <w:spacing w:after="100"/>
      <w:ind w:left="220"/>
    </w:pPr>
  </w:style>
  <w:style w:type="paragraph" w:styleId="TOC3">
    <w:name w:val="toc 3"/>
    <w:basedOn w:val="Normal"/>
    <w:next w:val="Normal"/>
    <w:autoRedefine/>
    <w:uiPriority w:val="39"/>
    <w:unhideWhenUsed/>
    <w:rsid w:val="002A7BB4"/>
    <w:pPr>
      <w:spacing w:after="100"/>
      <w:ind w:left="440"/>
    </w:pPr>
    <w:rPr>
      <w:i/>
    </w:rPr>
  </w:style>
  <w:style w:type="character" w:styleId="Hyperlink">
    <w:name w:val="Hyperlink"/>
    <w:basedOn w:val="DefaultParagraphFont"/>
    <w:uiPriority w:val="99"/>
    <w:unhideWhenUsed/>
    <w:rsid w:val="002A7BB4"/>
    <w:rPr>
      <w:color w:val="0000FF" w:themeColor="hyperlink"/>
      <w:u w:val="single"/>
    </w:rPr>
  </w:style>
  <w:style w:type="character" w:customStyle="1" w:styleId="bulletsChar">
    <w:name w:val="bullets Char"/>
    <w:link w:val="bullets"/>
    <w:locked/>
    <w:rsid w:val="0096332B"/>
    <w:rPr>
      <w:rFonts w:ascii="Myriad Web Pro" w:eastAsia="Calibri" w:hAnsi="Myriad Web Pro"/>
      <w:sz w:val="22"/>
      <w:szCs w:val="22"/>
      <w:lang w:eastAsia="en-US"/>
    </w:rPr>
  </w:style>
  <w:style w:type="paragraph" w:customStyle="1" w:styleId="bullets">
    <w:name w:val="bullets"/>
    <w:basedOn w:val="ListParagraph"/>
    <w:link w:val="bulletsChar"/>
    <w:qFormat/>
    <w:rsid w:val="0096332B"/>
    <w:pPr>
      <w:numPr>
        <w:numId w:val="7"/>
      </w:numPr>
      <w:ind w:left="357" w:hanging="357"/>
      <w:contextualSpacing w:val="0"/>
    </w:pPr>
    <w:rPr>
      <w:rFonts w:ascii="Myriad Web Pro" w:hAnsi="Myriad Web Pro"/>
    </w:rPr>
  </w:style>
  <w:style w:type="paragraph" w:customStyle="1" w:styleId="bullet2">
    <w:name w:val="bullet 2"/>
    <w:basedOn w:val="bullets"/>
    <w:uiPriority w:val="99"/>
    <w:qFormat/>
    <w:rsid w:val="002A7BB4"/>
    <w:pPr>
      <w:numPr>
        <w:ilvl w:val="1"/>
      </w:numPr>
      <w:tabs>
        <w:tab w:val="num" w:pos="360"/>
      </w:tabs>
      <w:ind w:left="738" w:hanging="369"/>
    </w:pPr>
  </w:style>
  <w:style w:type="paragraph" w:styleId="NormalWeb">
    <w:name w:val="Normal (Web)"/>
    <w:basedOn w:val="Normal"/>
    <w:uiPriority w:val="99"/>
    <w:unhideWhenUsed/>
    <w:rsid w:val="002A7BB4"/>
    <w:pPr>
      <w:spacing w:before="100" w:beforeAutospacing="1" w:after="100" w:afterAutospacing="1"/>
    </w:pPr>
    <w:rPr>
      <w:rFonts w:ascii="Times New Roman" w:eastAsia="Times New Roman" w:hAnsi="Times New Roman"/>
      <w:sz w:val="24"/>
      <w:szCs w:val="24"/>
      <w:lang w:eastAsia="en-AU"/>
    </w:rPr>
  </w:style>
  <w:style w:type="paragraph" w:customStyle="1" w:styleId="legcomeasuredash">
    <w:name w:val="legcomeasuredash"/>
    <w:basedOn w:val="Normal"/>
    <w:link w:val="legcomeasuredashChar"/>
    <w:qFormat/>
    <w:rsid w:val="002A7BB4"/>
    <w:pPr>
      <w:numPr>
        <w:numId w:val="9"/>
      </w:numPr>
      <w:spacing w:after="0"/>
    </w:pPr>
    <w:rPr>
      <w:rFonts w:ascii="Verdana" w:eastAsia="Times New Roman" w:hAnsi="Verdana" w:cs="Tahoma"/>
      <w:color w:val="000000"/>
      <w:szCs w:val="24"/>
      <w:lang w:val="en-US" w:eastAsia="en-AU"/>
    </w:rPr>
  </w:style>
  <w:style w:type="character" w:customStyle="1" w:styleId="legcomeasuredashChar">
    <w:name w:val="legcomeasuredash Char"/>
    <w:link w:val="legcomeasuredash"/>
    <w:locked/>
    <w:rsid w:val="002A7BB4"/>
    <w:rPr>
      <w:rFonts w:ascii="Verdana" w:hAnsi="Verdana" w:cs="Tahoma"/>
      <w:color w:val="000000"/>
      <w:sz w:val="22"/>
      <w:szCs w:val="24"/>
      <w:lang w:val="en-US"/>
    </w:rPr>
  </w:style>
  <w:style w:type="paragraph" w:customStyle="1" w:styleId="subsection">
    <w:name w:val="subsection"/>
    <w:aliases w:val="ss"/>
    <w:basedOn w:val="Normal"/>
    <w:rsid w:val="002A7BB4"/>
    <w:pPr>
      <w:spacing w:before="100" w:beforeAutospacing="1" w:after="100" w:afterAutospacing="1"/>
    </w:pPr>
    <w:rPr>
      <w:rFonts w:ascii="Times New Roman" w:eastAsia="Times New Roman" w:hAnsi="Times New Roman"/>
      <w:sz w:val="24"/>
      <w:szCs w:val="24"/>
      <w:lang w:eastAsia="en-AU"/>
    </w:rPr>
  </w:style>
  <w:style w:type="paragraph" w:customStyle="1" w:styleId="paragraph">
    <w:name w:val="paragraph"/>
    <w:aliases w:val="a"/>
    <w:basedOn w:val="Normal"/>
    <w:rsid w:val="002A7BB4"/>
    <w:pPr>
      <w:spacing w:before="100" w:beforeAutospacing="1" w:after="100" w:afterAutospacing="1"/>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2A7BB4"/>
    <w:rPr>
      <w:sz w:val="16"/>
      <w:szCs w:val="16"/>
    </w:rPr>
  </w:style>
  <w:style w:type="paragraph" w:styleId="CommentText">
    <w:name w:val="annotation text"/>
    <w:basedOn w:val="Normal"/>
    <w:link w:val="CommentTextChar"/>
    <w:uiPriority w:val="99"/>
    <w:semiHidden/>
    <w:unhideWhenUsed/>
    <w:rsid w:val="002A7BB4"/>
    <w:rPr>
      <w:sz w:val="20"/>
      <w:szCs w:val="20"/>
    </w:rPr>
  </w:style>
  <w:style w:type="character" w:customStyle="1" w:styleId="CommentTextChar">
    <w:name w:val="Comment Text Char"/>
    <w:basedOn w:val="DefaultParagraphFont"/>
    <w:link w:val="CommentText"/>
    <w:uiPriority w:val="99"/>
    <w:semiHidden/>
    <w:rsid w:val="002A7BB4"/>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2A7BB4"/>
    <w:rPr>
      <w:b/>
      <w:bCs/>
    </w:rPr>
  </w:style>
  <w:style w:type="character" w:customStyle="1" w:styleId="CommentSubjectChar">
    <w:name w:val="Comment Subject Char"/>
    <w:basedOn w:val="CommentTextChar"/>
    <w:link w:val="CommentSubject"/>
    <w:uiPriority w:val="99"/>
    <w:semiHidden/>
    <w:rsid w:val="002A7BB4"/>
    <w:rPr>
      <w:rFonts w:ascii="Arial" w:eastAsia="Calibri" w:hAnsi="Arial"/>
      <w:b/>
      <w:bCs/>
      <w:lang w:eastAsia="en-US"/>
    </w:rPr>
  </w:style>
  <w:style w:type="character" w:customStyle="1" w:styleId="CharDivNo">
    <w:name w:val="CharDivNo"/>
    <w:basedOn w:val="DefaultParagraphFont"/>
    <w:uiPriority w:val="1"/>
    <w:qFormat/>
    <w:rsid w:val="00DC2451"/>
  </w:style>
  <w:style w:type="character" w:customStyle="1" w:styleId="CharDivText">
    <w:name w:val="CharDivText"/>
    <w:basedOn w:val="DefaultParagraphFont"/>
    <w:uiPriority w:val="1"/>
    <w:qFormat/>
    <w:rsid w:val="00DC2451"/>
  </w:style>
  <w:style w:type="character" w:customStyle="1" w:styleId="CharPartNo">
    <w:name w:val="CharPartNo"/>
    <w:basedOn w:val="DefaultParagraphFont"/>
    <w:uiPriority w:val="1"/>
    <w:qFormat/>
    <w:rsid w:val="00DC2451"/>
  </w:style>
  <w:style w:type="character" w:customStyle="1" w:styleId="CharPartText">
    <w:name w:val="CharPartText"/>
    <w:basedOn w:val="DefaultParagraphFont"/>
    <w:uiPriority w:val="1"/>
    <w:qFormat/>
    <w:rsid w:val="00DC2451"/>
  </w:style>
  <w:style w:type="character" w:customStyle="1" w:styleId="CharSectno">
    <w:name w:val="CharSectno"/>
    <w:basedOn w:val="DefaultParagraphFont"/>
    <w:qFormat/>
    <w:rsid w:val="00DC2451"/>
  </w:style>
  <w:style w:type="paragraph" w:customStyle="1" w:styleId="ActHead2">
    <w:name w:val="ActHead 2"/>
    <w:aliases w:val="p"/>
    <w:basedOn w:val="Normal"/>
    <w:next w:val="Normal"/>
    <w:qFormat/>
    <w:rsid w:val="00DC2451"/>
    <w:pPr>
      <w:keepNext/>
      <w:keepLines/>
      <w:spacing w:before="280" w:after="0"/>
      <w:ind w:left="1134" w:hanging="1134"/>
      <w:outlineLvl w:val="1"/>
    </w:pPr>
    <w:rPr>
      <w:rFonts w:ascii="Times New Roman" w:eastAsia="Times New Roman" w:hAnsi="Times New Roman"/>
      <w:b/>
      <w:kern w:val="28"/>
      <w:sz w:val="32"/>
      <w:szCs w:val="20"/>
      <w:lang w:eastAsia="en-AU"/>
    </w:rPr>
  </w:style>
  <w:style w:type="paragraph" w:customStyle="1" w:styleId="ActHead5">
    <w:name w:val="ActHead 5"/>
    <w:aliases w:val="s"/>
    <w:basedOn w:val="Normal"/>
    <w:next w:val="subsection"/>
    <w:qFormat/>
    <w:rsid w:val="00DC2451"/>
    <w:pPr>
      <w:keepNext/>
      <w:keepLines/>
      <w:spacing w:before="280" w:after="0"/>
      <w:ind w:left="1134" w:hanging="1134"/>
      <w:outlineLvl w:val="4"/>
    </w:pPr>
    <w:rPr>
      <w:rFonts w:ascii="Times New Roman" w:eastAsia="Times New Roman" w:hAnsi="Times New Roman"/>
      <w:b/>
      <w:kern w:val="28"/>
      <w:sz w:val="24"/>
      <w:szCs w:val="20"/>
      <w:lang w:eastAsia="en-AU"/>
    </w:rPr>
  </w:style>
  <w:style w:type="paragraph" w:customStyle="1" w:styleId="paragraphsub">
    <w:name w:val="paragraph(sub)"/>
    <w:aliases w:val="aa"/>
    <w:basedOn w:val="Normal"/>
    <w:rsid w:val="00DC2451"/>
    <w:pPr>
      <w:tabs>
        <w:tab w:val="right" w:pos="1985"/>
      </w:tabs>
      <w:spacing w:before="40" w:after="0"/>
      <w:ind w:left="2098" w:hanging="2098"/>
    </w:pPr>
    <w:rPr>
      <w:rFonts w:ascii="Times New Roman" w:eastAsia="Times New Roman" w:hAnsi="Times New Roman"/>
      <w:szCs w:val="20"/>
      <w:lang w:eastAsia="en-AU"/>
    </w:rPr>
  </w:style>
  <w:style w:type="paragraph" w:customStyle="1" w:styleId="paragraphsub-sub">
    <w:name w:val="paragraph(sub-sub)"/>
    <w:aliases w:val="aaa"/>
    <w:basedOn w:val="Normal"/>
    <w:rsid w:val="00DC2451"/>
    <w:pPr>
      <w:tabs>
        <w:tab w:val="right" w:pos="2722"/>
      </w:tabs>
      <w:spacing w:before="40" w:after="0"/>
      <w:ind w:left="2835" w:hanging="2835"/>
    </w:pPr>
    <w:rPr>
      <w:rFonts w:ascii="Times New Roman" w:eastAsia="Times New Roman" w:hAnsi="Times New Roman"/>
      <w:szCs w:val="20"/>
      <w:lang w:eastAsia="en-AU"/>
    </w:rPr>
  </w:style>
  <w:style w:type="paragraph" w:customStyle="1" w:styleId="Tablea">
    <w:name w:val="Table(a)"/>
    <w:aliases w:val="ta"/>
    <w:basedOn w:val="Normal"/>
    <w:rsid w:val="00DC2451"/>
    <w:pPr>
      <w:spacing w:before="60" w:after="0"/>
      <w:ind w:left="284" w:hanging="284"/>
    </w:pPr>
    <w:rPr>
      <w:rFonts w:ascii="Times New Roman" w:eastAsia="Times New Roman" w:hAnsi="Times New Roman"/>
      <w:sz w:val="20"/>
      <w:szCs w:val="20"/>
      <w:lang w:eastAsia="en-AU"/>
    </w:rPr>
  </w:style>
  <w:style w:type="paragraph" w:customStyle="1" w:styleId="Tabletext0">
    <w:name w:val="Tabletext"/>
    <w:aliases w:val="tt"/>
    <w:basedOn w:val="Normal"/>
    <w:rsid w:val="00DC2451"/>
    <w:pPr>
      <w:spacing w:before="60" w:after="0" w:line="240" w:lineRule="atLeast"/>
    </w:pPr>
    <w:rPr>
      <w:rFonts w:ascii="Times New Roman" w:eastAsia="Times New Roman" w:hAnsi="Times New Roman"/>
      <w:sz w:val="20"/>
      <w:szCs w:val="20"/>
      <w:lang w:eastAsia="en-AU"/>
    </w:rPr>
  </w:style>
  <w:style w:type="paragraph" w:customStyle="1" w:styleId="TableHeading">
    <w:name w:val="TableHeading"/>
    <w:aliases w:val="th"/>
    <w:basedOn w:val="Normal"/>
    <w:next w:val="Tabletext0"/>
    <w:rsid w:val="00DC2451"/>
    <w:pPr>
      <w:keepNext/>
      <w:spacing w:before="60" w:after="0" w:line="240" w:lineRule="atLeast"/>
    </w:pPr>
    <w:rPr>
      <w:rFonts w:ascii="Times New Roman" w:eastAsia="Times New Roman" w:hAnsi="Times New Roman"/>
      <w:b/>
      <w:sz w:val="20"/>
      <w:szCs w:val="20"/>
      <w:lang w:eastAsia="en-AU"/>
    </w:rPr>
  </w:style>
  <w:style w:type="character" w:customStyle="1" w:styleId="legtitle1">
    <w:name w:val="legtitle1"/>
    <w:basedOn w:val="DefaultParagraphFont"/>
    <w:rsid w:val="00890CAC"/>
    <w:rPr>
      <w:rFonts w:ascii="Arial" w:hAnsi="Arial" w:cs="Arial" w:hint="default"/>
      <w:b/>
      <w:bCs/>
      <w:color w:val="10418E"/>
      <w:sz w:val="40"/>
      <w:szCs w:val="40"/>
    </w:rPr>
  </w:style>
  <w:style w:type="character" w:customStyle="1" w:styleId="legsubtitle1">
    <w:name w:val="legsubtitle1"/>
    <w:basedOn w:val="DefaultParagraphFont"/>
    <w:rsid w:val="00890CAC"/>
    <w:rPr>
      <w:rFonts w:ascii="Arial" w:hAnsi="Arial" w:cs="Arial" w:hint="default"/>
      <w:b/>
      <w:bCs/>
      <w:sz w:val="28"/>
      <w:szCs w:val="28"/>
    </w:rPr>
  </w:style>
  <w:style w:type="character" w:customStyle="1" w:styleId="hps-normal1">
    <w:name w:val="hps-normal1"/>
    <w:basedOn w:val="DefaultParagraphFont"/>
    <w:rsid w:val="0022592A"/>
  </w:style>
  <w:style w:type="paragraph" w:styleId="Revision">
    <w:name w:val="Revision"/>
    <w:hidden/>
    <w:uiPriority w:val="99"/>
    <w:semiHidden/>
    <w:rsid w:val="0039476C"/>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04524">
      <w:bodyDiv w:val="1"/>
      <w:marLeft w:val="0"/>
      <w:marRight w:val="0"/>
      <w:marTop w:val="0"/>
      <w:marBottom w:val="0"/>
      <w:divBdr>
        <w:top w:val="none" w:sz="0" w:space="0" w:color="auto"/>
        <w:left w:val="none" w:sz="0" w:space="0" w:color="auto"/>
        <w:bottom w:val="none" w:sz="0" w:space="0" w:color="auto"/>
        <w:right w:val="none" w:sz="0" w:space="0" w:color="auto"/>
      </w:divBdr>
      <w:divsChild>
        <w:div w:id="1734503709">
          <w:marLeft w:val="0"/>
          <w:marRight w:val="0"/>
          <w:marTop w:val="0"/>
          <w:marBottom w:val="0"/>
          <w:divBdr>
            <w:top w:val="none" w:sz="0" w:space="0" w:color="auto"/>
            <w:left w:val="none" w:sz="0" w:space="0" w:color="auto"/>
            <w:bottom w:val="none" w:sz="0" w:space="0" w:color="auto"/>
            <w:right w:val="none" w:sz="0" w:space="0" w:color="auto"/>
          </w:divBdr>
          <w:divsChild>
            <w:div w:id="1464731684">
              <w:marLeft w:val="0"/>
              <w:marRight w:val="0"/>
              <w:marTop w:val="0"/>
              <w:marBottom w:val="0"/>
              <w:divBdr>
                <w:top w:val="none" w:sz="0" w:space="0" w:color="auto"/>
                <w:left w:val="none" w:sz="0" w:space="0" w:color="auto"/>
                <w:bottom w:val="none" w:sz="0" w:space="0" w:color="auto"/>
                <w:right w:val="none" w:sz="0" w:space="0" w:color="auto"/>
              </w:divBdr>
              <w:divsChild>
                <w:div w:id="231548970">
                  <w:marLeft w:val="0"/>
                  <w:marRight w:val="0"/>
                  <w:marTop w:val="0"/>
                  <w:marBottom w:val="0"/>
                  <w:divBdr>
                    <w:top w:val="none" w:sz="0" w:space="0" w:color="auto"/>
                    <w:left w:val="none" w:sz="0" w:space="0" w:color="auto"/>
                    <w:bottom w:val="none" w:sz="0" w:space="0" w:color="auto"/>
                    <w:right w:val="none" w:sz="0" w:space="0" w:color="auto"/>
                  </w:divBdr>
                  <w:divsChild>
                    <w:div w:id="1509908053">
                      <w:marLeft w:val="0"/>
                      <w:marRight w:val="0"/>
                      <w:marTop w:val="0"/>
                      <w:marBottom w:val="0"/>
                      <w:divBdr>
                        <w:top w:val="none" w:sz="0" w:space="0" w:color="auto"/>
                        <w:left w:val="none" w:sz="0" w:space="0" w:color="auto"/>
                        <w:bottom w:val="none" w:sz="0" w:space="0" w:color="auto"/>
                        <w:right w:val="none" w:sz="0" w:space="0" w:color="auto"/>
                      </w:divBdr>
                      <w:divsChild>
                        <w:div w:id="944384242">
                          <w:marLeft w:val="0"/>
                          <w:marRight w:val="0"/>
                          <w:marTop w:val="0"/>
                          <w:marBottom w:val="0"/>
                          <w:divBdr>
                            <w:top w:val="none" w:sz="0" w:space="0" w:color="auto"/>
                            <w:left w:val="none" w:sz="0" w:space="0" w:color="auto"/>
                            <w:bottom w:val="none" w:sz="0" w:space="0" w:color="auto"/>
                            <w:right w:val="none" w:sz="0" w:space="0" w:color="auto"/>
                          </w:divBdr>
                          <w:divsChild>
                            <w:div w:id="495386655">
                              <w:marLeft w:val="0"/>
                              <w:marRight w:val="0"/>
                              <w:marTop w:val="0"/>
                              <w:marBottom w:val="0"/>
                              <w:divBdr>
                                <w:top w:val="none" w:sz="0" w:space="0" w:color="auto"/>
                                <w:left w:val="none" w:sz="0" w:space="0" w:color="auto"/>
                                <w:bottom w:val="none" w:sz="0" w:space="0" w:color="auto"/>
                                <w:right w:val="none" w:sz="0" w:space="0" w:color="auto"/>
                              </w:divBdr>
                              <w:divsChild>
                                <w:div w:id="1985238609">
                                  <w:marLeft w:val="0"/>
                                  <w:marRight w:val="0"/>
                                  <w:marTop w:val="0"/>
                                  <w:marBottom w:val="0"/>
                                  <w:divBdr>
                                    <w:top w:val="none" w:sz="0" w:space="0" w:color="auto"/>
                                    <w:left w:val="none" w:sz="0" w:space="0" w:color="auto"/>
                                    <w:bottom w:val="none" w:sz="0" w:space="0" w:color="auto"/>
                                    <w:right w:val="none" w:sz="0" w:space="0" w:color="auto"/>
                                  </w:divBdr>
                                </w:div>
                                <w:div w:id="19054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F3682-8967-4263-948A-B34F782C1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701E9321.dotm</Template>
  <TotalTime>0</TotalTime>
  <Pages>11</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Government Response to the Third Review of the PSO Act</vt:lpstr>
    </vt:vector>
  </TitlesOfParts>
  <Company/>
  <LinksUpToDate>false</LinksUpToDate>
  <CharactersWithSpaces>23678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Response to the Third Review of the PSO Act</dc:title>
  <dc:creator/>
  <cp:lastModifiedBy/>
  <cp:revision>1</cp:revision>
  <dcterms:created xsi:type="dcterms:W3CDTF">2018-05-02T23:21:00Z</dcterms:created>
  <dcterms:modified xsi:type="dcterms:W3CDTF">2018-05-02T23:21:00Z</dcterms:modified>
</cp:coreProperties>
</file>