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AA3" w14:textId="57C918DB" w:rsidR="00EE0797" w:rsidRDefault="00D54FDB" w:rsidP="00EE0797">
      <w:pPr>
        <w:pStyle w:val="Heading1"/>
        <w:spacing w:before="240"/>
      </w:pPr>
      <w:r>
        <w:t>Grain demand: The impact of meat consumption and biofuels</w:t>
      </w:r>
    </w:p>
    <w:p w14:paraId="459B0DDE" w14:textId="02B7C722" w:rsidR="009A0C58" w:rsidRPr="00EE0797" w:rsidRDefault="009A0C58" w:rsidP="00EE0797">
      <w:pPr>
        <w:rPr>
          <w:bCs/>
          <w:sz w:val="24"/>
          <w:szCs w:val="24"/>
        </w:rPr>
      </w:pPr>
      <w:r w:rsidRPr="009A0C58">
        <w:rPr>
          <w:bCs/>
          <w:sz w:val="24"/>
          <w:szCs w:val="24"/>
        </w:rPr>
        <w:t xml:space="preserve">Growing demand for meat and biofuels will drive global demand for grains and oilseeds over the coming decade. </w:t>
      </w:r>
      <w:r w:rsidR="009414DD" w:rsidRPr="009414DD">
        <w:rPr>
          <w:bCs/>
          <w:sz w:val="24"/>
          <w:szCs w:val="24"/>
        </w:rPr>
        <w:t>Ongoing adaption and productivity gains will be required for Australian farmers to fully benefit from this growing market</w:t>
      </w:r>
      <w:r w:rsidRPr="009A0C58">
        <w:rPr>
          <w:bCs/>
          <w:sz w:val="24"/>
          <w:szCs w:val="24"/>
        </w:rPr>
        <w:t xml:space="preserve">. </w:t>
      </w:r>
    </w:p>
    <w:p w14:paraId="4077FEA7" w14:textId="45570AB7" w:rsidR="00C650CA" w:rsidRPr="00A223BF" w:rsidRDefault="009A0C58" w:rsidP="00A223BF">
      <w:pPr>
        <w:pStyle w:val="Heading2"/>
        <w:numPr>
          <w:ilvl w:val="0"/>
          <w:numId w:val="0"/>
        </w:numPr>
        <w:ind w:left="720" w:hanging="720"/>
      </w:pPr>
      <w:r>
        <w:t>Prices of grain and oilseeds have been rising</w:t>
      </w:r>
    </w:p>
    <w:p w14:paraId="51914054" w14:textId="60892A2E" w:rsidR="009A0C58" w:rsidRPr="002F34C9" w:rsidRDefault="009A0C58" w:rsidP="002F34C9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Russia’s invasion of Ukraine and poor seasonal conditions in North America led to spikes in world grain and oilseed prices </w:t>
      </w:r>
      <w:hyperlink r:id="rId10" w:history="1">
        <w:r w:rsidRPr="009A0C58">
          <w:rPr>
            <w:rStyle w:val="Hyperlink"/>
            <w:sz w:val="24"/>
            <w:szCs w:val="24"/>
          </w:rPr>
          <w:t xml:space="preserve">in </w:t>
        </w:r>
        <w:r w:rsidR="002F34C9">
          <w:rPr>
            <w:rStyle w:val="Hyperlink"/>
            <w:sz w:val="24"/>
            <w:szCs w:val="24"/>
          </w:rPr>
          <w:t xml:space="preserve">May </w:t>
        </w:r>
        <w:r w:rsidRPr="009A0C58">
          <w:rPr>
            <w:rStyle w:val="Hyperlink"/>
            <w:sz w:val="24"/>
            <w:szCs w:val="24"/>
          </w:rPr>
          <w:t>2022</w:t>
        </w:r>
      </w:hyperlink>
      <w:r w:rsidRPr="009A0C58">
        <w:rPr>
          <w:sz w:val="24"/>
          <w:szCs w:val="24"/>
        </w:rPr>
        <w:t xml:space="preserve">. </w:t>
      </w:r>
      <w:r w:rsidR="002F34C9" w:rsidRPr="002F34C9">
        <w:rPr>
          <w:sz w:val="24"/>
          <w:szCs w:val="24"/>
        </w:rPr>
        <w:t>Prices have moderated in recent months but remain historically high.</w:t>
      </w:r>
    </w:p>
    <w:p w14:paraId="4C5DA87D" w14:textId="77777777" w:rsidR="009A0C58" w:rsidRPr="009A0C58" w:rsidRDefault="009A0C58" w:rsidP="009A0C58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>Long-term factors, especially demand for animal feed and biofuels, are likely to increase the global demand for grains and oilseeds over the next decade.</w:t>
      </w:r>
    </w:p>
    <w:p w14:paraId="4015924F" w14:textId="735F8905" w:rsidR="009A0C58" w:rsidRDefault="009A0C58" w:rsidP="009A0C58">
      <w:pPr>
        <w:pStyle w:val="ListParagraph"/>
        <w:numPr>
          <w:ilvl w:val="0"/>
          <w:numId w:val="5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Farm productivity, </w:t>
      </w:r>
      <w:r w:rsidR="002F34C9" w:rsidRPr="002F34C9">
        <w:rPr>
          <w:sz w:val="24"/>
          <w:szCs w:val="24"/>
        </w:rPr>
        <w:t>the rate of meat demand growth</w:t>
      </w:r>
      <w:r w:rsidRPr="009A0C58">
        <w:rPr>
          <w:sz w:val="24"/>
          <w:szCs w:val="24"/>
        </w:rPr>
        <w:t xml:space="preserve">, and government biofuel policies will influence future price and availability of grains.  </w:t>
      </w:r>
    </w:p>
    <w:p w14:paraId="2DDD3A08" w14:textId="61198E54" w:rsidR="009A0C58" w:rsidRDefault="009A0C58" w:rsidP="009A0C58">
      <w:pPr>
        <w:pStyle w:val="Caption"/>
      </w:pPr>
      <w:r>
        <w:t xml:space="preserve">Figure </w:t>
      </w:r>
      <w:fldSimple w:instr=" SEQ Figure \* ARABIC ">
        <w:r w:rsidR="001E497D">
          <w:rPr>
            <w:noProof/>
          </w:rPr>
          <w:t>1</w:t>
        </w:r>
      </w:fldSimple>
      <w:r>
        <w:t>: Meat consumption and GDP per person, selected countries, 1990 to 2021</w:t>
      </w:r>
    </w:p>
    <w:p w14:paraId="5CC8A6F6" w14:textId="543BAE6F" w:rsidR="001E497D" w:rsidRDefault="00B518E8" w:rsidP="009A0C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9FB683" wp14:editId="5A297F6D">
            <wp:extent cx="5238750" cy="3095625"/>
            <wp:effectExtent l="0" t="0" r="0" b="9525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AA93" w14:textId="4D76BE23" w:rsidR="009A0C58" w:rsidRPr="009A0C58" w:rsidRDefault="009A0C58" w:rsidP="009A0C58">
      <w:pPr>
        <w:rPr>
          <w:sz w:val="24"/>
          <w:szCs w:val="24"/>
        </w:rPr>
      </w:pPr>
    </w:p>
    <w:p w14:paraId="559B895F" w14:textId="77DA4A0F" w:rsidR="00A1073E" w:rsidRPr="001370E0" w:rsidRDefault="00C07653" w:rsidP="001370E0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752E934" wp14:editId="60E62304">
            <wp:extent cx="4895215" cy="193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CD035" w14:textId="3A4BE82D" w:rsidR="00C650CA" w:rsidRDefault="009A0C58" w:rsidP="001370E0">
      <w:pPr>
        <w:pStyle w:val="Heading2"/>
        <w:numPr>
          <w:ilvl w:val="0"/>
          <w:numId w:val="0"/>
        </w:numPr>
      </w:pPr>
      <w:r>
        <w:t>Higher incomes lead to increased demand for feed grain</w:t>
      </w:r>
    </w:p>
    <w:p w14:paraId="718E5D1A" w14:textId="77777777" w:rsidR="009A0C58" w:rsidRPr="009A0C58" w:rsidRDefault="009A0C58" w:rsidP="009A0C58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As countries get wealthier, </w:t>
      </w:r>
      <w:hyperlink r:id="rId13" w:history="1">
        <w:r w:rsidRPr="009A0C58">
          <w:rPr>
            <w:rStyle w:val="Hyperlink"/>
            <w:sz w:val="24"/>
            <w:szCs w:val="24"/>
          </w:rPr>
          <w:t>meat consumption tends to increase</w:t>
        </w:r>
      </w:hyperlink>
      <w:r w:rsidRPr="009A0C58">
        <w:rPr>
          <w:sz w:val="24"/>
          <w:szCs w:val="24"/>
        </w:rPr>
        <w:t>.</w:t>
      </w:r>
    </w:p>
    <w:p w14:paraId="7D969B17" w14:textId="406F1C85" w:rsidR="009A0C58" w:rsidRPr="009A0C58" w:rsidRDefault="009A0C58" w:rsidP="009A0C58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>Much of the world’s livestock are fed grain.</w:t>
      </w:r>
      <w:r w:rsidR="002F34C9" w:rsidRPr="002F34C9">
        <w:rPr>
          <w:rFonts w:asciiTheme="minorHAnsi" w:eastAsiaTheme="minorEastAsia" w:hAnsi="Calibri" w:cs="Arial"/>
          <w:color w:val="000000" w:themeColor="text1"/>
          <w:kern w:val="24"/>
        </w:rPr>
        <w:t xml:space="preserve"> </w:t>
      </w:r>
      <w:r w:rsidR="002F34C9" w:rsidRPr="002F34C9">
        <w:rPr>
          <w:sz w:val="24"/>
          <w:szCs w:val="24"/>
        </w:rPr>
        <w:t>Higher meat consumption leads to increased demand for grain-based animal feed.</w:t>
      </w:r>
    </w:p>
    <w:p w14:paraId="15C8A9E2" w14:textId="389EFEFD" w:rsidR="009A0C58" w:rsidRPr="009A0C58" w:rsidRDefault="009A0C58" w:rsidP="009A0C58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Livestock production is </w:t>
      </w:r>
      <w:r w:rsidRPr="009A0C58">
        <w:rPr>
          <w:i/>
          <w:iCs/>
          <w:sz w:val="24"/>
          <w:szCs w:val="24"/>
        </w:rPr>
        <w:t>grain intensive</w:t>
      </w:r>
      <w:r w:rsidRPr="009A0C58">
        <w:rPr>
          <w:sz w:val="24"/>
          <w:szCs w:val="24"/>
        </w:rPr>
        <w:t>. This means relatively more grain is required when people consume</w:t>
      </w:r>
      <w:r w:rsidR="002F34C9">
        <w:rPr>
          <w:sz w:val="24"/>
          <w:szCs w:val="24"/>
        </w:rPr>
        <w:t xml:space="preserve"> </w:t>
      </w:r>
      <w:r w:rsidRPr="009A0C58">
        <w:rPr>
          <w:sz w:val="24"/>
          <w:szCs w:val="24"/>
        </w:rPr>
        <w:t>calories via grain-fed animals than when consum</w:t>
      </w:r>
      <w:r w:rsidR="002F34C9">
        <w:rPr>
          <w:sz w:val="24"/>
          <w:szCs w:val="24"/>
        </w:rPr>
        <w:t xml:space="preserve">ing </w:t>
      </w:r>
      <w:r w:rsidRPr="009A0C58">
        <w:rPr>
          <w:sz w:val="24"/>
          <w:szCs w:val="24"/>
        </w:rPr>
        <w:t>grain directly.</w:t>
      </w:r>
    </w:p>
    <w:p w14:paraId="4E2A0590" w14:textId="77777777" w:rsidR="009A0C58" w:rsidRPr="009A0C58" w:rsidRDefault="009A0C58" w:rsidP="009A0C58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For example, it </w:t>
      </w:r>
      <w:hyperlink r:id="rId14" w:history="1">
        <w:r w:rsidRPr="009A0C58">
          <w:rPr>
            <w:rStyle w:val="Hyperlink"/>
            <w:sz w:val="24"/>
            <w:szCs w:val="24"/>
          </w:rPr>
          <w:t xml:space="preserve">takes an average </w:t>
        </w:r>
      </w:hyperlink>
      <w:r w:rsidRPr="009A0C58">
        <w:rPr>
          <w:sz w:val="24"/>
          <w:szCs w:val="24"/>
        </w:rPr>
        <w:t xml:space="preserve">of 25kgs of grain to produce 1kg of beef. </w:t>
      </w:r>
    </w:p>
    <w:p w14:paraId="3D244393" w14:textId="77777777" w:rsidR="009A0C58" w:rsidRPr="009A0C58" w:rsidRDefault="009A0C58" w:rsidP="009A0C58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Figure 1 shows the relationship between GDP per person and meat consumption per person. </w:t>
      </w:r>
    </w:p>
    <w:p w14:paraId="33412536" w14:textId="0B2DE205" w:rsidR="009A0C58" w:rsidRPr="002F34C9" w:rsidRDefault="009A0C58" w:rsidP="002F34C9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9A0C58">
        <w:rPr>
          <w:sz w:val="24"/>
          <w:szCs w:val="24"/>
        </w:rPr>
        <w:t xml:space="preserve">Meat demand in China and Vietnam has increased dramatically since </w:t>
      </w:r>
      <w:proofErr w:type="gramStart"/>
      <w:r w:rsidRPr="009A0C58">
        <w:rPr>
          <w:sz w:val="24"/>
          <w:szCs w:val="24"/>
        </w:rPr>
        <w:t>1990</w:t>
      </w:r>
      <w:r w:rsidR="002F34C9">
        <w:rPr>
          <w:sz w:val="24"/>
          <w:szCs w:val="24"/>
        </w:rPr>
        <w:t xml:space="preserve">, </w:t>
      </w:r>
      <w:r w:rsidR="002F34C9" w:rsidRPr="002F34C9">
        <w:rPr>
          <w:sz w:val="24"/>
          <w:szCs w:val="24"/>
        </w:rPr>
        <w:t>but</w:t>
      </w:r>
      <w:proofErr w:type="gramEnd"/>
      <w:r w:rsidR="002F34C9" w:rsidRPr="002F34C9">
        <w:rPr>
          <w:sz w:val="24"/>
          <w:szCs w:val="24"/>
        </w:rPr>
        <w:t xml:space="preserve"> remains around half the per capita consumption in Australia</w:t>
      </w:r>
      <w:r w:rsidR="002F34C9">
        <w:rPr>
          <w:sz w:val="24"/>
          <w:szCs w:val="24"/>
        </w:rPr>
        <w:t>.</w:t>
      </w:r>
    </w:p>
    <w:p w14:paraId="7F9EF5A9" w14:textId="77777777" w:rsidR="002F34C9" w:rsidRPr="002F34C9" w:rsidRDefault="002F34C9" w:rsidP="002F34C9">
      <w:pPr>
        <w:numPr>
          <w:ilvl w:val="0"/>
          <w:numId w:val="3"/>
        </w:numPr>
        <w:rPr>
          <w:sz w:val="24"/>
          <w:szCs w:val="24"/>
        </w:rPr>
      </w:pPr>
      <w:r w:rsidRPr="002F34C9">
        <w:rPr>
          <w:sz w:val="24"/>
          <w:szCs w:val="24"/>
        </w:rPr>
        <w:t xml:space="preserve">Economic growth in several high-populace countries, such as India and Indonesia, will drive future global demand for meat and feed grains. </w:t>
      </w:r>
    </w:p>
    <w:p w14:paraId="6F9C4F57" w14:textId="32A94148" w:rsidR="00C650CA" w:rsidRDefault="00C650CA" w:rsidP="00C650CA"/>
    <w:p w14:paraId="6B8BC244" w14:textId="5E905125" w:rsidR="001E497D" w:rsidRDefault="002F34C9" w:rsidP="00C650CA">
      <w:r w:rsidRPr="002F34C9">
        <w:rPr>
          <w:noProof/>
        </w:rPr>
        <w:drawing>
          <wp:inline distT="0" distB="0" distL="0" distR="0" wp14:anchorId="6185D0DB" wp14:editId="1F11E189">
            <wp:extent cx="5759450" cy="694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4820" w14:textId="78B9EB56" w:rsidR="001E497D" w:rsidRDefault="001E497D" w:rsidP="001E497D">
      <w:pPr>
        <w:pStyle w:val="Caption"/>
      </w:pPr>
      <w:r>
        <w:lastRenderedPageBreak/>
        <w:t xml:space="preserve">Figure </w:t>
      </w:r>
      <w:fldSimple w:instr=" SEQ Figure \* ARABIC ">
        <w:r>
          <w:rPr>
            <w:noProof/>
          </w:rPr>
          <w:t>2</w:t>
        </w:r>
      </w:fldSimple>
      <w:r>
        <w:t>: Global use of grains, 2019 to 2031f</w:t>
      </w:r>
    </w:p>
    <w:p w14:paraId="58B60323" w14:textId="597B6BA1" w:rsidR="00A35F29" w:rsidRDefault="002F34C9" w:rsidP="00C650CA">
      <w:r w:rsidRPr="002F34C9">
        <w:rPr>
          <w:noProof/>
        </w:rPr>
        <w:drawing>
          <wp:inline distT="0" distB="0" distL="0" distR="0" wp14:anchorId="6EDCF1C0" wp14:editId="3F82C357">
            <wp:extent cx="3743325" cy="2647950"/>
            <wp:effectExtent l="0" t="0" r="9525" b="0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680E3" w14:textId="710F4F94" w:rsidR="00A223BF" w:rsidRDefault="001E497D" w:rsidP="00A223BF">
      <w:pPr>
        <w:pStyle w:val="Heading2"/>
        <w:numPr>
          <w:ilvl w:val="0"/>
          <w:numId w:val="0"/>
        </w:numPr>
      </w:pPr>
      <w:bookmarkStart w:id="0" w:name="_Hlk113875007"/>
      <w:r>
        <w:t>The impact of increased biofuel demand</w:t>
      </w:r>
    </w:p>
    <w:p w14:paraId="0FF9D262" w14:textId="77777777" w:rsidR="001E497D" w:rsidRP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>Over the last three decades, biofuels have become an increasingly important source of energy.</w:t>
      </w:r>
    </w:p>
    <w:p w14:paraId="7E08AA27" w14:textId="77777777" w:rsidR="001E497D" w:rsidRP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 xml:space="preserve">Transportation is the largest consumer of biofuels, predominately through blending with petrol and diesel. </w:t>
      </w:r>
    </w:p>
    <w:p w14:paraId="56AB366E" w14:textId="77777777" w:rsid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>There are two main types of biofuels:</w:t>
      </w:r>
    </w:p>
    <w:p w14:paraId="4A8B6E21" w14:textId="77777777" w:rsidR="001E497D" w:rsidRDefault="001E497D" w:rsidP="001E497D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>Ethanol, usually produced from grains such as corn, sugar and wheat.</w:t>
      </w:r>
    </w:p>
    <w:p w14:paraId="2A6EE4F5" w14:textId="62B4BB89" w:rsidR="001E497D" w:rsidRPr="001E497D" w:rsidRDefault="001E497D" w:rsidP="001E497D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>Biodiesel, usually produced from oilseeds such as soybean oil, palm oil and canola oil.</w:t>
      </w:r>
    </w:p>
    <w:p w14:paraId="7B5242AC" w14:textId="0B66885E" w:rsidR="001E497D" w:rsidRP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 xml:space="preserve">Biofuel demand is closely related to </w:t>
      </w:r>
      <w:hyperlink r:id="rId17" w:history="1">
        <w:r w:rsidRPr="001E497D">
          <w:rPr>
            <w:rStyle w:val="Hyperlink"/>
            <w:sz w:val="24"/>
            <w:szCs w:val="24"/>
          </w:rPr>
          <w:t xml:space="preserve">government policies </w:t>
        </w:r>
      </w:hyperlink>
      <w:r w:rsidRPr="001E497D">
        <w:rPr>
          <w:sz w:val="24"/>
          <w:szCs w:val="24"/>
        </w:rPr>
        <w:t xml:space="preserve">that mandate or encourage biofuel use. The energy policies of large petrol/diesel consumers, such as the US, EU, India and China, will </w:t>
      </w:r>
      <w:r w:rsidR="002F34C9" w:rsidRPr="001E497D">
        <w:rPr>
          <w:sz w:val="24"/>
          <w:szCs w:val="24"/>
        </w:rPr>
        <w:t>substantially</w:t>
      </w:r>
      <w:r w:rsidRPr="001E497D">
        <w:rPr>
          <w:sz w:val="24"/>
          <w:szCs w:val="24"/>
        </w:rPr>
        <w:t xml:space="preserve"> </w:t>
      </w:r>
      <w:proofErr w:type="gramStart"/>
      <w:r w:rsidR="002F34C9">
        <w:rPr>
          <w:sz w:val="24"/>
          <w:szCs w:val="24"/>
        </w:rPr>
        <w:t>e</w:t>
      </w:r>
      <w:r w:rsidRPr="001E497D">
        <w:rPr>
          <w:sz w:val="24"/>
          <w:szCs w:val="24"/>
        </w:rPr>
        <w:t>ffect</w:t>
      </w:r>
      <w:proofErr w:type="gramEnd"/>
      <w:r w:rsidRPr="001E497D">
        <w:rPr>
          <w:sz w:val="24"/>
          <w:szCs w:val="24"/>
        </w:rPr>
        <w:t xml:space="preserve"> grain and oilseed demand. </w:t>
      </w:r>
    </w:p>
    <w:p w14:paraId="1DD4BF1E" w14:textId="50D89125" w:rsidR="001E497D" w:rsidRPr="002F34C9" w:rsidRDefault="002F34C9" w:rsidP="002F34C9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2F34C9">
        <w:rPr>
          <w:sz w:val="24"/>
          <w:szCs w:val="24"/>
        </w:rPr>
        <w:t xml:space="preserve">Other factors will also influence demand, including the development of </w:t>
      </w:r>
      <w:hyperlink r:id="rId18" w:history="1">
        <w:r w:rsidRPr="002F34C9">
          <w:rPr>
            <w:rStyle w:val="Hyperlink"/>
            <w:sz w:val="24"/>
            <w:szCs w:val="24"/>
          </w:rPr>
          <w:t>second generation biofuels</w:t>
        </w:r>
      </w:hyperlink>
      <w:r w:rsidRPr="002F34C9">
        <w:rPr>
          <w:sz w:val="24"/>
          <w:szCs w:val="24"/>
        </w:rPr>
        <w:t xml:space="preserve"> and the relative price of grains and oilseeds compared to  other energy sources</w:t>
      </w:r>
      <w:r w:rsidR="001E497D" w:rsidRPr="002F34C9">
        <w:rPr>
          <w:sz w:val="24"/>
          <w:szCs w:val="24"/>
        </w:rPr>
        <w:t>.</w:t>
      </w:r>
    </w:p>
    <w:p w14:paraId="268CE67F" w14:textId="3D7CFB54" w:rsidR="00624B96" w:rsidRPr="00624B96" w:rsidRDefault="001E497D" w:rsidP="001370E0">
      <w:pPr>
        <w:pStyle w:val="Heading2"/>
        <w:numPr>
          <w:ilvl w:val="0"/>
          <w:numId w:val="0"/>
        </w:numPr>
      </w:pPr>
      <w:r>
        <w:t>Outlook for global grain demand</w:t>
      </w:r>
    </w:p>
    <w:p w14:paraId="38FD5384" w14:textId="72AA0727" w:rsidR="001E497D" w:rsidRP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 xml:space="preserve">Growing demand for meat and biofuels, will support strong grain and </w:t>
      </w:r>
      <w:r w:rsidR="00C07653">
        <w:rPr>
          <w:sz w:val="24"/>
          <w:szCs w:val="24"/>
        </w:rPr>
        <w:t xml:space="preserve">oilseed </w:t>
      </w:r>
      <w:r w:rsidRPr="001E497D">
        <w:rPr>
          <w:sz w:val="24"/>
          <w:szCs w:val="24"/>
        </w:rPr>
        <w:t xml:space="preserve">prices. </w:t>
      </w:r>
    </w:p>
    <w:p w14:paraId="6979B097" w14:textId="77777777" w:rsidR="001E497D" w:rsidRP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>Global food prices and availability will depend on the ability of farmers to continue the long-term trend of improved agricultural productivity.</w:t>
      </w:r>
    </w:p>
    <w:p w14:paraId="30CDE11B" w14:textId="6B45190A" w:rsidR="001370E0" w:rsidRPr="001E497D" w:rsidRDefault="001E497D" w:rsidP="001E497D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1E497D">
        <w:rPr>
          <w:sz w:val="24"/>
          <w:szCs w:val="24"/>
        </w:rPr>
        <w:t xml:space="preserve">Australian farmers have a proven track record of adjusting to new climactic and trade conditions. Further adaption and productivity gains will </w:t>
      </w:r>
      <w:r w:rsidRPr="001E497D">
        <w:rPr>
          <w:sz w:val="24"/>
          <w:szCs w:val="24"/>
        </w:rPr>
        <w:br/>
      </w:r>
      <w:r w:rsidRPr="001E497D">
        <w:rPr>
          <w:sz w:val="24"/>
          <w:szCs w:val="24"/>
        </w:rPr>
        <w:lastRenderedPageBreak/>
        <w:t xml:space="preserve">be required for Australian farmers to fully benefit from increased global grain and </w:t>
      </w:r>
      <w:r w:rsidR="00F51830">
        <w:rPr>
          <w:sz w:val="24"/>
          <w:szCs w:val="24"/>
        </w:rPr>
        <w:t>oilseed</w:t>
      </w:r>
      <w:r w:rsidRPr="001E497D">
        <w:rPr>
          <w:sz w:val="24"/>
          <w:szCs w:val="24"/>
        </w:rPr>
        <w:t xml:space="preserve"> demand.</w:t>
      </w:r>
      <w:bookmarkEnd w:id="0"/>
    </w:p>
    <w:sectPr w:rsidR="001370E0" w:rsidRPr="001E497D" w:rsidSect="00EE079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259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7880" w14:textId="77777777" w:rsidR="00EE0797" w:rsidRDefault="00EE0797" w:rsidP="00EE0797">
      <w:pPr>
        <w:spacing w:after="0" w:line="240" w:lineRule="auto"/>
      </w:pPr>
      <w:r>
        <w:separator/>
      </w:r>
    </w:p>
  </w:endnote>
  <w:endnote w:type="continuationSeparator" w:id="0">
    <w:p w14:paraId="462842AA" w14:textId="77777777" w:rsidR="00EE0797" w:rsidRDefault="00EE0797" w:rsidP="00EE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E3D7" w14:textId="77777777" w:rsidR="002A193C" w:rsidRDefault="00EE0797">
    <w:pPr>
      <w:pStyle w:val="Footer"/>
    </w:pPr>
    <w:r>
      <w:t>Department of Agriculture, Fisheries and Forestry</w:t>
    </w:r>
  </w:p>
  <w:p w14:paraId="6DF05491" w14:textId="77777777" w:rsidR="002A193C" w:rsidRDefault="00EE07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53B" w14:textId="35EBE029" w:rsidR="002A193C" w:rsidRDefault="00EE0797">
    <w:pPr>
      <w:pStyle w:val="Footer"/>
    </w:pPr>
    <w:r>
      <w:t>Department of Agriculture, Fisheries and Forestry</w:t>
    </w:r>
  </w:p>
  <w:p w14:paraId="242C15A5" w14:textId="77777777" w:rsidR="002A193C" w:rsidRDefault="00EE07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75A" w14:textId="77777777" w:rsidR="00EE0797" w:rsidRDefault="00EE0797" w:rsidP="00EE0797">
      <w:pPr>
        <w:spacing w:after="0" w:line="240" w:lineRule="auto"/>
      </w:pPr>
      <w:r>
        <w:separator/>
      </w:r>
    </w:p>
  </w:footnote>
  <w:footnote w:type="continuationSeparator" w:id="0">
    <w:p w14:paraId="4B43FA83" w14:textId="77777777" w:rsidR="00EE0797" w:rsidRDefault="00EE0797" w:rsidP="00EE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337F" w14:textId="3B9E8A36" w:rsidR="00AB53EE" w:rsidRDefault="001E497D">
    <w:pPr>
      <w:pStyle w:val="Header"/>
    </w:pPr>
    <w:r>
      <w:t>Grain demand: The impact of meat consumption and biofuels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9B63" w14:textId="2CF64CE1" w:rsidR="002A193C" w:rsidRDefault="00EE0797" w:rsidP="00EE0797">
    <w:pPr>
      <w:pStyle w:val="Header"/>
      <w:tabs>
        <w:tab w:val="clear" w:pos="4820"/>
        <w:tab w:val="left" w:pos="3048"/>
      </w:tabs>
      <w:jc w:val="left"/>
    </w:pPr>
    <w:r>
      <w:rPr>
        <w:noProof/>
      </w:rPr>
      <w:drawing>
        <wp:inline distT="0" distB="0" distL="0" distR="0" wp14:anchorId="2C587C98" wp14:editId="45396328">
          <wp:extent cx="2231045" cy="856013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507" cy="85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44"/>
    <w:multiLevelType w:val="hybridMultilevel"/>
    <w:tmpl w:val="3806B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12EB"/>
    <w:multiLevelType w:val="hybridMultilevel"/>
    <w:tmpl w:val="E4FE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FB620A"/>
    <w:multiLevelType w:val="hybridMultilevel"/>
    <w:tmpl w:val="5A3069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503122F"/>
    <w:multiLevelType w:val="hybridMultilevel"/>
    <w:tmpl w:val="A30CAB14"/>
    <w:lvl w:ilvl="0" w:tplc="621A0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15FE"/>
    <w:multiLevelType w:val="multilevel"/>
    <w:tmpl w:val="F36C17E8"/>
    <w:numStyleLink w:val="Headinglist"/>
  </w:abstractNum>
  <w:abstractNum w:abstractNumId="6" w15:restartNumberingAfterBreak="0">
    <w:nsid w:val="3E3A75CF"/>
    <w:multiLevelType w:val="hybridMultilevel"/>
    <w:tmpl w:val="B2588556"/>
    <w:lvl w:ilvl="0" w:tplc="AD8ED61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D22E55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3FE064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6419D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604D4F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100F1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49015A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F23AF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6AD06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4CEE0903"/>
    <w:multiLevelType w:val="hybridMultilevel"/>
    <w:tmpl w:val="BA2A9200"/>
    <w:lvl w:ilvl="0" w:tplc="B1B4D67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C47DC0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112892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262AE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9A878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F0E34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E8A27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406A5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5A3E8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54005C1D"/>
    <w:multiLevelType w:val="hybridMultilevel"/>
    <w:tmpl w:val="0D4C76E2"/>
    <w:lvl w:ilvl="0" w:tplc="59743E5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BBEAD7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9400C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380A93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326AB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FE3A2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8883C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B6A527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A484CC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FB61B3F"/>
    <w:multiLevelType w:val="hybridMultilevel"/>
    <w:tmpl w:val="03F4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E7AF9"/>
    <w:multiLevelType w:val="hybridMultilevel"/>
    <w:tmpl w:val="E9BEA67C"/>
    <w:lvl w:ilvl="0" w:tplc="8A963B9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0109AA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570656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018A5F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632A1A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E6466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A8299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91A089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1B0ECB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742A51F5"/>
    <w:multiLevelType w:val="hybridMultilevel"/>
    <w:tmpl w:val="D93C5444"/>
    <w:lvl w:ilvl="0" w:tplc="0A1C25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E9AF53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2A30D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065B3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33C49A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BCB21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E4AC2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F62B53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4277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745E18A5"/>
    <w:multiLevelType w:val="hybridMultilevel"/>
    <w:tmpl w:val="42E0F3F6"/>
    <w:lvl w:ilvl="0" w:tplc="B0345E7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3B041C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D3E532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58623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93A12F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0DE356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703BC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8FEED5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A344DD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78897F12"/>
    <w:multiLevelType w:val="hybridMultilevel"/>
    <w:tmpl w:val="461AE006"/>
    <w:lvl w:ilvl="0" w:tplc="0352BFC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A98D65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720D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400EAF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4E2E34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F4A32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9BC8D0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4A3C5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3A02C7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78A22F0B"/>
    <w:multiLevelType w:val="hybridMultilevel"/>
    <w:tmpl w:val="CBD4FCC6"/>
    <w:lvl w:ilvl="0" w:tplc="DA407AF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7EAEB0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1CDDB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F68832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DACC76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66E37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6AC359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F073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4C27FE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EAF57C0"/>
    <w:multiLevelType w:val="hybridMultilevel"/>
    <w:tmpl w:val="E092D548"/>
    <w:lvl w:ilvl="0" w:tplc="E9620A98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70358F"/>
    <w:multiLevelType w:val="hybridMultilevel"/>
    <w:tmpl w:val="BFFC9D60"/>
    <w:lvl w:ilvl="0" w:tplc="05F27A6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794172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DC3A4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86171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F0385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0A2F1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BC2E74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F223A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68F8E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2472737">
    <w:abstractNumId w:val="2"/>
  </w:num>
  <w:num w:numId="2" w16cid:durableId="1811707377">
    <w:abstractNumId w:val="5"/>
  </w:num>
  <w:num w:numId="3" w16cid:durableId="2044093347">
    <w:abstractNumId w:val="1"/>
  </w:num>
  <w:num w:numId="4" w16cid:durableId="1039014724">
    <w:abstractNumId w:val="3"/>
  </w:num>
  <w:num w:numId="5" w16cid:durableId="727149189">
    <w:abstractNumId w:val="0"/>
  </w:num>
  <w:num w:numId="6" w16cid:durableId="351732287">
    <w:abstractNumId w:val="9"/>
  </w:num>
  <w:num w:numId="7" w16cid:durableId="42365914">
    <w:abstractNumId w:val="5"/>
  </w:num>
  <w:num w:numId="8" w16cid:durableId="335503195">
    <w:abstractNumId w:val="5"/>
  </w:num>
  <w:num w:numId="9" w16cid:durableId="1930649091">
    <w:abstractNumId w:val="4"/>
  </w:num>
  <w:num w:numId="10" w16cid:durableId="1058430442">
    <w:abstractNumId w:val="5"/>
  </w:num>
  <w:num w:numId="11" w16cid:durableId="410658917">
    <w:abstractNumId w:val="5"/>
  </w:num>
  <w:num w:numId="12" w16cid:durableId="1175463192">
    <w:abstractNumId w:val="5"/>
  </w:num>
  <w:num w:numId="13" w16cid:durableId="61222341">
    <w:abstractNumId w:val="11"/>
  </w:num>
  <w:num w:numId="14" w16cid:durableId="1178424283">
    <w:abstractNumId w:val="6"/>
  </w:num>
  <w:num w:numId="15" w16cid:durableId="1420711583">
    <w:abstractNumId w:val="16"/>
  </w:num>
  <w:num w:numId="16" w16cid:durableId="1454329777">
    <w:abstractNumId w:val="13"/>
  </w:num>
  <w:num w:numId="17" w16cid:durableId="243534247">
    <w:abstractNumId w:val="15"/>
  </w:num>
  <w:num w:numId="18" w16cid:durableId="1742169222">
    <w:abstractNumId w:val="10"/>
  </w:num>
  <w:num w:numId="19" w16cid:durableId="1399286539">
    <w:abstractNumId w:val="7"/>
  </w:num>
  <w:num w:numId="20" w16cid:durableId="292753605">
    <w:abstractNumId w:val="8"/>
  </w:num>
  <w:num w:numId="21" w16cid:durableId="9573431">
    <w:abstractNumId w:val="12"/>
  </w:num>
  <w:num w:numId="22" w16cid:durableId="980839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97"/>
    <w:rsid w:val="00105DBB"/>
    <w:rsid w:val="001370E0"/>
    <w:rsid w:val="001E497D"/>
    <w:rsid w:val="001F0B31"/>
    <w:rsid w:val="002F34C9"/>
    <w:rsid w:val="00312E64"/>
    <w:rsid w:val="00315026"/>
    <w:rsid w:val="00392A5E"/>
    <w:rsid w:val="00483188"/>
    <w:rsid w:val="0051565A"/>
    <w:rsid w:val="005807B6"/>
    <w:rsid w:val="00593786"/>
    <w:rsid w:val="00624B96"/>
    <w:rsid w:val="006C527D"/>
    <w:rsid w:val="006D6C8F"/>
    <w:rsid w:val="00731951"/>
    <w:rsid w:val="00747F44"/>
    <w:rsid w:val="007710DF"/>
    <w:rsid w:val="00835D89"/>
    <w:rsid w:val="0086398E"/>
    <w:rsid w:val="008B066B"/>
    <w:rsid w:val="009414DD"/>
    <w:rsid w:val="00977B9A"/>
    <w:rsid w:val="009A0C58"/>
    <w:rsid w:val="00A1073E"/>
    <w:rsid w:val="00A223BF"/>
    <w:rsid w:val="00A35F29"/>
    <w:rsid w:val="00AB30AB"/>
    <w:rsid w:val="00AC4405"/>
    <w:rsid w:val="00AD3F01"/>
    <w:rsid w:val="00B518E8"/>
    <w:rsid w:val="00BE2B08"/>
    <w:rsid w:val="00C07653"/>
    <w:rsid w:val="00C15267"/>
    <w:rsid w:val="00C650CA"/>
    <w:rsid w:val="00D015F5"/>
    <w:rsid w:val="00D12233"/>
    <w:rsid w:val="00D53703"/>
    <w:rsid w:val="00D54FDB"/>
    <w:rsid w:val="00DE39F6"/>
    <w:rsid w:val="00E332F4"/>
    <w:rsid w:val="00E3583E"/>
    <w:rsid w:val="00E83BA6"/>
    <w:rsid w:val="00ED0574"/>
    <w:rsid w:val="00EE0797"/>
    <w:rsid w:val="00F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74C3"/>
  <w15:chartTrackingRefBased/>
  <w15:docId w15:val="{0E0272E2-8694-4BE6-B987-AAF54F9A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97"/>
    <w:pPr>
      <w:spacing w:after="200" w:line="276" w:lineRule="auto"/>
    </w:pPr>
    <w:rPr>
      <w:rFonts w:ascii="Cambria" w:hAnsi="Cambria"/>
    </w:rPr>
  </w:style>
  <w:style w:type="paragraph" w:styleId="Heading1">
    <w:name w:val="heading 1"/>
    <w:next w:val="Normal"/>
    <w:link w:val="Heading1Char"/>
    <w:uiPriority w:val="1"/>
    <w:qFormat/>
    <w:rsid w:val="00EE0797"/>
    <w:pPr>
      <w:widowControl w:val="0"/>
      <w:spacing w:before="360" w:after="0" w:line="240" w:lineRule="auto"/>
      <w:contextualSpacing/>
      <w:outlineLvl w:val="0"/>
    </w:pPr>
    <w:rPr>
      <w:rFonts w:ascii="Calibri" w:hAnsi="Calibri"/>
      <w:b/>
      <w:bCs/>
      <w:color w:val="000000"/>
      <w:spacing w:val="5"/>
      <w:kern w:val="28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rsid w:val="00EE0797"/>
    <w:pPr>
      <w:keepNext/>
      <w:numPr>
        <w:numId w:val="2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E0797"/>
    <w:pPr>
      <w:keepNext/>
      <w:keepLines/>
      <w:numPr>
        <w:ilvl w:val="1"/>
        <w:numId w:val="2"/>
      </w:numPr>
      <w:spacing w:after="0" w:line="240" w:lineRule="auto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Heading4">
    <w:name w:val="heading 4"/>
    <w:next w:val="Normal"/>
    <w:link w:val="Heading4Char"/>
    <w:uiPriority w:val="5"/>
    <w:qFormat/>
    <w:rsid w:val="00EE0797"/>
    <w:pPr>
      <w:keepNext/>
      <w:numPr>
        <w:ilvl w:val="2"/>
        <w:numId w:val="2"/>
      </w:numPr>
      <w:spacing w:after="0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797"/>
    <w:rPr>
      <w:rFonts w:ascii="Calibri" w:hAnsi="Calibri"/>
      <w:b/>
      <w:bCs/>
      <w:color w:val="000000"/>
      <w:spacing w:val="5"/>
      <w:kern w:val="28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E0797"/>
    <w:rPr>
      <w:rFonts w:ascii="Calibri" w:eastAsiaTheme="minorEastAsia" w:hAnsi="Calibr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E0797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EE0797"/>
    <w:rPr>
      <w:rFonts w:ascii="Calibri" w:eastAsia="Times New Roman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26"/>
    <w:rsid w:val="00EE0797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EE0797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27"/>
    <w:rsid w:val="00EE079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EE0797"/>
    <w:rPr>
      <w:rFonts w:ascii="Calibri" w:hAnsi="Calibri"/>
      <w:sz w:val="20"/>
    </w:rPr>
  </w:style>
  <w:style w:type="paragraph" w:styleId="Caption">
    <w:name w:val="caption"/>
    <w:basedOn w:val="Normal"/>
    <w:next w:val="Normal"/>
    <w:uiPriority w:val="12"/>
    <w:qFormat/>
    <w:rsid w:val="00EE0797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character" w:styleId="Hyperlink">
    <w:name w:val="Hyperlink"/>
    <w:basedOn w:val="DefaultParagraphFont"/>
    <w:uiPriority w:val="99"/>
    <w:qFormat/>
    <w:rsid w:val="00EE0797"/>
    <w:rPr>
      <w:color w:val="165788"/>
      <w:u w:val="single"/>
    </w:rPr>
  </w:style>
  <w:style w:type="numbering" w:customStyle="1" w:styleId="Headinglist">
    <w:name w:val="Heading list"/>
    <w:uiPriority w:val="99"/>
    <w:rsid w:val="00EE079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E07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07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2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A5E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5E"/>
    <w:rPr>
      <w:rFonts w:ascii="Cambria" w:hAnsi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73E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12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378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64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7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1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70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54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70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18">
          <w:marLeft w:val="562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840">
          <w:marLeft w:val="562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5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3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96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3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573">
          <w:marLeft w:val="562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9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6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479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00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68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73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41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247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148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352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abares/research-topics/agricultural-outlook/meat-consumption" TargetMode="External"/><Relationship Id="rId18" Type="http://schemas.openxmlformats.org/officeDocument/2006/relationships/hyperlink" Target="https://unctad.org/system/files/official-document/ditcted200710_en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iea.org/reports/renewables-2021/biofuel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igc.int/en/markets/marketinfo-goi.aspx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iencedirect.com/science/article/pii/S0959378016302370?via%3Dihub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AD59E-1808-4CF8-B3A9-E9878BF68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A0502-CEB4-466D-9404-59FC17B8E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A4A77-B0BA-437C-9205-C205548CC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Grain demand: The impact of meat consumption and biofuels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Grain demand: The impact of meat consumption and biofuels</dc:title>
  <dc:subject/>
  <dc:creator>Department of Agriculture, Fisheries and Forestry</dc:creator>
  <cp:keywords/>
  <dc:description/>
  <cp:lastModifiedBy>Nov, Amanda</cp:lastModifiedBy>
  <cp:revision>28</cp:revision>
  <dcterms:created xsi:type="dcterms:W3CDTF">2022-09-12T01:45:00Z</dcterms:created>
  <dcterms:modified xsi:type="dcterms:W3CDTF">2022-10-11T05:30:00Z</dcterms:modified>
</cp:coreProperties>
</file>