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5215" w14:textId="60E44DAE" w:rsidR="00B72D54" w:rsidRPr="00B72D54" w:rsidRDefault="005E64FA" w:rsidP="00B72D54">
      <w:pPr>
        <w:pStyle w:val="Heading1"/>
      </w:pPr>
      <w:bookmarkStart w:id="0" w:name="_Hlk36454818"/>
      <w:r w:rsidRPr="00763E88">
        <w:t>Recycling Modernisation Fund</w:t>
      </w:r>
      <w:r w:rsidR="00763E88" w:rsidRPr="00763E88">
        <w:t>: r</w:t>
      </w:r>
      <w:r w:rsidR="00082DFD" w:rsidRPr="00763E88">
        <w:t xml:space="preserve">egional and </w:t>
      </w:r>
      <w:r w:rsidR="00763E88" w:rsidRPr="00763E88">
        <w:t>r</w:t>
      </w:r>
      <w:r w:rsidR="00082DFD" w:rsidRPr="00763E88">
        <w:t>emote</w:t>
      </w:r>
      <w:r w:rsidR="00A23B0F" w:rsidRPr="00763E88">
        <w:t xml:space="preserve"> </w:t>
      </w:r>
      <w:r w:rsidR="00F24231" w:rsidRPr="00763E88">
        <w:t>funding</w:t>
      </w:r>
      <w:r w:rsidR="00B72D54">
        <w:t xml:space="preserve"> - </w:t>
      </w:r>
      <w:r w:rsidR="00F24231" w:rsidRPr="00763E88">
        <w:t>Guidelines for Commonwealth co-investment</w:t>
      </w:r>
    </w:p>
    <w:p w14:paraId="4C639AD5" w14:textId="5F8A76A7" w:rsidR="00A23B0F" w:rsidRPr="00763E88" w:rsidRDefault="00A23B0F" w:rsidP="00B72D54">
      <w:pPr>
        <w:pStyle w:val="Heading2"/>
      </w:pPr>
      <w:r w:rsidRPr="00763E88">
        <w:t>Introduction</w:t>
      </w:r>
    </w:p>
    <w:p w14:paraId="085752B3" w14:textId="538DA9B5" w:rsidR="00A23B0F" w:rsidRPr="00517FF3" w:rsidRDefault="00A23B0F" w:rsidP="00B72D54">
      <w:r w:rsidRPr="00517FF3">
        <w:t xml:space="preserve">In March 2020, the Prime Minister announced the Australian Government will co-invest in critical recycling infrastructure along with state and territory governments, and industry. The $190 million Recycling Modernisation Fund (RMF) was established to improve recycling </w:t>
      </w:r>
      <w:r w:rsidR="00A329DE">
        <w:t>infrastructure</w:t>
      </w:r>
      <w:r w:rsidR="00A329DE" w:rsidRPr="00517FF3">
        <w:t xml:space="preserve"> </w:t>
      </w:r>
      <w:r w:rsidRPr="00517FF3">
        <w:t xml:space="preserve">by addressing infrastructure gaps in Australia’s waste management and resource recovery system. The RMF focuses on the waste streams impacted by the Council of Australian Governments’ Export Waste Ban (on unprocessed glass, mixed and single polymer plastics, tyres, and mixed paper and carboard). The RMF </w:t>
      </w:r>
      <w:r w:rsidR="00A329DE">
        <w:t>jointly funded with</w:t>
      </w:r>
      <w:r w:rsidRPr="00517FF3">
        <w:t xml:space="preserve"> states and territories through </w:t>
      </w:r>
      <w:bookmarkStart w:id="1" w:name="_Hlk77937295"/>
      <w:r w:rsidRPr="00517FF3">
        <w:t xml:space="preserve">the </w:t>
      </w:r>
      <w:hyperlink r:id="rId11" w:history="1">
        <w:r w:rsidRPr="00517FF3">
          <w:rPr>
            <w:rStyle w:val="Hyperlink"/>
            <w:rFonts w:asciiTheme="minorHAnsi" w:hAnsiTheme="minorHAnsi" w:cstheme="minorHAnsi"/>
          </w:rPr>
          <w:t>National Partnership on Recycling Infrastructure</w:t>
        </w:r>
      </w:hyperlink>
      <w:r w:rsidRPr="00517FF3">
        <w:t>.</w:t>
      </w:r>
    </w:p>
    <w:bookmarkEnd w:id="1"/>
    <w:p w14:paraId="190C5F44" w14:textId="1D9EBEC3" w:rsidR="00A23B0F" w:rsidRPr="00517FF3" w:rsidRDefault="00A23B0F" w:rsidP="00B72D54">
      <w:r w:rsidRPr="00517FF3">
        <w:t xml:space="preserve">High capital costs to install modern technology, volatile international markets, and long and expensive planning approvals make attracting investment for recycling solutions a challenge. Managing waste in regional and remote locations throughout Australia presents additional challenges. Isolation during the wet season or </w:t>
      </w:r>
      <w:proofErr w:type="gramStart"/>
      <w:r w:rsidRPr="00517FF3">
        <w:t>as a result of</w:t>
      </w:r>
      <w:proofErr w:type="gramEnd"/>
      <w:r w:rsidRPr="00517FF3">
        <w:t xml:space="preserve"> natural disasters, lack of connection with major transport routes, no or limited kerbside collection and long distances to recycling and remanufacturing centres all present considerable logistical and financial complexities. Legacy waste, human health and financial impacts to communities are additional </w:t>
      </w:r>
      <w:r w:rsidR="00A329DE">
        <w:t>issues</w:t>
      </w:r>
      <w:r w:rsidRPr="00517FF3">
        <w:t xml:space="preserve"> in regional and remote areas. </w:t>
      </w:r>
    </w:p>
    <w:p w14:paraId="3064A3E1" w14:textId="43E3470C" w:rsidR="00082DFD" w:rsidRPr="00517FF3" w:rsidRDefault="00082DFD" w:rsidP="00B72D54">
      <w:pPr>
        <w:rPr>
          <w:b/>
          <w:bCs/>
          <w:sz w:val="24"/>
          <w:szCs w:val="24"/>
        </w:rPr>
      </w:pPr>
      <w:r w:rsidRPr="00517FF3">
        <w:t xml:space="preserve">A key target of the </w:t>
      </w:r>
      <w:hyperlink r:id="rId12" w:history="1">
        <w:r w:rsidR="00145B65" w:rsidRPr="009E2058">
          <w:rPr>
            <w:rStyle w:val="Hyperlink"/>
            <w:rFonts w:asciiTheme="minorHAnsi" w:hAnsiTheme="minorHAnsi" w:cstheme="minorHAnsi"/>
          </w:rPr>
          <w:t xml:space="preserve">2019 </w:t>
        </w:r>
        <w:r w:rsidR="00145B65" w:rsidRPr="009E2058">
          <w:rPr>
            <w:rStyle w:val="Hyperlink"/>
            <w:rFonts w:asciiTheme="minorHAnsi" w:hAnsiTheme="minorHAnsi" w:cstheme="minorHAnsi"/>
            <w:i/>
            <w:iCs/>
          </w:rPr>
          <w:t>National Waste Policy Action Plan</w:t>
        </w:r>
      </w:hyperlink>
      <w:r w:rsidR="00145B65" w:rsidRPr="00616C45">
        <w:t xml:space="preserve"> (the National Action Plan</w:t>
      </w:r>
      <w:r w:rsidR="00145B65">
        <w:t xml:space="preserve">) </w:t>
      </w:r>
      <w:r w:rsidRPr="00517FF3">
        <w:t xml:space="preserve">is to achieve an 80 per cent average resource recovery rate from all waste streams following the waste hierarchy by 2030. To achieve this target, the National Action Plan recognises that regional and remote areas require better access to waste management and processing. To help reach this target, under the RMF, the Australian Government will co-fund projects that increase the sorting, processing, and manufacturing or remanufacturing capacity of regional and remote locations. The areas of interest for this </w:t>
      </w:r>
      <w:r w:rsidR="00A70E08">
        <w:t>funding</w:t>
      </w:r>
      <w:r w:rsidR="00A70E08" w:rsidRPr="00517FF3">
        <w:t xml:space="preserve"> </w:t>
      </w:r>
      <w:r w:rsidRPr="00517FF3">
        <w:t xml:space="preserve">are all non-metro areas falling under the ABS classifications of inner and outer regional, </w:t>
      </w:r>
      <w:proofErr w:type="gramStart"/>
      <w:r w:rsidRPr="00517FF3">
        <w:t>remote</w:t>
      </w:r>
      <w:proofErr w:type="gramEnd"/>
      <w:r w:rsidRPr="00517FF3">
        <w:t xml:space="preserve"> and very remote areas. </w:t>
      </w:r>
    </w:p>
    <w:p w14:paraId="0AAF7D10" w14:textId="3D78A762" w:rsidR="00A23B0F" w:rsidRPr="00517FF3" w:rsidRDefault="00082DFD" w:rsidP="00B72D54">
      <w:r w:rsidRPr="00517FF3">
        <w:t>To assist with identifying regional and remote areas, t</w:t>
      </w:r>
      <w:r w:rsidR="00A23B0F" w:rsidRPr="00517FF3">
        <w:t>he Australian Bureau of Statistics (ABS) uses the Accessibility/Remoteness Index of Australia (ARIA+).</w:t>
      </w:r>
      <w:r w:rsidR="00A23B0F" w:rsidRPr="00517FF3">
        <w:rPr>
          <w:color w:val="333333"/>
          <w:shd w:val="clear" w:color="auto" w:fill="FFFFFF"/>
        </w:rPr>
        <w:t xml:space="preserve"> A map of the 2016 census data showing </w:t>
      </w:r>
      <w:r w:rsidR="00A23B0F" w:rsidRPr="00517FF3">
        <w:t>Remoteness Areas is</w:t>
      </w:r>
      <w:r w:rsidR="00130F92">
        <w:t xml:space="preserve"> outlined in Map 1</w:t>
      </w:r>
      <w:r w:rsidR="00A23B0F" w:rsidRPr="00517FF3">
        <w:rPr>
          <w:color w:val="333333"/>
          <w:shd w:val="clear" w:color="auto" w:fill="FFFFFF"/>
        </w:rPr>
        <w:t xml:space="preserve">. </w:t>
      </w:r>
    </w:p>
    <w:p w14:paraId="669ECA05" w14:textId="77777777" w:rsidR="00A2718A" w:rsidRPr="00517FF3" w:rsidRDefault="00A2718A" w:rsidP="00A2718A">
      <w:pPr>
        <w:pStyle w:val="Caption"/>
        <w:rPr>
          <w:rFonts w:asciiTheme="minorHAnsi" w:hAnsiTheme="minorHAnsi" w:cstheme="minorHAnsi"/>
        </w:rPr>
      </w:pPr>
      <w:r>
        <w:lastRenderedPageBreak/>
        <w:t xml:space="preserve">Map </w:t>
      </w:r>
      <w:r w:rsidR="00336027">
        <w:fldChar w:fldCharType="begin"/>
      </w:r>
      <w:r w:rsidR="00336027">
        <w:instrText xml:space="preserve"> SEQ Map \* ARABIC </w:instrText>
      </w:r>
      <w:r w:rsidR="00336027">
        <w:fldChar w:fldCharType="separate"/>
      </w:r>
      <w:r>
        <w:rPr>
          <w:noProof/>
        </w:rPr>
        <w:t>1</w:t>
      </w:r>
      <w:r w:rsidR="00336027">
        <w:rPr>
          <w:noProof/>
        </w:rPr>
        <w:fldChar w:fldCharType="end"/>
      </w:r>
      <w:r>
        <w:t xml:space="preserve"> - </w:t>
      </w:r>
      <w:r w:rsidRPr="004957C6">
        <w:t>M</w:t>
      </w:r>
      <w:r>
        <w:t>ap of the 2016</w:t>
      </w:r>
      <w:r w:rsidRPr="004957C6">
        <w:t xml:space="preserve"> R</w:t>
      </w:r>
      <w:r>
        <w:t xml:space="preserve">emoteness </w:t>
      </w:r>
      <w:r w:rsidRPr="004957C6">
        <w:t>A</w:t>
      </w:r>
      <w:r>
        <w:t>reas</w:t>
      </w:r>
      <w:r w:rsidRPr="004957C6">
        <w:t xml:space="preserve"> </w:t>
      </w:r>
      <w:r>
        <w:t>for</w:t>
      </w:r>
      <w:r w:rsidRPr="004957C6">
        <w:t xml:space="preserve"> A</w:t>
      </w:r>
      <w:r>
        <w:t>ustralia</w:t>
      </w:r>
    </w:p>
    <w:p w14:paraId="2A2AE3B8" w14:textId="77777777" w:rsidR="00756C32" w:rsidRDefault="00A23B0F" w:rsidP="00756C32">
      <w:pPr>
        <w:keepNext/>
        <w:spacing w:after="120"/>
      </w:pPr>
      <w:r w:rsidRPr="00517FF3">
        <w:rPr>
          <w:rFonts w:asciiTheme="minorHAnsi" w:hAnsiTheme="minorHAnsi" w:cstheme="minorHAnsi"/>
          <w:noProof/>
        </w:rPr>
        <w:drawing>
          <wp:inline distT="0" distB="0" distL="0" distR="0" wp14:anchorId="056B0CA3" wp14:editId="277E64CD">
            <wp:extent cx="5854700" cy="4724400"/>
            <wp:effectExtent l="0" t="0" r="0" b="0"/>
            <wp:docPr id="1" name="Picture 1" descr="Map of the 2016 Remoteness Areas fo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the 2016 Remoteness Areas for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361" cy="4745107"/>
                    </a:xfrm>
                    <a:prstGeom prst="rect">
                      <a:avLst/>
                    </a:prstGeom>
                    <a:noFill/>
                    <a:ln>
                      <a:noFill/>
                    </a:ln>
                  </pic:spPr>
                </pic:pic>
              </a:graphicData>
            </a:graphic>
          </wp:inline>
        </w:drawing>
      </w:r>
    </w:p>
    <w:p w14:paraId="625C4E10" w14:textId="77777777" w:rsidR="00A23B0F" w:rsidRPr="00517FF3" w:rsidRDefault="00A23B0F" w:rsidP="00B72D54">
      <w:pPr>
        <w:rPr>
          <w:rFonts w:asciiTheme="minorHAnsi" w:hAnsiTheme="minorHAnsi" w:cstheme="minorHAnsi"/>
        </w:rPr>
      </w:pPr>
      <w:r w:rsidRPr="00517FF3">
        <w:rPr>
          <w:rFonts w:asciiTheme="minorHAnsi" w:hAnsiTheme="minorHAnsi" w:cstheme="minorHAnsi"/>
        </w:rPr>
        <w:t xml:space="preserve">Source:  </w:t>
      </w:r>
      <w:hyperlink r:id="rId14" w:history="1">
        <w:r w:rsidRPr="00517FF3">
          <w:rPr>
            <w:rStyle w:val="Hyperlink"/>
            <w:rFonts w:asciiTheme="minorHAnsi" w:hAnsiTheme="minorHAnsi" w:cstheme="minorHAnsi"/>
          </w:rPr>
          <w:t>ABS website</w:t>
        </w:r>
      </w:hyperlink>
      <w:r w:rsidRPr="00517FF3">
        <w:rPr>
          <w:rFonts w:asciiTheme="minorHAnsi" w:hAnsiTheme="minorHAnsi" w:cstheme="minorHAnsi"/>
        </w:rPr>
        <w:t xml:space="preserve"> </w:t>
      </w:r>
    </w:p>
    <w:p w14:paraId="15ABEC8C" w14:textId="71387D1F" w:rsidR="00465C15" w:rsidRPr="00B72D54" w:rsidRDefault="00A23B0F" w:rsidP="00B72D54">
      <w:pPr>
        <w:pStyle w:val="Heading3"/>
      </w:pPr>
      <w:r w:rsidRPr="00B72D54">
        <w:t>Project Information</w:t>
      </w:r>
    </w:p>
    <w:p w14:paraId="756C9345" w14:textId="794D578D" w:rsidR="00A23B0F" w:rsidRPr="00517FF3" w:rsidRDefault="00A23B0F" w:rsidP="00B72D54">
      <w:pPr>
        <w:rPr>
          <w:color w:val="202124"/>
          <w:shd w:val="clear" w:color="auto" w:fill="FFFFFF"/>
        </w:rPr>
      </w:pPr>
      <w:r w:rsidRPr="00517FF3">
        <w:t xml:space="preserve">Projects that provide local solutions to local problems, seek to increase local </w:t>
      </w:r>
      <w:r w:rsidR="00082DFD" w:rsidRPr="00517FF3">
        <w:t>employment,</w:t>
      </w:r>
      <w:r w:rsidRPr="00517FF3">
        <w:t xml:space="preserve"> provide economic benefit, and solve transport logistic complexities will be highly regarded. </w:t>
      </w:r>
      <w:r w:rsidR="002160B2">
        <w:t>T</w:t>
      </w:r>
      <w:r w:rsidRPr="00517FF3">
        <w:t xml:space="preserve">he Australian Government will consider proposals for economically viable projects that best address </w:t>
      </w:r>
      <w:r w:rsidR="002160B2">
        <w:t>regional</w:t>
      </w:r>
      <w:r w:rsidRPr="00517FF3">
        <w:t xml:space="preserve"> pressures.</w:t>
      </w:r>
      <w:r w:rsidRPr="00517FF3">
        <w:rPr>
          <w:color w:val="202124"/>
          <w:shd w:val="clear" w:color="auto" w:fill="FFFFFF"/>
        </w:rPr>
        <w:t xml:space="preserve"> </w:t>
      </w:r>
      <w:r w:rsidRPr="00517FF3">
        <w:t>Projects that support connections between local organisations in remote and regional areas and major companies in urban areas</w:t>
      </w:r>
      <w:r w:rsidR="00465C15" w:rsidRPr="00517FF3">
        <w:t xml:space="preserve"> </w:t>
      </w:r>
      <w:r w:rsidR="0024063F" w:rsidRPr="00517FF3">
        <w:t>of</w:t>
      </w:r>
      <w:r w:rsidR="00465C15" w:rsidRPr="00517FF3">
        <w:t xml:space="preserve"> Australia</w:t>
      </w:r>
      <w:r w:rsidRPr="00517FF3">
        <w:t xml:space="preserve"> are encouraged to close-the-loop between waste generation, sorting, processing, remanufacturing, and input back into the economy.</w:t>
      </w:r>
      <w:r w:rsidR="003C5A28">
        <w:t xml:space="preserve"> </w:t>
      </w:r>
      <w:bookmarkStart w:id="2" w:name="_Hlk81294276"/>
      <w:r w:rsidR="002D67FF">
        <w:t xml:space="preserve">The Commonwealth suggests that </w:t>
      </w:r>
      <w:r w:rsidR="002D67FF" w:rsidRPr="001F68A9">
        <w:t xml:space="preserve">project proponents </w:t>
      </w:r>
      <w:r w:rsidR="002D67FF">
        <w:t xml:space="preserve">communicate with </w:t>
      </w:r>
      <w:r w:rsidR="002D67FF" w:rsidRPr="001F68A9">
        <w:t>thei</w:t>
      </w:r>
      <w:r w:rsidR="002D67FF">
        <w:t>r local</w:t>
      </w:r>
      <w:r w:rsidR="002D67FF" w:rsidRPr="001F68A9">
        <w:t xml:space="preserve"> R</w:t>
      </w:r>
      <w:r w:rsidR="002D67FF">
        <w:t xml:space="preserve">egional </w:t>
      </w:r>
      <w:r w:rsidR="002D67FF" w:rsidRPr="001F68A9">
        <w:t>D</w:t>
      </w:r>
      <w:r w:rsidR="002D67FF">
        <w:t xml:space="preserve">evelopment </w:t>
      </w:r>
      <w:r w:rsidR="002D67FF" w:rsidRPr="001F68A9">
        <w:t>A</w:t>
      </w:r>
      <w:r w:rsidR="002D67FF">
        <w:t>ssociation</w:t>
      </w:r>
      <w:r w:rsidR="002D67FF" w:rsidRPr="001F68A9">
        <w:t>s when developing proposals</w:t>
      </w:r>
      <w:r w:rsidR="002D67FF">
        <w:t>.</w:t>
      </w:r>
      <w:bookmarkEnd w:id="2"/>
    </w:p>
    <w:p w14:paraId="61DC34A5" w14:textId="39CE8C53" w:rsidR="0064374D" w:rsidRPr="00A2718A" w:rsidRDefault="00A23B0F" w:rsidP="00A2718A">
      <w:bookmarkStart w:id="3" w:name="_Hlk77928169"/>
      <w:r w:rsidRPr="00517FF3">
        <w:t xml:space="preserve">The Australian Government encourages involvement from </w:t>
      </w:r>
      <w:r w:rsidR="00E65088">
        <w:t xml:space="preserve">small organisations, such as </w:t>
      </w:r>
      <w:r w:rsidRPr="00517FF3">
        <w:t>small and medium businesses</w:t>
      </w:r>
      <w:r w:rsidR="008C0342">
        <w:t xml:space="preserve">, </w:t>
      </w:r>
      <w:r w:rsidR="00A70E08" w:rsidRPr="00517FF3">
        <w:t>not-for-profits</w:t>
      </w:r>
      <w:r w:rsidR="00A70E08">
        <w:t xml:space="preserve">, </w:t>
      </w:r>
      <w:r w:rsidRPr="00517FF3">
        <w:t>Local Government, community groups</w:t>
      </w:r>
      <w:r w:rsidR="00077CAC">
        <w:t xml:space="preserve">, </w:t>
      </w:r>
      <w:bookmarkStart w:id="4" w:name="_Hlk81294334"/>
      <w:r w:rsidR="002D67FF">
        <w:t>regional research institutions</w:t>
      </w:r>
      <w:r w:rsidR="002D67FF" w:rsidDel="002D67FF">
        <w:t xml:space="preserve"> </w:t>
      </w:r>
      <w:bookmarkEnd w:id="4"/>
      <w:r w:rsidRPr="00517FF3">
        <w:t>and Traditional Custodians</w:t>
      </w:r>
      <w:bookmarkStart w:id="5" w:name="_Hlk77938554"/>
      <w:bookmarkEnd w:id="3"/>
      <w:r w:rsidRPr="00517FF3">
        <w:t xml:space="preserve">. </w:t>
      </w:r>
      <w:r w:rsidR="008C0342">
        <w:t>Eligible p</w:t>
      </w:r>
      <w:r w:rsidRPr="00517FF3">
        <w:t xml:space="preserve">roposals </w:t>
      </w:r>
      <w:r w:rsidR="00A70E08">
        <w:t xml:space="preserve">from </w:t>
      </w:r>
      <w:r w:rsidR="008C0342">
        <w:t xml:space="preserve">small organisations </w:t>
      </w:r>
      <w:r w:rsidR="00D33D45">
        <w:t>may</w:t>
      </w:r>
      <w:r w:rsidRPr="00517FF3">
        <w:t xml:space="preserve"> </w:t>
      </w:r>
      <w:r w:rsidR="0043328F">
        <w:t xml:space="preserve">be further assessed through the </w:t>
      </w:r>
      <w:proofErr w:type="gramStart"/>
      <w:r w:rsidR="008C0342">
        <w:rPr>
          <w:i/>
          <w:iCs/>
        </w:rPr>
        <w:t>S</w:t>
      </w:r>
      <w:r w:rsidR="008C0342" w:rsidRPr="004278B0">
        <w:rPr>
          <w:i/>
          <w:iCs/>
        </w:rPr>
        <w:t>mall</w:t>
      </w:r>
      <w:proofErr w:type="gramEnd"/>
      <w:r w:rsidR="008C0342" w:rsidRPr="004278B0">
        <w:rPr>
          <w:i/>
          <w:iCs/>
        </w:rPr>
        <w:t xml:space="preserve"> </w:t>
      </w:r>
      <w:r w:rsidR="00E65088">
        <w:rPr>
          <w:i/>
          <w:iCs/>
        </w:rPr>
        <w:t>organisations</w:t>
      </w:r>
      <w:r w:rsidR="00A70E08" w:rsidRPr="004278B0">
        <w:rPr>
          <w:i/>
          <w:iCs/>
        </w:rPr>
        <w:t xml:space="preserve"> supporting points</w:t>
      </w:r>
      <w:r w:rsidR="0043328F" w:rsidRPr="004278B0">
        <w:rPr>
          <w:i/>
          <w:iCs/>
        </w:rPr>
        <w:t xml:space="preserve"> assessment</w:t>
      </w:r>
      <w:r w:rsidR="00A70E08">
        <w:t xml:space="preserve">. </w:t>
      </w:r>
      <w:bookmarkEnd w:id="5"/>
    </w:p>
    <w:p w14:paraId="6C59E72B" w14:textId="77777777" w:rsidR="00B776FD" w:rsidRPr="00517FF3" w:rsidRDefault="00B776FD" w:rsidP="00517FF3">
      <w:pPr>
        <w:spacing w:after="120"/>
        <w:rPr>
          <w:rFonts w:asciiTheme="minorHAnsi" w:eastAsiaTheme="minorEastAsia" w:hAnsiTheme="minorHAnsi" w:cstheme="minorHAnsi"/>
          <w:b/>
          <w:color w:val="000000"/>
          <w:sz w:val="36"/>
          <w:szCs w:val="28"/>
          <w:lang w:eastAsia="ja-JP"/>
        </w:rPr>
      </w:pPr>
      <w:r w:rsidRPr="00517FF3">
        <w:rPr>
          <w:rFonts w:asciiTheme="minorHAnsi" w:hAnsiTheme="minorHAnsi" w:cstheme="minorHAnsi"/>
          <w:b/>
          <w:bCs/>
        </w:rPr>
        <w:br w:type="page"/>
      </w:r>
    </w:p>
    <w:p w14:paraId="6C2D58F0" w14:textId="0CB55D04" w:rsidR="00A23B0F" w:rsidRPr="00B72D54" w:rsidRDefault="00A23B0F" w:rsidP="00B72D54">
      <w:pPr>
        <w:pStyle w:val="Heading2"/>
      </w:pPr>
      <w:r w:rsidRPr="00B72D54">
        <w:lastRenderedPageBreak/>
        <w:t xml:space="preserve">Application process </w:t>
      </w:r>
    </w:p>
    <w:tbl>
      <w:tblPr>
        <w:tblStyle w:val="TableGrid"/>
        <w:tblW w:w="5000" w:type="pct"/>
        <w:tblLook w:val="04A0" w:firstRow="1" w:lastRow="0" w:firstColumn="1" w:lastColumn="0" w:noHBand="0" w:noVBand="1"/>
      </w:tblPr>
      <w:tblGrid>
        <w:gridCol w:w="2267"/>
        <w:gridCol w:w="6803"/>
      </w:tblGrid>
      <w:tr w:rsidR="00A23B0F" w:rsidRPr="00517FF3" w14:paraId="17671377" w14:textId="77777777" w:rsidTr="00DA08A7">
        <w:trPr>
          <w:cantSplit/>
          <w:tblHeader/>
        </w:trPr>
        <w:tc>
          <w:tcPr>
            <w:tcW w:w="1250" w:type="pct"/>
            <w:tcBorders>
              <w:top w:val="single" w:sz="4" w:space="0" w:color="auto"/>
              <w:left w:val="nil"/>
              <w:bottom w:val="single" w:sz="4" w:space="0" w:color="auto"/>
              <w:right w:val="nil"/>
            </w:tcBorders>
          </w:tcPr>
          <w:p w14:paraId="22B9CDAD" w14:textId="77777777" w:rsidR="00A23B0F" w:rsidRPr="00E647E2" w:rsidRDefault="00A23B0F" w:rsidP="00DA08A7">
            <w:pPr>
              <w:pStyle w:val="TableHeading"/>
            </w:pPr>
            <w:r w:rsidRPr="00E647E2">
              <w:t>Date</w:t>
            </w:r>
          </w:p>
        </w:tc>
        <w:tc>
          <w:tcPr>
            <w:tcW w:w="3750" w:type="pct"/>
            <w:tcBorders>
              <w:top w:val="single" w:sz="4" w:space="0" w:color="auto"/>
              <w:left w:val="nil"/>
              <w:bottom w:val="single" w:sz="4" w:space="0" w:color="auto"/>
              <w:right w:val="nil"/>
            </w:tcBorders>
          </w:tcPr>
          <w:p w14:paraId="4D141B45" w14:textId="77777777" w:rsidR="00A23B0F" w:rsidRPr="00E647E2" w:rsidRDefault="00A23B0F" w:rsidP="00DA08A7">
            <w:pPr>
              <w:pStyle w:val="TableHeading"/>
            </w:pPr>
            <w:r w:rsidRPr="00E647E2">
              <w:t>Event</w:t>
            </w:r>
          </w:p>
        </w:tc>
      </w:tr>
      <w:tr w:rsidR="00A23B0F" w:rsidRPr="00517FF3" w14:paraId="6C23400D" w14:textId="77777777" w:rsidTr="00DA08A7">
        <w:tc>
          <w:tcPr>
            <w:tcW w:w="1250" w:type="pct"/>
            <w:tcBorders>
              <w:top w:val="single" w:sz="4" w:space="0" w:color="auto"/>
              <w:left w:val="nil"/>
              <w:bottom w:val="single" w:sz="4" w:space="0" w:color="auto"/>
              <w:right w:val="nil"/>
            </w:tcBorders>
          </w:tcPr>
          <w:p w14:paraId="68627732" w14:textId="73F07823" w:rsidR="00A23B0F" w:rsidRPr="00E647E2" w:rsidRDefault="004D30AC" w:rsidP="00DA08A7">
            <w:pPr>
              <w:pStyle w:val="TableText"/>
            </w:pPr>
            <w:r w:rsidRPr="00E647E2">
              <w:t>1</w:t>
            </w:r>
            <w:r w:rsidR="00635AEF" w:rsidRPr="00E647E2">
              <w:t>3</w:t>
            </w:r>
            <w:r w:rsidRPr="00E647E2">
              <w:t xml:space="preserve"> September</w:t>
            </w:r>
            <w:r w:rsidR="00A23B0F" w:rsidRPr="00E647E2">
              <w:t xml:space="preserve"> 2021</w:t>
            </w:r>
          </w:p>
        </w:tc>
        <w:tc>
          <w:tcPr>
            <w:tcW w:w="3750" w:type="pct"/>
            <w:tcBorders>
              <w:top w:val="single" w:sz="4" w:space="0" w:color="auto"/>
              <w:left w:val="nil"/>
              <w:bottom w:val="single" w:sz="4" w:space="0" w:color="auto"/>
              <w:right w:val="nil"/>
            </w:tcBorders>
          </w:tcPr>
          <w:p w14:paraId="2483B77F" w14:textId="77777777" w:rsidR="00A23B0F" w:rsidRPr="00E647E2" w:rsidRDefault="00A23B0F" w:rsidP="00DA08A7">
            <w:pPr>
              <w:pStyle w:val="TableText"/>
            </w:pPr>
            <w:r w:rsidRPr="00E647E2">
              <w:t>Applications open</w:t>
            </w:r>
          </w:p>
        </w:tc>
      </w:tr>
      <w:tr w:rsidR="00A23B0F" w:rsidRPr="00517FF3" w14:paraId="747E6E36" w14:textId="77777777" w:rsidTr="00DA08A7">
        <w:tc>
          <w:tcPr>
            <w:tcW w:w="1250" w:type="pct"/>
            <w:tcBorders>
              <w:top w:val="single" w:sz="4" w:space="0" w:color="auto"/>
              <w:left w:val="nil"/>
              <w:bottom w:val="single" w:sz="4" w:space="0" w:color="auto"/>
              <w:right w:val="nil"/>
            </w:tcBorders>
          </w:tcPr>
          <w:p w14:paraId="1F5D266A" w14:textId="2CD4AC31" w:rsidR="00A23B0F" w:rsidRPr="00E647E2" w:rsidRDefault="00A23B0F" w:rsidP="00DA08A7">
            <w:pPr>
              <w:pStyle w:val="TableText"/>
            </w:pPr>
            <w:r w:rsidRPr="00E647E2">
              <w:t xml:space="preserve">31 </w:t>
            </w:r>
            <w:r w:rsidR="0064374D" w:rsidRPr="00E647E2">
              <w:t xml:space="preserve">October </w:t>
            </w:r>
            <w:r w:rsidRPr="00E647E2">
              <w:t>2021</w:t>
            </w:r>
          </w:p>
        </w:tc>
        <w:tc>
          <w:tcPr>
            <w:tcW w:w="3750" w:type="pct"/>
            <w:tcBorders>
              <w:top w:val="single" w:sz="4" w:space="0" w:color="auto"/>
              <w:left w:val="nil"/>
              <w:bottom w:val="single" w:sz="4" w:space="0" w:color="auto"/>
              <w:right w:val="nil"/>
            </w:tcBorders>
          </w:tcPr>
          <w:p w14:paraId="5397755E" w14:textId="3C12F9AC" w:rsidR="00A23B0F" w:rsidRPr="00E647E2" w:rsidRDefault="00A23B0F" w:rsidP="00DA08A7">
            <w:pPr>
              <w:pStyle w:val="TableText"/>
            </w:pPr>
            <w:r w:rsidRPr="00E647E2">
              <w:t>Applications close</w:t>
            </w:r>
            <w:r w:rsidR="004D30AC" w:rsidRPr="00E647E2">
              <w:t xml:space="preserve"> – Round 1 </w:t>
            </w:r>
            <w:proofErr w:type="gramStart"/>
            <w:r w:rsidR="004D30AC" w:rsidRPr="00E647E2">
              <w:t>assessments</w:t>
            </w:r>
            <w:proofErr w:type="gramEnd"/>
          </w:p>
        </w:tc>
      </w:tr>
      <w:tr w:rsidR="004D30AC" w:rsidRPr="00517FF3" w14:paraId="3B0A5BE3" w14:textId="77777777" w:rsidTr="00DA08A7">
        <w:tc>
          <w:tcPr>
            <w:tcW w:w="1250" w:type="pct"/>
            <w:tcBorders>
              <w:top w:val="single" w:sz="4" w:space="0" w:color="auto"/>
              <w:left w:val="nil"/>
              <w:bottom w:val="single" w:sz="4" w:space="0" w:color="auto"/>
              <w:right w:val="nil"/>
            </w:tcBorders>
          </w:tcPr>
          <w:p w14:paraId="57B0759A" w14:textId="025E9D01" w:rsidR="004D30AC" w:rsidRPr="00E647E2" w:rsidRDefault="004D30AC" w:rsidP="00DA08A7">
            <w:pPr>
              <w:pStyle w:val="TableText"/>
            </w:pPr>
            <w:r w:rsidRPr="00E647E2">
              <w:t>End of November 2021</w:t>
            </w:r>
          </w:p>
        </w:tc>
        <w:tc>
          <w:tcPr>
            <w:tcW w:w="3750" w:type="pct"/>
            <w:tcBorders>
              <w:top w:val="single" w:sz="4" w:space="0" w:color="auto"/>
              <w:left w:val="nil"/>
              <w:bottom w:val="single" w:sz="4" w:space="0" w:color="auto"/>
              <w:right w:val="nil"/>
            </w:tcBorders>
          </w:tcPr>
          <w:p w14:paraId="279C8796" w14:textId="15AAB286" w:rsidR="004D30AC" w:rsidRPr="00E647E2" w:rsidRDefault="004D30AC" w:rsidP="00DA08A7">
            <w:pPr>
              <w:pStyle w:val="TableText"/>
            </w:pPr>
            <w:r w:rsidRPr="00E647E2">
              <w:t xml:space="preserve">Commonwealth decision on successful Round 1 projects </w:t>
            </w:r>
          </w:p>
        </w:tc>
      </w:tr>
      <w:tr w:rsidR="004D30AC" w:rsidRPr="00517FF3" w14:paraId="43B733A1" w14:textId="77777777" w:rsidTr="00DA08A7">
        <w:tc>
          <w:tcPr>
            <w:tcW w:w="1250" w:type="pct"/>
            <w:tcBorders>
              <w:top w:val="single" w:sz="4" w:space="0" w:color="auto"/>
              <w:left w:val="nil"/>
              <w:bottom w:val="single" w:sz="4" w:space="0" w:color="auto"/>
              <w:right w:val="nil"/>
            </w:tcBorders>
          </w:tcPr>
          <w:p w14:paraId="028330AA" w14:textId="2C505DCE" w:rsidR="004D30AC" w:rsidRPr="00E647E2" w:rsidRDefault="004D30AC" w:rsidP="00DA08A7">
            <w:pPr>
              <w:pStyle w:val="TableText"/>
            </w:pPr>
            <w:r w:rsidRPr="00E647E2">
              <w:t>31 January 2022</w:t>
            </w:r>
          </w:p>
        </w:tc>
        <w:tc>
          <w:tcPr>
            <w:tcW w:w="3750" w:type="pct"/>
            <w:tcBorders>
              <w:top w:val="single" w:sz="4" w:space="0" w:color="auto"/>
              <w:left w:val="nil"/>
              <w:bottom w:val="single" w:sz="4" w:space="0" w:color="auto"/>
              <w:right w:val="nil"/>
            </w:tcBorders>
          </w:tcPr>
          <w:p w14:paraId="7DEE8D7F" w14:textId="1ABA2B21" w:rsidR="004D30AC" w:rsidRPr="00E647E2" w:rsidRDefault="004D30AC" w:rsidP="00DA08A7">
            <w:pPr>
              <w:pStyle w:val="TableText"/>
            </w:pPr>
            <w:r w:rsidRPr="00E647E2">
              <w:t>Applications close – Round 2 assessments</w:t>
            </w:r>
          </w:p>
        </w:tc>
      </w:tr>
      <w:tr w:rsidR="004D30AC" w:rsidRPr="00517FF3" w14:paraId="676D60E8" w14:textId="77777777" w:rsidTr="00DA08A7">
        <w:tc>
          <w:tcPr>
            <w:tcW w:w="1250" w:type="pct"/>
            <w:tcBorders>
              <w:top w:val="single" w:sz="4" w:space="0" w:color="auto"/>
              <w:left w:val="nil"/>
              <w:bottom w:val="single" w:sz="4" w:space="0" w:color="auto"/>
              <w:right w:val="nil"/>
            </w:tcBorders>
          </w:tcPr>
          <w:p w14:paraId="3157105E" w14:textId="6FA24A1C" w:rsidR="004D30AC" w:rsidRPr="00E647E2" w:rsidRDefault="004D30AC" w:rsidP="00DA08A7">
            <w:pPr>
              <w:pStyle w:val="TableText"/>
            </w:pPr>
            <w:r w:rsidRPr="00E647E2">
              <w:t>End March 2022</w:t>
            </w:r>
          </w:p>
        </w:tc>
        <w:tc>
          <w:tcPr>
            <w:tcW w:w="3750" w:type="pct"/>
            <w:tcBorders>
              <w:top w:val="single" w:sz="4" w:space="0" w:color="auto"/>
              <w:left w:val="nil"/>
              <w:bottom w:val="single" w:sz="4" w:space="0" w:color="auto"/>
              <w:right w:val="nil"/>
            </w:tcBorders>
          </w:tcPr>
          <w:p w14:paraId="741BBEA3" w14:textId="4C4BDEAF" w:rsidR="004D30AC" w:rsidRPr="00E647E2" w:rsidRDefault="004D30AC" w:rsidP="00DA08A7">
            <w:pPr>
              <w:pStyle w:val="TableText"/>
            </w:pPr>
            <w:r w:rsidRPr="00E647E2">
              <w:t xml:space="preserve">Commonwealth decision on successful Round 2 projects </w:t>
            </w:r>
          </w:p>
        </w:tc>
      </w:tr>
    </w:tbl>
    <w:p w14:paraId="144305BA" w14:textId="5FA32594" w:rsidR="00635AEF" w:rsidRDefault="00A23B0F" w:rsidP="00B72D54">
      <w:r w:rsidRPr="00517FF3">
        <w:br/>
      </w:r>
      <w:bookmarkStart w:id="6" w:name="_Hlk81294442"/>
      <w:r w:rsidR="002D67FF">
        <w:t>Funding will be open to states and territories in two rounds. Round 1 is being made available to fast-track high priority projects that a state or territory may have already identified and assessed.</w:t>
      </w:r>
    </w:p>
    <w:p w14:paraId="7899BBDF" w14:textId="32CE4642" w:rsidR="00603E04" w:rsidRPr="00517FF3" w:rsidRDefault="00603E04" w:rsidP="00B72D54">
      <w:pPr>
        <w:rPr>
          <w:lang w:eastAsia="ja-JP"/>
        </w:rPr>
      </w:pPr>
      <w:r w:rsidRPr="00517FF3">
        <w:t>Incomplete applications will not be accepted.</w:t>
      </w:r>
    </w:p>
    <w:bookmarkEnd w:id="6"/>
    <w:p w14:paraId="1B2D2A21" w14:textId="77777777" w:rsidR="00B776FD" w:rsidRPr="00517FF3" w:rsidRDefault="00B776FD" w:rsidP="00517FF3">
      <w:pPr>
        <w:spacing w:after="120"/>
        <w:rPr>
          <w:rFonts w:asciiTheme="minorHAnsi" w:eastAsiaTheme="minorEastAsia" w:hAnsiTheme="minorHAnsi" w:cstheme="minorHAnsi"/>
          <w:b/>
          <w:color w:val="000000"/>
          <w:sz w:val="36"/>
          <w:szCs w:val="28"/>
          <w:lang w:eastAsia="ja-JP"/>
        </w:rPr>
      </w:pPr>
      <w:r w:rsidRPr="00517FF3">
        <w:rPr>
          <w:rFonts w:asciiTheme="minorHAnsi" w:hAnsiTheme="minorHAnsi" w:cstheme="minorHAnsi"/>
          <w:b/>
          <w:bCs/>
        </w:rPr>
        <w:br w:type="page"/>
      </w:r>
    </w:p>
    <w:p w14:paraId="2CDBD78C" w14:textId="5B8C2707" w:rsidR="00A23B0F" w:rsidRPr="00B72D54" w:rsidRDefault="00A23B0F" w:rsidP="00B72D54">
      <w:pPr>
        <w:pStyle w:val="Heading2"/>
      </w:pPr>
      <w:r w:rsidRPr="00B72D54">
        <w:lastRenderedPageBreak/>
        <w:t>Eligibility criteria</w:t>
      </w:r>
    </w:p>
    <w:p w14:paraId="08E8D22E" w14:textId="2BB0DDAA" w:rsidR="00A23B0F" w:rsidRPr="00517FF3" w:rsidRDefault="00A23B0F" w:rsidP="00B72D54">
      <w:r w:rsidRPr="00517FF3">
        <w:t xml:space="preserve">Only </w:t>
      </w:r>
      <w:r w:rsidR="003745CA">
        <w:t>s</w:t>
      </w:r>
      <w:r w:rsidRPr="00517FF3">
        <w:t xml:space="preserve">tate and </w:t>
      </w:r>
      <w:r w:rsidR="003745CA">
        <w:t>t</w:t>
      </w:r>
      <w:r w:rsidRPr="00517FF3">
        <w:t>erritory Governments are eligible to apply</w:t>
      </w:r>
      <w:r w:rsidR="000C30D3">
        <w:t xml:space="preserve">. </w:t>
      </w:r>
      <w:r w:rsidR="001B514D">
        <w:t xml:space="preserve">Proponents may apply for a minimum </w:t>
      </w:r>
      <w:r w:rsidR="00424C66">
        <w:t xml:space="preserve">co-funded </w:t>
      </w:r>
      <w:r w:rsidR="001B514D">
        <w:t>grant of $10</w:t>
      </w:r>
      <w:r w:rsidR="00424C66">
        <w:t>,000</w:t>
      </w:r>
      <w:r w:rsidR="001B514D">
        <w:t xml:space="preserve"> and a maximum of $1</w:t>
      </w:r>
      <w:r w:rsidR="00424C66">
        <w:t xml:space="preserve"> million</w:t>
      </w:r>
      <w:r w:rsidR="001B514D">
        <w:t xml:space="preserve">. </w:t>
      </w:r>
      <w:r w:rsidR="00F603E1" w:rsidRPr="00517FF3">
        <w:t xml:space="preserve">Application forms </w:t>
      </w:r>
      <w:r w:rsidR="00B331F3">
        <w:t>are attached to</w:t>
      </w:r>
      <w:r w:rsidR="00F603E1" w:rsidRPr="00517FF3">
        <w:t xml:space="preserve"> these guidelines.</w:t>
      </w:r>
      <w:r w:rsidR="000C30D3">
        <w:t xml:space="preserve"> </w:t>
      </w:r>
      <w:r w:rsidRPr="00517FF3">
        <w:t>Applications will need to meet the following criteria:</w:t>
      </w:r>
    </w:p>
    <w:p w14:paraId="62F6A483" w14:textId="453EF14B" w:rsidR="00C44435" w:rsidRPr="00517FF3" w:rsidRDefault="00A23B0F" w:rsidP="00B72D54">
      <w:pPr>
        <w:pStyle w:val="ListNumber"/>
      </w:pPr>
      <w:r w:rsidRPr="00517FF3">
        <w:t xml:space="preserve">Must be submitted by a </w:t>
      </w:r>
      <w:r w:rsidR="003745CA">
        <w:t>s</w:t>
      </w:r>
      <w:r w:rsidRPr="00517FF3">
        <w:t xml:space="preserve">tate or </w:t>
      </w:r>
      <w:r w:rsidR="003745CA">
        <w:t>t</w:t>
      </w:r>
      <w:r w:rsidRPr="00517FF3">
        <w:t xml:space="preserve">erritory </w:t>
      </w:r>
      <w:r w:rsidR="003745CA">
        <w:t>g</w:t>
      </w:r>
      <w:r w:rsidRPr="00517FF3">
        <w:t>overnment and have written support of the responsible minister</w:t>
      </w:r>
      <w:r w:rsidR="00E5595E">
        <w:t xml:space="preserve"> and must contain a commitment from the state or territory to match Commonwealth funding</w:t>
      </w:r>
      <w:r w:rsidR="008665BA">
        <w:t xml:space="preserve">. Proposals </w:t>
      </w:r>
      <w:r w:rsidR="00E5595E">
        <w:t>must</w:t>
      </w:r>
      <w:r w:rsidR="008665BA">
        <w:t xml:space="preserve"> </w:t>
      </w:r>
      <w:r w:rsidR="00E5595E">
        <w:t xml:space="preserve">also </w:t>
      </w:r>
      <w:r w:rsidR="008665BA">
        <w:t xml:space="preserve">include a third party (such as business, local governments, or non-government organisations) </w:t>
      </w:r>
    </w:p>
    <w:p w14:paraId="10C39C83" w14:textId="146A6D5E" w:rsidR="00463C57" w:rsidRPr="00517FF3" w:rsidRDefault="00463C57" w:rsidP="00B72D54">
      <w:pPr>
        <w:pStyle w:val="ListNumber"/>
      </w:pPr>
      <w:r w:rsidRPr="00517FF3">
        <w:t xml:space="preserve">Projects must be consistent with </w:t>
      </w:r>
      <w:hyperlink r:id="rId15" w:history="1">
        <w:r w:rsidRPr="00517FF3">
          <w:rPr>
            <w:rStyle w:val="Hyperlink"/>
            <w:rFonts w:asciiTheme="minorHAnsi" w:hAnsiTheme="minorHAnsi" w:cstheme="minorHAnsi"/>
          </w:rPr>
          <w:t>Appendix A of the National Partnership on Recycling Infrastructure</w:t>
        </w:r>
      </w:hyperlink>
      <w:r w:rsidRPr="00517FF3">
        <w:t>. Examples of potential projects may include:</w:t>
      </w:r>
    </w:p>
    <w:p w14:paraId="3B580929" w14:textId="77777777" w:rsidR="00463C57" w:rsidRPr="00517FF3" w:rsidRDefault="00463C57" w:rsidP="00B72D54">
      <w:pPr>
        <w:pStyle w:val="ListBullet"/>
      </w:pPr>
      <w:r w:rsidRPr="00517FF3">
        <w:t xml:space="preserve">Community sorting stations or baling </w:t>
      </w:r>
      <w:proofErr w:type="gramStart"/>
      <w:r w:rsidRPr="00517FF3">
        <w:t>equipment;</w:t>
      </w:r>
      <w:proofErr w:type="gramEnd"/>
    </w:p>
    <w:p w14:paraId="3B642CE2" w14:textId="77777777" w:rsidR="00463C57" w:rsidRPr="00517FF3" w:rsidRDefault="00463C57" w:rsidP="00B72D54">
      <w:pPr>
        <w:pStyle w:val="ListBullet"/>
      </w:pPr>
      <w:r w:rsidRPr="00517FF3">
        <w:t xml:space="preserve">Install new equipment such as sorting lines, AI or scanning technology, or pulping </w:t>
      </w:r>
      <w:proofErr w:type="gramStart"/>
      <w:r w:rsidRPr="00517FF3">
        <w:t>machinery;</w:t>
      </w:r>
      <w:proofErr w:type="gramEnd"/>
    </w:p>
    <w:p w14:paraId="0D1A9C6B" w14:textId="77777777" w:rsidR="00463C57" w:rsidRPr="00517FF3" w:rsidRDefault="00463C57" w:rsidP="00B72D54">
      <w:pPr>
        <w:pStyle w:val="ListBullet"/>
      </w:pPr>
      <w:r w:rsidRPr="00517FF3">
        <w:t xml:space="preserve">Breaking down e-waste into plastics and glass for </w:t>
      </w:r>
      <w:proofErr w:type="gramStart"/>
      <w:r w:rsidRPr="00517FF3">
        <w:t>recycling;</w:t>
      </w:r>
      <w:proofErr w:type="gramEnd"/>
    </w:p>
    <w:p w14:paraId="50EF5ED5" w14:textId="1B64BEAB" w:rsidR="00463C57" w:rsidRPr="00517FF3" w:rsidRDefault="00463C57" w:rsidP="00B72D54">
      <w:pPr>
        <w:pStyle w:val="ListBullet"/>
      </w:pPr>
      <w:r w:rsidRPr="00517FF3">
        <w:t xml:space="preserve">Advanced recycling of </w:t>
      </w:r>
      <w:bookmarkStart w:id="7" w:name="_Hlk81294507"/>
      <w:r w:rsidR="00067FAE" w:rsidRPr="001F68A9">
        <w:t xml:space="preserve">hard-to-recycle plastics, such as mixed, multi-layer, flexible or contaminated plastics back into food grade recycled plastics or other products through chemical, thermal or biological </w:t>
      </w:r>
      <w:proofErr w:type="gramStart"/>
      <w:r w:rsidR="00067FAE" w:rsidRPr="001F68A9">
        <w:t>processes</w:t>
      </w:r>
      <w:bookmarkEnd w:id="7"/>
      <w:r w:rsidRPr="00517FF3">
        <w:t>;</w:t>
      </w:r>
      <w:proofErr w:type="gramEnd"/>
    </w:p>
    <w:p w14:paraId="0A15E06F" w14:textId="77777777" w:rsidR="00463C57" w:rsidRPr="00517FF3" w:rsidRDefault="00463C57" w:rsidP="00B72D54">
      <w:pPr>
        <w:pStyle w:val="ListBullet"/>
      </w:pPr>
      <w:r w:rsidRPr="00517FF3">
        <w:t xml:space="preserve">Recycling of glass and plastics for use in road, footpath, cycleway or rail </w:t>
      </w:r>
      <w:proofErr w:type="gramStart"/>
      <w:r w:rsidRPr="00517FF3">
        <w:t>products;</w:t>
      </w:r>
      <w:proofErr w:type="gramEnd"/>
    </w:p>
    <w:p w14:paraId="044FA7A4" w14:textId="77777777" w:rsidR="00463C57" w:rsidRPr="00517FF3" w:rsidRDefault="00463C57" w:rsidP="00B72D54">
      <w:pPr>
        <w:pStyle w:val="ListBullet"/>
      </w:pPr>
      <w:r w:rsidRPr="00517FF3">
        <w:t xml:space="preserve">Breaking down all components of waste tyres into new tyres and products, or for further </w:t>
      </w:r>
      <w:proofErr w:type="gramStart"/>
      <w:r w:rsidRPr="00517FF3">
        <w:t>recycling;</w:t>
      </w:r>
      <w:proofErr w:type="gramEnd"/>
    </w:p>
    <w:p w14:paraId="206EB1A4" w14:textId="1D722B19" w:rsidR="001B514D" w:rsidRDefault="00463C57" w:rsidP="00B72D54">
      <w:pPr>
        <w:pStyle w:val="ListBullet"/>
      </w:pPr>
      <w:r w:rsidRPr="00517FF3">
        <w:t xml:space="preserve">Trials for remanufacturing of plastic, glass and other material into building </w:t>
      </w:r>
      <w:proofErr w:type="gramStart"/>
      <w:r w:rsidRPr="00517FF3">
        <w:t>products</w:t>
      </w:r>
      <w:r w:rsidR="000B1B87">
        <w:t>;</w:t>
      </w:r>
      <w:proofErr w:type="gramEnd"/>
    </w:p>
    <w:p w14:paraId="5863B2CE" w14:textId="5CC2E213" w:rsidR="000B1B87" w:rsidRPr="00517FF3" w:rsidRDefault="001B514D" w:rsidP="00B72D54">
      <w:pPr>
        <w:pStyle w:val="ListBullet"/>
      </w:pPr>
      <w:r>
        <w:t xml:space="preserve">Recycling of non-hazardous medical waste, such as </w:t>
      </w:r>
      <w:r w:rsidRPr="004278B0">
        <w:t xml:space="preserve">plastic waste generated by a </w:t>
      </w:r>
      <w:proofErr w:type="gramStart"/>
      <w:r w:rsidRPr="004278B0">
        <w:t>hospital</w:t>
      </w:r>
      <w:r>
        <w:t>;</w:t>
      </w:r>
      <w:proofErr w:type="gramEnd"/>
    </w:p>
    <w:p w14:paraId="55000A7C" w14:textId="614A0B7B" w:rsidR="00656B4E" w:rsidRDefault="00B331F3" w:rsidP="00B72D54">
      <w:pPr>
        <w:pStyle w:val="ListBullet"/>
      </w:pPr>
      <w:bookmarkStart w:id="8" w:name="_Hlk77938502"/>
      <w:r w:rsidRPr="0018427F">
        <w:t>Projects (including trial projects or m</w:t>
      </w:r>
      <w:r w:rsidR="00463C57" w:rsidRPr="0018427F">
        <w:t>ulti-location project</w:t>
      </w:r>
      <w:r w:rsidRPr="0018427F">
        <w:t xml:space="preserve">s) that include improved collection of </w:t>
      </w:r>
      <w:proofErr w:type="gramStart"/>
      <w:r w:rsidRPr="0018427F">
        <w:t>feedstock</w:t>
      </w:r>
      <w:proofErr w:type="gramEnd"/>
      <w:r w:rsidRPr="0018427F">
        <w:t xml:space="preserve">, </w:t>
      </w:r>
      <w:r w:rsidR="00463C57" w:rsidRPr="0018427F">
        <w:t>preparing it for collection near main route</w:t>
      </w:r>
      <w:r w:rsidRPr="0018427F">
        <w:t>s</w:t>
      </w:r>
      <w:r w:rsidR="00463C57" w:rsidRPr="0018427F">
        <w:t>, for further processing, recycling and re-manufacturing at a major location</w:t>
      </w:r>
      <w:r w:rsidR="001B514D">
        <w:t>;</w:t>
      </w:r>
    </w:p>
    <w:p w14:paraId="70A76AD0" w14:textId="61EC18CD" w:rsidR="001F68A9" w:rsidRDefault="001F68A9" w:rsidP="00B72D54">
      <w:pPr>
        <w:pStyle w:val="ListBullet"/>
      </w:pPr>
      <w:bookmarkStart w:id="9" w:name="_Hlk81294552"/>
      <w:r w:rsidRPr="0010590D">
        <w:t>Community and local organisations driven projects, with identification of a problematic waste item in their area (</w:t>
      </w:r>
      <w:r w:rsidR="00130F92">
        <w:t>for example:</w:t>
      </w:r>
      <w:r w:rsidRPr="0010590D">
        <w:t xml:space="preserve"> bread tags, straws, face masks</w:t>
      </w:r>
      <w:r w:rsidR="00130F92">
        <w:t xml:space="preserve"> and other</w:t>
      </w:r>
      <w:r w:rsidRPr="0010590D">
        <w:t>), collect</w:t>
      </w:r>
      <w:r w:rsidR="0010590D">
        <w:t>ion of</w:t>
      </w:r>
      <w:r w:rsidRPr="0010590D">
        <w:t xml:space="preserve"> such items and produc</w:t>
      </w:r>
      <w:r w:rsidR="0010590D">
        <w:t>tion of</w:t>
      </w:r>
      <w:r w:rsidRPr="0010590D">
        <w:t xml:space="preserve"> a bench seat (or similar</w:t>
      </w:r>
      <w:proofErr w:type="gramStart"/>
      <w:r w:rsidRPr="0010590D">
        <w:t>);</w:t>
      </w:r>
      <w:proofErr w:type="gramEnd"/>
    </w:p>
    <w:bookmarkEnd w:id="8"/>
    <w:bookmarkEnd w:id="9"/>
    <w:p w14:paraId="14AB8D1F" w14:textId="7A944F55" w:rsidR="00EB234D" w:rsidRPr="00DA08A7" w:rsidRDefault="00424C66" w:rsidP="00DA08A7">
      <w:pPr>
        <w:pStyle w:val="ListBullet"/>
      </w:pPr>
      <w:r>
        <w:t>Recycling of agricultural plastics, i</w:t>
      </w:r>
      <w:r w:rsidR="00E5595E">
        <w:t>rrigation</w:t>
      </w:r>
      <w:r w:rsidR="001B514D">
        <w:t xml:space="preserve"> pipes and </w:t>
      </w:r>
      <w:r w:rsidR="00E5595E">
        <w:t xml:space="preserve">other drought </w:t>
      </w:r>
      <w:r w:rsidR="001B514D">
        <w:t>infrastructure which can be recycled.</w:t>
      </w:r>
    </w:p>
    <w:p w14:paraId="6ADDEE7E" w14:textId="28E6A504" w:rsidR="00A23B0F" w:rsidRPr="00517FF3" w:rsidRDefault="00EB234D" w:rsidP="00B72D54">
      <w:pPr>
        <w:pStyle w:val="ListNumber"/>
      </w:pPr>
      <w:r>
        <w:t xml:space="preserve">Proposals must </w:t>
      </w:r>
      <w:r w:rsidR="00A23B0F" w:rsidRPr="00517FF3">
        <w:t xml:space="preserve">seek to deliver a project or trial to build new, or increase existing capacity, in a regional or remote location through: </w:t>
      </w:r>
    </w:p>
    <w:p w14:paraId="5F135234" w14:textId="23FE80BF" w:rsidR="00A23B0F" w:rsidRPr="00517FF3" w:rsidRDefault="00A23B0F" w:rsidP="00B72D54">
      <w:pPr>
        <w:pStyle w:val="ListNumber2"/>
      </w:pPr>
      <w:r w:rsidRPr="00517FF3">
        <w:t>proposed new fixed or mobile facilities, or expansion of existing fixed or mobile facilities for the processing</w:t>
      </w:r>
      <w:r w:rsidR="00B776FD" w:rsidRPr="00517FF3">
        <w:t xml:space="preserve"> of</w:t>
      </w:r>
      <w:r w:rsidRPr="00517FF3">
        <w:t xml:space="preserve"> recovered unprocessed glass, mixed or single resin/polymer plastics, tyres and/or paper and cardboard; and/or</w:t>
      </w:r>
    </w:p>
    <w:p w14:paraId="03458D9B" w14:textId="71663FAF" w:rsidR="00A23B0F" w:rsidRPr="00517FF3" w:rsidRDefault="00A23B0F" w:rsidP="00B72D54">
      <w:pPr>
        <w:pStyle w:val="ListNumber2"/>
      </w:pPr>
      <w:r w:rsidRPr="00517FF3">
        <w:t>provide new or upgraded equipment to increase local domestic processing capacity for recyclable materials</w:t>
      </w:r>
      <w:r w:rsidR="00F153B8">
        <w:t>,</w:t>
      </w:r>
      <w:r w:rsidR="00640C67">
        <w:t xml:space="preserve"> including from point of collection to point of remanufacturing</w:t>
      </w:r>
      <w:r w:rsidRPr="00517FF3">
        <w:t>; and/or</w:t>
      </w:r>
    </w:p>
    <w:p w14:paraId="294F38F7" w14:textId="51E0EB6D" w:rsidR="004B144D" w:rsidRPr="0018427F" w:rsidRDefault="00A23B0F" w:rsidP="00B72D54">
      <w:pPr>
        <w:pStyle w:val="ListNumber2"/>
      </w:pPr>
      <w:r w:rsidRPr="00517FF3">
        <w:lastRenderedPageBreak/>
        <w:t>increase use of recyclable or recycled materials in manufacturing and/or infrastructure.</w:t>
      </w:r>
    </w:p>
    <w:p w14:paraId="16203925" w14:textId="5628089B" w:rsidR="004B144D" w:rsidRPr="00517FF3" w:rsidRDefault="00A23B0F" w:rsidP="00B72D54">
      <w:pPr>
        <w:pStyle w:val="ListNumber"/>
      </w:pPr>
      <w:r w:rsidRPr="00517FF3">
        <w:t xml:space="preserve">Proposals </w:t>
      </w:r>
      <w:r w:rsidR="00B331F3">
        <w:t>must</w:t>
      </w:r>
      <w:r w:rsidR="00B331F3" w:rsidRPr="00517FF3">
        <w:t xml:space="preserve"> </w:t>
      </w:r>
      <w:r w:rsidR="00B331F3">
        <w:t>demonstrate</w:t>
      </w:r>
      <w:r w:rsidRPr="00517FF3">
        <w:t xml:space="preserve"> how the proposed project is expected to be economically viable over its operational life post-RMF.</w:t>
      </w:r>
    </w:p>
    <w:p w14:paraId="042B9A4B" w14:textId="2C14B385" w:rsidR="004B144D" w:rsidRPr="00517FF3" w:rsidRDefault="00A23B0F" w:rsidP="00B72D54">
      <w:pPr>
        <w:pStyle w:val="ListNumber"/>
      </w:pPr>
      <w:r w:rsidRPr="00517FF3">
        <w:t>Proposals should support employment and long-term economic growth and development in regional and/or remote location/s. Projects may</w:t>
      </w:r>
      <w:r w:rsidR="00B5314F" w:rsidRPr="00517FF3">
        <w:t xml:space="preserve"> rely on further infrastructure </w:t>
      </w:r>
      <w:r w:rsidRPr="00517FF3">
        <w:t xml:space="preserve">located in </w:t>
      </w:r>
      <w:r w:rsidR="004B144D" w:rsidRPr="00517FF3">
        <w:t>m</w:t>
      </w:r>
      <w:r w:rsidRPr="00517FF3">
        <w:t xml:space="preserve">ajor </w:t>
      </w:r>
      <w:r w:rsidR="004B144D" w:rsidRPr="00517FF3">
        <w:t>c</w:t>
      </w:r>
      <w:r w:rsidRPr="00517FF3">
        <w:t xml:space="preserve">ity </w:t>
      </w:r>
      <w:r w:rsidR="006A51C0" w:rsidRPr="00517FF3">
        <w:t>areas,</w:t>
      </w:r>
      <w:r w:rsidRPr="00517FF3">
        <w:t xml:space="preserve"> but </w:t>
      </w:r>
      <w:r w:rsidR="00F603E1" w:rsidRPr="00517FF3">
        <w:t>funding</w:t>
      </w:r>
      <w:r w:rsidRPr="00517FF3">
        <w:t xml:space="preserve"> must </w:t>
      </w:r>
      <w:r w:rsidR="00F603E1" w:rsidRPr="00517FF3">
        <w:t xml:space="preserve">primarily </w:t>
      </w:r>
      <w:r w:rsidRPr="00517FF3">
        <w:t xml:space="preserve">address </w:t>
      </w:r>
      <w:r w:rsidR="00A60C36" w:rsidRPr="00517FF3">
        <w:t xml:space="preserve">recycling </w:t>
      </w:r>
      <w:r w:rsidRPr="00517FF3">
        <w:t xml:space="preserve">challenges and create economic benefit in regional and/or remote locations. </w:t>
      </w:r>
    </w:p>
    <w:p w14:paraId="04FC32EE" w14:textId="45B3A7BD" w:rsidR="000916C3" w:rsidRPr="006E1758" w:rsidRDefault="006D0A82" w:rsidP="00B72D54">
      <w:pPr>
        <w:pStyle w:val="ListNumber"/>
      </w:pPr>
      <w:r>
        <w:t>Any p</w:t>
      </w:r>
      <w:r w:rsidR="00A23B0F" w:rsidRPr="00517FF3">
        <w:t>rojects partner(s)</w:t>
      </w:r>
      <w:r w:rsidR="00BD4F42" w:rsidRPr="00517FF3">
        <w:t>, including local government council or associations,</w:t>
      </w:r>
      <w:r w:rsidR="00A23B0F" w:rsidRPr="00517FF3">
        <w:t xml:space="preserve"> will need to demonstrate the project partner has a current Australian Business Number (ABN), is registered for GST, is not insolvent, </w:t>
      </w:r>
      <w:r w:rsidR="000B1B87">
        <w:t xml:space="preserve">has not been convicted </w:t>
      </w:r>
      <w:r w:rsidR="0043328F">
        <w:t>of</w:t>
      </w:r>
      <w:r w:rsidR="000B1B87">
        <w:t xml:space="preserve"> contravening environment protection legislations</w:t>
      </w:r>
      <w:r w:rsidR="0043328F">
        <w:t xml:space="preserve"> in the last </w:t>
      </w:r>
      <w:r w:rsidR="00606D0F">
        <w:t>five (</w:t>
      </w:r>
      <w:r w:rsidR="0043328F">
        <w:t>5</w:t>
      </w:r>
      <w:r w:rsidR="00606D0F">
        <w:t>)</w:t>
      </w:r>
      <w:r w:rsidR="0043328F">
        <w:t xml:space="preserve"> years</w:t>
      </w:r>
      <w:r w:rsidR="000B1B87">
        <w:t xml:space="preserve">, </w:t>
      </w:r>
      <w:r w:rsidR="00A23B0F" w:rsidRPr="00517FF3">
        <w:t>does not have owners/directors who are an undischarged bankrupt and has a business plan in place</w:t>
      </w:r>
      <w:r w:rsidR="00A60C36" w:rsidRPr="00517FF3">
        <w:t xml:space="preserve"> for the project proposal.</w:t>
      </w:r>
    </w:p>
    <w:p w14:paraId="258B82ED" w14:textId="188DC234" w:rsidR="009E2058" w:rsidRPr="009E2058" w:rsidRDefault="00656B4E" w:rsidP="00B72D54">
      <w:pPr>
        <w:pStyle w:val="ListNumber"/>
      </w:pPr>
      <w:r>
        <w:t>T</w:t>
      </w:r>
      <w:r w:rsidR="000916C3" w:rsidRPr="006E1758">
        <w:t>he Australian Government acknowledges that jurisdictions have different policies on energy from waste</w:t>
      </w:r>
      <w:r w:rsidR="00B331F3">
        <w:t xml:space="preserve"> projects</w:t>
      </w:r>
      <w:r>
        <w:t>. For the purposes of RMF funding, t</w:t>
      </w:r>
      <w:r w:rsidR="00B331F3">
        <w:t>he Australian Government considers that projects may be eligible if</w:t>
      </w:r>
      <w:r w:rsidR="006D0A82">
        <w:t xml:space="preserve"> the project</w:t>
      </w:r>
      <w:r w:rsidR="00B331F3">
        <w:t xml:space="preserve"> </w:t>
      </w:r>
      <w:r w:rsidR="006D0A82">
        <w:t xml:space="preserve">primarily produces </w:t>
      </w:r>
      <w:r w:rsidR="0005731D">
        <w:t>recovered</w:t>
      </w:r>
      <w:r w:rsidR="006D0A82">
        <w:t xml:space="preserve"> products that contribute to a circular economy, </w:t>
      </w:r>
      <w:r>
        <w:t>and</w:t>
      </w:r>
      <w:r w:rsidR="006D0A82">
        <w:t xml:space="preserve"> energy </w:t>
      </w:r>
      <w:r w:rsidR="0005731D">
        <w:t xml:space="preserve">is </w:t>
      </w:r>
      <w:r w:rsidR="00B331F3">
        <w:t>a by-product</w:t>
      </w:r>
      <w:r w:rsidR="001B514D">
        <w:t xml:space="preserve"> and</w:t>
      </w:r>
      <w:r w:rsidR="00B331F3">
        <w:t xml:space="preserve"> </w:t>
      </w:r>
      <w:r w:rsidR="0005731D">
        <w:t>not</w:t>
      </w:r>
      <w:r w:rsidR="001B514D">
        <w:t xml:space="preserve"> a</w:t>
      </w:r>
      <w:r w:rsidR="0005731D">
        <w:t xml:space="preserve"> major output </w:t>
      </w:r>
      <w:r w:rsidR="00B331F3">
        <w:t xml:space="preserve">of </w:t>
      </w:r>
      <w:r w:rsidR="006D0A82">
        <w:t>the process</w:t>
      </w:r>
      <w:r w:rsidR="00B331F3">
        <w:t>.</w:t>
      </w:r>
      <w:r w:rsidR="006D0A82">
        <w:t xml:space="preserve"> </w:t>
      </w:r>
      <w:r w:rsidR="003F1002" w:rsidRPr="003F1002">
        <w:t>Examples may include advanced recycling</w:t>
      </w:r>
      <w:r w:rsidR="00067FAE">
        <w:t xml:space="preserve"> projects, </w:t>
      </w:r>
      <w:bookmarkStart w:id="10" w:name="_Hlk81294633"/>
      <w:r w:rsidR="00067FAE">
        <w:t xml:space="preserve">which are </w:t>
      </w:r>
      <w:r w:rsidR="00067FAE" w:rsidRPr="001F68A9">
        <w:t>also referred to as feedstock, molecular, or chemical recycling, and which converts plastic waste into its chemical building blocks and back into plastic</w:t>
      </w:r>
      <w:r w:rsidR="00067FAE">
        <w:t>,</w:t>
      </w:r>
      <w:bookmarkEnd w:id="10"/>
      <w:r w:rsidR="00067FAE">
        <w:t xml:space="preserve"> </w:t>
      </w:r>
      <w:r w:rsidR="003F1002" w:rsidRPr="003F1002">
        <w:t>creat</w:t>
      </w:r>
      <w:r w:rsidR="00067FAE">
        <w:t>ing</w:t>
      </w:r>
      <w:r w:rsidR="003F1002" w:rsidRPr="003F1002">
        <w:t xml:space="preserve"> high value output for input back into the circular economy</w:t>
      </w:r>
      <w:r w:rsidR="006D0A82">
        <w:t>.</w:t>
      </w:r>
      <w:r w:rsidR="00B331F3">
        <w:t xml:space="preserve"> </w:t>
      </w:r>
      <w:r w:rsidR="001B514D">
        <w:t xml:space="preserve">Energy from waste projects </w:t>
      </w:r>
      <w:proofErr w:type="gramStart"/>
      <w:r w:rsidR="001B514D">
        <w:t>are</w:t>
      </w:r>
      <w:proofErr w:type="gramEnd"/>
      <w:r w:rsidR="001B514D">
        <w:t xml:space="preserve"> not eligible for funding under the RMF.</w:t>
      </w:r>
    </w:p>
    <w:p w14:paraId="64A95CAC" w14:textId="57A2AB69" w:rsidR="00652F54" w:rsidRPr="001F68A9" w:rsidRDefault="006D0A82" w:rsidP="00B72D54">
      <w:pPr>
        <w:pStyle w:val="ListNumber"/>
      </w:pPr>
      <w:r w:rsidRPr="00517FF3">
        <w:t>Project p</w:t>
      </w:r>
      <w:r w:rsidRPr="00517FF3">
        <w:rPr>
          <w:color w:val="202124"/>
          <w:shd w:val="clear" w:color="auto" w:fill="FFFFFF"/>
        </w:rPr>
        <w:t xml:space="preserve">roposals </w:t>
      </w:r>
      <w:r w:rsidR="004E63CA">
        <w:rPr>
          <w:color w:val="202124"/>
          <w:shd w:val="clear" w:color="auto" w:fill="FFFFFF"/>
        </w:rPr>
        <w:t xml:space="preserve">that involve </w:t>
      </w:r>
      <w:r>
        <w:rPr>
          <w:color w:val="202124"/>
          <w:shd w:val="clear" w:color="auto" w:fill="FFFFFF"/>
        </w:rPr>
        <w:t xml:space="preserve">small organisations </w:t>
      </w:r>
      <w:r w:rsidR="00512E7D">
        <w:rPr>
          <w:color w:val="202124"/>
          <w:shd w:val="clear" w:color="auto" w:fill="FFFFFF"/>
        </w:rPr>
        <w:t>in remote or very remote areas</w:t>
      </w:r>
      <w:r w:rsidR="00512E7D" w:rsidRPr="00512E7D">
        <w:rPr>
          <w:color w:val="202124"/>
          <w:shd w:val="clear" w:color="auto" w:fill="FFFFFF"/>
        </w:rPr>
        <w:t xml:space="preserve"> </w:t>
      </w:r>
      <w:r w:rsidR="00512E7D">
        <w:rPr>
          <w:color w:val="202124"/>
          <w:shd w:val="clear" w:color="auto" w:fill="FFFFFF"/>
        </w:rPr>
        <w:t xml:space="preserve">are especially encouraged. Small organisations </w:t>
      </w:r>
      <w:proofErr w:type="gramStart"/>
      <w:r w:rsidR="00512E7D">
        <w:rPr>
          <w:color w:val="202124"/>
          <w:shd w:val="clear" w:color="auto" w:fill="FFFFFF"/>
        </w:rPr>
        <w:t>include</w:t>
      </w:r>
      <w:r>
        <w:rPr>
          <w:i/>
          <w:iCs/>
        </w:rPr>
        <w:t>:</w:t>
      </w:r>
      <w:proofErr w:type="gramEnd"/>
      <w:r>
        <w:rPr>
          <w:i/>
          <w:iCs/>
        </w:rPr>
        <w:t xml:space="preserve"> </w:t>
      </w:r>
      <w:r w:rsidRPr="00517FF3">
        <w:t>small to medium businesses, Local Governments, not-for-profits, social enterprises, community groups</w:t>
      </w:r>
      <w:r w:rsidR="00342030">
        <w:t>,</w:t>
      </w:r>
      <w:r w:rsidR="00077CAC">
        <w:t xml:space="preserve"> regional research institutions, </w:t>
      </w:r>
      <w:r w:rsidRPr="00517FF3">
        <w:t>Aboriginal Land Councils or similar</w:t>
      </w:r>
      <w:r w:rsidR="004E63CA">
        <w:rPr>
          <w:color w:val="202124"/>
          <w:shd w:val="clear" w:color="auto" w:fill="FFFFFF"/>
        </w:rPr>
        <w:t xml:space="preserve">. </w:t>
      </w:r>
      <w:r w:rsidR="00AB5B83">
        <w:t xml:space="preserve">Eligible proposals </w:t>
      </w:r>
      <w:r w:rsidR="008665BA">
        <w:t>may</w:t>
      </w:r>
      <w:r w:rsidR="00AB5B83">
        <w:t xml:space="preserve"> </w:t>
      </w:r>
      <w:r w:rsidR="0043328F">
        <w:t xml:space="preserve">classify to be further assessed and possibly score additional points through the </w:t>
      </w:r>
      <w:proofErr w:type="gramStart"/>
      <w:r w:rsidR="008C0342" w:rsidRPr="004278B0">
        <w:rPr>
          <w:i/>
          <w:iCs/>
        </w:rPr>
        <w:t>Small</w:t>
      </w:r>
      <w:proofErr w:type="gramEnd"/>
      <w:r w:rsidR="008C0342" w:rsidRPr="004278B0">
        <w:rPr>
          <w:i/>
          <w:iCs/>
        </w:rPr>
        <w:t xml:space="preserve"> businesses</w:t>
      </w:r>
      <w:r w:rsidR="0043328F" w:rsidRPr="004278B0">
        <w:rPr>
          <w:i/>
          <w:iCs/>
        </w:rPr>
        <w:t xml:space="preserve"> supporting points assessment</w:t>
      </w:r>
      <w:r w:rsidR="0043328F">
        <w:t>.</w:t>
      </w:r>
    </w:p>
    <w:p w14:paraId="21E48D4F" w14:textId="6BD4A137" w:rsidR="006D0A82" w:rsidRPr="00A2718A" w:rsidRDefault="00E139FA" w:rsidP="00A2718A">
      <w:pPr>
        <w:pStyle w:val="ListNumber"/>
      </w:pPr>
      <w:bookmarkStart w:id="11" w:name="_Hlk81296671"/>
      <w:r>
        <w:t>Projects should be complete by 30 June 2024 to meet the waste export bans as they are phased in.</w:t>
      </w:r>
      <w:bookmarkEnd w:id="11"/>
    </w:p>
    <w:p w14:paraId="405C53CB" w14:textId="53F316BE" w:rsidR="00F603E1" w:rsidRPr="00517FF3" w:rsidRDefault="00F603E1" w:rsidP="009E2058">
      <w:pPr>
        <w:pStyle w:val="ListParagraph"/>
        <w:numPr>
          <w:ilvl w:val="0"/>
          <w:numId w:val="12"/>
        </w:numPr>
        <w:spacing w:after="120"/>
        <w:contextualSpacing w:val="0"/>
        <w:rPr>
          <w:rFonts w:asciiTheme="minorHAnsi" w:hAnsiTheme="minorHAnsi" w:cstheme="minorHAnsi"/>
        </w:rPr>
      </w:pPr>
      <w:r w:rsidRPr="00517FF3">
        <w:rPr>
          <w:rFonts w:asciiTheme="minorHAnsi" w:hAnsiTheme="minorHAnsi" w:cstheme="minorHAnsi"/>
        </w:rPr>
        <w:br w:type="page"/>
      </w:r>
    </w:p>
    <w:p w14:paraId="4EF17FF4" w14:textId="7B9EDC59" w:rsidR="00A23B0F" w:rsidRPr="00B72D54" w:rsidRDefault="00A23B0F" w:rsidP="00B72D54">
      <w:pPr>
        <w:pStyle w:val="Heading2"/>
      </w:pPr>
      <w:r w:rsidRPr="00B72D54">
        <w:lastRenderedPageBreak/>
        <w:t>Assessment criteria</w:t>
      </w:r>
    </w:p>
    <w:p w14:paraId="76E9EEB6" w14:textId="57D9FCD0" w:rsidR="00A23B0F" w:rsidRPr="00517FF3" w:rsidRDefault="00A23B0F" w:rsidP="00B72D54">
      <w:r w:rsidRPr="00517FF3">
        <w:t>Applications will be assessed with reference to the weighting against each criterion as outlined</w:t>
      </w:r>
      <w:r w:rsidR="00130F92">
        <w:t xml:space="preserve"> on the following table</w:t>
      </w:r>
      <w:r w:rsidRPr="00517FF3">
        <w:t>.</w:t>
      </w:r>
    </w:p>
    <w:tbl>
      <w:tblPr>
        <w:tblStyle w:val="TableGrid"/>
        <w:tblW w:w="5000" w:type="pct"/>
        <w:tblLook w:val="04A0" w:firstRow="1" w:lastRow="0" w:firstColumn="1" w:lastColumn="0" w:noHBand="0" w:noVBand="1"/>
      </w:tblPr>
      <w:tblGrid>
        <w:gridCol w:w="1139"/>
        <w:gridCol w:w="6516"/>
        <w:gridCol w:w="1415"/>
      </w:tblGrid>
      <w:tr w:rsidR="00A23B0F" w:rsidRPr="00517FF3" w14:paraId="2997B09E" w14:textId="77777777" w:rsidTr="00DA08A7">
        <w:trPr>
          <w:cantSplit/>
          <w:tblHeader/>
        </w:trPr>
        <w:tc>
          <w:tcPr>
            <w:tcW w:w="628" w:type="pct"/>
            <w:tcBorders>
              <w:top w:val="single" w:sz="4" w:space="0" w:color="auto"/>
              <w:left w:val="nil"/>
              <w:bottom w:val="single" w:sz="4" w:space="0" w:color="auto"/>
              <w:right w:val="nil"/>
            </w:tcBorders>
          </w:tcPr>
          <w:p w14:paraId="0777B7C1" w14:textId="77777777" w:rsidR="00A23B0F" w:rsidRPr="00E647E2" w:rsidRDefault="00A23B0F" w:rsidP="00DA08A7">
            <w:pPr>
              <w:pStyle w:val="TableHeading"/>
            </w:pPr>
            <w:r w:rsidRPr="00E647E2">
              <w:t>Criterion No.</w:t>
            </w:r>
          </w:p>
        </w:tc>
        <w:tc>
          <w:tcPr>
            <w:tcW w:w="3592" w:type="pct"/>
            <w:tcBorders>
              <w:top w:val="single" w:sz="4" w:space="0" w:color="auto"/>
              <w:left w:val="nil"/>
              <w:bottom w:val="single" w:sz="4" w:space="0" w:color="auto"/>
              <w:right w:val="nil"/>
            </w:tcBorders>
          </w:tcPr>
          <w:p w14:paraId="16D10F81" w14:textId="77777777" w:rsidR="00A23B0F" w:rsidRPr="00E647E2" w:rsidRDefault="00A23B0F" w:rsidP="00DA08A7">
            <w:pPr>
              <w:pStyle w:val="TableHeading"/>
            </w:pPr>
            <w:r w:rsidRPr="00E647E2">
              <w:t>Criterion</w:t>
            </w:r>
          </w:p>
        </w:tc>
        <w:tc>
          <w:tcPr>
            <w:tcW w:w="780" w:type="pct"/>
            <w:tcBorders>
              <w:top w:val="single" w:sz="4" w:space="0" w:color="auto"/>
              <w:left w:val="nil"/>
              <w:bottom w:val="single" w:sz="4" w:space="0" w:color="auto"/>
              <w:right w:val="nil"/>
            </w:tcBorders>
          </w:tcPr>
          <w:p w14:paraId="6D4C77AA" w14:textId="77777777" w:rsidR="00A23B0F" w:rsidRPr="00E647E2" w:rsidRDefault="00A23B0F" w:rsidP="00DA08A7">
            <w:pPr>
              <w:pStyle w:val="TableHeading"/>
            </w:pPr>
            <w:r w:rsidRPr="00E647E2">
              <w:t>Weighting</w:t>
            </w:r>
          </w:p>
        </w:tc>
      </w:tr>
      <w:tr w:rsidR="00A23B0F" w:rsidRPr="00517FF3" w14:paraId="10ACBFDD" w14:textId="77777777" w:rsidTr="00DA08A7">
        <w:tc>
          <w:tcPr>
            <w:tcW w:w="628" w:type="pct"/>
            <w:tcBorders>
              <w:top w:val="single" w:sz="4" w:space="0" w:color="auto"/>
              <w:left w:val="nil"/>
              <w:bottom w:val="single" w:sz="4" w:space="0" w:color="auto"/>
              <w:right w:val="nil"/>
            </w:tcBorders>
          </w:tcPr>
          <w:p w14:paraId="3B5F5A9E" w14:textId="77777777" w:rsidR="00A23B0F" w:rsidRPr="00E647E2" w:rsidRDefault="00A23B0F" w:rsidP="00E647E2">
            <w:pPr>
              <w:pStyle w:val="Tablenumberedlist"/>
            </w:pPr>
          </w:p>
        </w:tc>
        <w:tc>
          <w:tcPr>
            <w:tcW w:w="3592" w:type="pct"/>
            <w:tcBorders>
              <w:top w:val="single" w:sz="4" w:space="0" w:color="auto"/>
              <w:left w:val="nil"/>
              <w:bottom w:val="single" w:sz="4" w:space="0" w:color="auto"/>
              <w:right w:val="nil"/>
            </w:tcBorders>
          </w:tcPr>
          <w:p w14:paraId="5424223C" w14:textId="6AC12DFE" w:rsidR="00A23B0F" w:rsidRPr="00517FF3" w:rsidRDefault="00A23B0F" w:rsidP="00DA08A7">
            <w:pPr>
              <w:pStyle w:val="TableText"/>
            </w:pPr>
            <w:r w:rsidRPr="00517FF3">
              <w:t>Proposed project must demonstrate that it will address regional and/or remote resource recovery challenges</w:t>
            </w:r>
            <w:r w:rsidR="00652F54">
              <w:t xml:space="preserve">, </w:t>
            </w:r>
          </w:p>
          <w:p w14:paraId="0942328A" w14:textId="11DC9349" w:rsidR="00A23B0F" w:rsidRPr="00517FF3" w:rsidRDefault="00A23B0F" w:rsidP="00DA08A7">
            <w:pPr>
              <w:pStyle w:val="TableText"/>
            </w:pPr>
            <w:r w:rsidRPr="00517FF3">
              <w:t>Proposed project should demonstrate that it is part of a solution for sorting, processing, re</w:t>
            </w:r>
            <w:r w:rsidR="00ED5816" w:rsidRPr="00517FF3">
              <w:t>-</w:t>
            </w:r>
            <w:proofErr w:type="gramStart"/>
            <w:r w:rsidRPr="00517FF3">
              <w:t>manufacturing</w:t>
            </w:r>
            <w:proofErr w:type="gramEnd"/>
            <w:r w:rsidRPr="00517FF3">
              <w:t xml:space="preserve"> or selling, and</w:t>
            </w:r>
            <w:r w:rsidR="00BC0A2F">
              <w:t>/or</w:t>
            </w:r>
            <w:r w:rsidRPr="00517FF3">
              <w:t xml:space="preserve"> transport of recovered glass, plastics, tyres, and</w:t>
            </w:r>
            <w:r w:rsidR="00BC0A2F">
              <w:t>/or</w:t>
            </w:r>
            <w:r w:rsidRPr="00517FF3">
              <w:t xml:space="preserve"> paper and cardboard in regional and remote locations. </w:t>
            </w:r>
          </w:p>
          <w:p w14:paraId="4B998A56" w14:textId="5F6F015B" w:rsidR="00A23B0F" w:rsidRPr="00517FF3" w:rsidRDefault="00A23B0F" w:rsidP="00DA08A7">
            <w:pPr>
              <w:pStyle w:val="TableText"/>
            </w:pPr>
            <w:r w:rsidRPr="00517FF3">
              <w:t>Proposed project addresses critical gaps in capacity. This includes whether:</w:t>
            </w:r>
          </w:p>
          <w:p w14:paraId="5C5CD38A" w14:textId="77777777" w:rsidR="00A23B0F" w:rsidRPr="00517FF3" w:rsidRDefault="00A23B0F" w:rsidP="00E647E2">
            <w:pPr>
              <w:pStyle w:val="TableBullet1"/>
            </w:pPr>
            <w:r w:rsidRPr="00517FF3">
              <w:t xml:space="preserve">the project is expected to absorb glass, plastics, </w:t>
            </w:r>
            <w:proofErr w:type="gramStart"/>
            <w:r w:rsidRPr="00517FF3">
              <w:t>tyres</w:t>
            </w:r>
            <w:proofErr w:type="gramEnd"/>
            <w:r w:rsidRPr="00517FF3">
              <w:t xml:space="preserve"> or paper/cardboard from regional or remote locations that would typically be exported from Australia, or would end up in landfill, and </w:t>
            </w:r>
          </w:p>
          <w:p w14:paraId="702C4E37" w14:textId="77777777" w:rsidR="00A23B0F" w:rsidRPr="00517FF3" w:rsidRDefault="00A23B0F" w:rsidP="00E647E2">
            <w:pPr>
              <w:pStyle w:val="TableBullet1"/>
            </w:pPr>
            <w:r w:rsidRPr="00517FF3">
              <w:t>the project’s location has access to the transportation and distribution networks in the relevant regional and/or remote location.</w:t>
            </w:r>
          </w:p>
        </w:tc>
        <w:tc>
          <w:tcPr>
            <w:tcW w:w="780" w:type="pct"/>
            <w:tcBorders>
              <w:top w:val="single" w:sz="4" w:space="0" w:color="auto"/>
              <w:left w:val="nil"/>
              <w:bottom w:val="single" w:sz="4" w:space="0" w:color="auto"/>
              <w:right w:val="nil"/>
            </w:tcBorders>
          </w:tcPr>
          <w:p w14:paraId="6EC18233" w14:textId="67FC2AB3" w:rsidR="00A23B0F" w:rsidRPr="00E647E2" w:rsidRDefault="00010722" w:rsidP="00DA08A7">
            <w:pPr>
              <w:pStyle w:val="TableText"/>
            </w:pPr>
            <w:r w:rsidRPr="00E647E2">
              <w:t>3</w:t>
            </w:r>
            <w:r w:rsidR="00A23B0F" w:rsidRPr="00E647E2">
              <w:t xml:space="preserve">0 </w:t>
            </w:r>
            <w:r w:rsidR="0002086C" w:rsidRPr="00E647E2">
              <w:t>points</w:t>
            </w:r>
            <w:r w:rsidR="00A23B0F" w:rsidRPr="00E647E2">
              <w:t xml:space="preserve"> </w:t>
            </w:r>
          </w:p>
        </w:tc>
      </w:tr>
      <w:tr w:rsidR="00435F7B" w:rsidRPr="00517FF3" w14:paraId="1656F175" w14:textId="77777777" w:rsidTr="00DA08A7">
        <w:tc>
          <w:tcPr>
            <w:tcW w:w="628" w:type="pct"/>
            <w:tcBorders>
              <w:top w:val="single" w:sz="4" w:space="0" w:color="auto"/>
              <w:left w:val="nil"/>
              <w:bottom w:val="single" w:sz="4" w:space="0" w:color="auto"/>
              <w:right w:val="nil"/>
            </w:tcBorders>
          </w:tcPr>
          <w:p w14:paraId="55152FAC" w14:textId="77777777" w:rsidR="00435F7B" w:rsidRPr="00E647E2" w:rsidRDefault="00435F7B" w:rsidP="00E647E2">
            <w:pPr>
              <w:pStyle w:val="Tablenumberedlist"/>
            </w:pPr>
          </w:p>
        </w:tc>
        <w:tc>
          <w:tcPr>
            <w:tcW w:w="3592" w:type="pct"/>
            <w:tcBorders>
              <w:top w:val="single" w:sz="4" w:space="0" w:color="auto"/>
              <w:left w:val="nil"/>
              <w:bottom w:val="single" w:sz="4" w:space="0" w:color="auto"/>
              <w:right w:val="nil"/>
            </w:tcBorders>
          </w:tcPr>
          <w:p w14:paraId="28D2C010" w14:textId="0091740D" w:rsidR="00435F7B" w:rsidRPr="00517FF3" w:rsidRDefault="00435F7B" w:rsidP="00DA08A7">
            <w:pPr>
              <w:pStyle w:val="TableText"/>
            </w:pPr>
            <w:r w:rsidRPr="00517FF3">
              <w:t>Proposed project is supported by an overall business case</w:t>
            </w:r>
            <w:r w:rsidR="005B0187" w:rsidRPr="00517FF3">
              <w:t xml:space="preserve">, </w:t>
            </w:r>
            <w:proofErr w:type="gramStart"/>
            <w:r w:rsidR="005B0187" w:rsidRPr="00517FF3">
              <w:t>planning</w:t>
            </w:r>
            <w:proofErr w:type="gramEnd"/>
            <w:r w:rsidR="005B0187" w:rsidRPr="00517FF3">
              <w:t xml:space="preserve"> and regulatory requirements to proceed to construction are identified, evidence is provided on the process for gaining approvals,</w:t>
            </w:r>
            <w:r w:rsidRPr="00517FF3">
              <w:t xml:space="preserve"> and </w:t>
            </w:r>
            <w:r w:rsidR="005B0187" w:rsidRPr="00517FF3">
              <w:t xml:space="preserve">project </w:t>
            </w:r>
            <w:r w:rsidRPr="00517FF3">
              <w:t>is expected to be economically viable over its operational life.</w:t>
            </w:r>
            <w:r w:rsidR="005B0187" w:rsidRPr="00517FF3">
              <w:t xml:space="preserve"> </w:t>
            </w:r>
          </w:p>
        </w:tc>
        <w:tc>
          <w:tcPr>
            <w:tcW w:w="780" w:type="pct"/>
            <w:tcBorders>
              <w:top w:val="single" w:sz="4" w:space="0" w:color="auto"/>
              <w:left w:val="nil"/>
              <w:bottom w:val="single" w:sz="4" w:space="0" w:color="auto"/>
              <w:right w:val="nil"/>
            </w:tcBorders>
          </w:tcPr>
          <w:p w14:paraId="381EF2D7" w14:textId="4FFF0319" w:rsidR="00435F7B" w:rsidRPr="00E647E2" w:rsidRDefault="00435F7B" w:rsidP="00DA08A7">
            <w:pPr>
              <w:pStyle w:val="TableText"/>
            </w:pPr>
            <w:r w:rsidRPr="00E647E2">
              <w:t xml:space="preserve">20 </w:t>
            </w:r>
            <w:r w:rsidR="0002086C" w:rsidRPr="00E647E2">
              <w:t>points</w:t>
            </w:r>
          </w:p>
        </w:tc>
      </w:tr>
      <w:tr w:rsidR="00435F7B" w:rsidRPr="00517FF3" w14:paraId="6065168A" w14:textId="77777777" w:rsidTr="00DA08A7">
        <w:tc>
          <w:tcPr>
            <w:tcW w:w="628" w:type="pct"/>
            <w:tcBorders>
              <w:top w:val="single" w:sz="4" w:space="0" w:color="auto"/>
              <w:left w:val="nil"/>
              <w:bottom w:val="single" w:sz="4" w:space="0" w:color="auto"/>
              <w:right w:val="nil"/>
            </w:tcBorders>
          </w:tcPr>
          <w:p w14:paraId="4E4932F6" w14:textId="77777777" w:rsidR="00435F7B" w:rsidRPr="00E647E2" w:rsidRDefault="00435F7B" w:rsidP="00E647E2">
            <w:pPr>
              <w:pStyle w:val="Tablenumberedlist"/>
            </w:pPr>
          </w:p>
        </w:tc>
        <w:tc>
          <w:tcPr>
            <w:tcW w:w="3592" w:type="pct"/>
            <w:tcBorders>
              <w:top w:val="single" w:sz="4" w:space="0" w:color="auto"/>
              <w:left w:val="nil"/>
              <w:bottom w:val="single" w:sz="4" w:space="0" w:color="auto"/>
              <w:right w:val="nil"/>
            </w:tcBorders>
          </w:tcPr>
          <w:p w14:paraId="6934F19D" w14:textId="05FA75BB" w:rsidR="00435F7B" w:rsidRPr="00517FF3" w:rsidRDefault="00435F7B" w:rsidP="00DA08A7">
            <w:pPr>
              <w:pStyle w:val="TableText"/>
            </w:pPr>
            <w:r w:rsidRPr="00517FF3">
              <w:t xml:space="preserve">Proposed project will create higher-value </w:t>
            </w:r>
            <w:r w:rsidR="00A96F91" w:rsidRPr="00517FF3">
              <w:t xml:space="preserve">feedstock or offtake for remanufacturing </w:t>
            </w:r>
            <w:r w:rsidRPr="00517FF3">
              <w:t>products for which a suitable level of demand is expected.</w:t>
            </w:r>
            <w:r w:rsidR="00BC0A2F">
              <w:t xml:space="preserve"> Identification of end-markets will be highly regarded.</w:t>
            </w:r>
          </w:p>
        </w:tc>
        <w:tc>
          <w:tcPr>
            <w:tcW w:w="780" w:type="pct"/>
            <w:tcBorders>
              <w:top w:val="single" w:sz="4" w:space="0" w:color="auto"/>
              <w:left w:val="nil"/>
              <w:bottom w:val="single" w:sz="4" w:space="0" w:color="auto"/>
              <w:right w:val="nil"/>
            </w:tcBorders>
          </w:tcPr>
          <w:p w14:paraId="2F26039B" w14:textId="0526A968" w:rsidR="00435F7B" w:rsidRPr="00E647E2" w:rsidRDefault="00435F7B" w:rsidP="00DA08A7">
            <w:pPr>
              <w:pStyle w:val="TableText"/>
            </w:pPr>
            <w:r w:rsidRPr="00E647E2">
              <w:t xml:space="preserve">15 </w:t>
            </w:r>
            <w:r w:rsidR="0002086C" w:rsidRPr="00E647E2">
              <w:t>points</w:t>
            </w:r>
          </w:p>
        </w:tc>
      </w:tr>
      <w:tr w:rsidR="00435F7B" w:rsidRPr="00517FF3" w14:paraId="7D928B75" w14:textId="77777777" w:rsidTr="00DA08A7">
        <w:tc>
          <w:tcPr>
            <w:tcW w:w="628" w:type="pct"/>
            <w:tcBorders>
              <w:top w:val="single" w:sz="4" w:space="0" w:color="auto"/>
              <w:left w:val="nil"/>
              <w:bottom w:val="single" w:sz="4" w:space="0" w:color="auto"/>
              <w:right w:val="nil"/>
            </w:tcBorders>
          </w:tcPr>
          <w:p w14:paraId="7C749FB2" w14:textId="77777777" w:rsidR="00435F7B" w:rsidRPr="00E647E2" w:rsidRDefault="00435F7B" w:rsidP="00E647E2">
            <w:pPr>
              <w:pStyle w:val="Tablenumberedlist"/>
            </w:pPr>
          </w:p>
        </w:tc>
        <w:tc>
          <w:tcPr>
            <w:tcW w:w="3592" w:type="pct"/>
            <w:tcBorders>
              <w:top w:val="single" w:sz="4" w:space="0" w:color="auto"/>
              <w:left w:val="nil"/>
              <w:bottom w:val="single" w:sz="4" w:space="0" w:color="auto"/>
              <w:right w:val="nil"/>
            </w:tcBorders>
          </w:tcPr>
          <w:p w14:paraId="211F611C" w14:textId="13223176" w:rsidR="00435F7B" w:rsidRPr="00517FF3" w:rsidRDefault="00435F7B" w:rsidP="00DA08A7">
            <w:pPr>
              <w:pStyle w:val="TableText"/>
            </w:pPr>
            <w:r w:rsidRPr="00517FF3">
              <w:t xml:space="preserve">Proposed project will support </w:t>
            </w:r>
            <w:r w:rsidR="000916C3" w:rsidRPr="00517FF3">
              <w:t xml:space="preserve">small and local businesses, </w:t>
            </w:r>
            <w:r w:rsidRPr="00517FF3">
              <w:t>employment and long-term economic growth and development in regional and/or remote location/s.</w:t>
            </w:r>
          </w:p>
        </w:tc>
        <w:tc>
          <w:tcPr>
            <w:tcW w:w="780" w:type="pct"/>
            <w:tcBorders>
              <w:top w:val="single" w:sz="4" w:space="0" w:color="auto"/>
              <w:left w:val="nil"/>
              <w:bottom w:val="single" w:sz="4" w:space="0" w:color="auto"/>
              <w:right w:val="nil"/>
            </w:tcBorders>
          </w:tcPr>
          <w:p w14:paraId="4BDD22F2" w14:textId="181B3484" w:rsidR="00435F7B" w:rsidRPr="00517FF3" w:rsidRDefault="00435F7B" w:rsidP="00DA08A7">
            <w:pPr>
              <w:pStyle w:val="TableText"/>
              <w:rPr>
                <w:rFonts w:cstheme="minorHAnsi"/>
                <w:sz w:val="22"/>
              </w:rPr>
            </w:pPr>
            <w:r w:rsidRPr="00517FF3">
              <w:rPr>
                <w:rFonts w:cstheme="minorHAnsi"/>
                <w:sz w:val="22"/>
              </w:rPr>
              <w:t xml:space="preserve">15 </w:t>
            </w:r>
            <w:r w:rsidR="0002086C" w:rsidRPr="00517FF3">
              <w:rPr>
                <w:rFonts w:cstheme="minorHAnsi"/>
                <w:sz w:val="22"/>
              </w:rPr>
              <w:t>p</w:t>
            </w:r>
            <w:r w:rsidR="0002086C">
              <w:rPr>
                <w:rFonts w:cstheme="minorHAnsi"/>
                <w:sz w:val="22"/>
              </w:rPr>
              <w:t>oints</w:t>
            </w:r>
          </w:p>
        </w:tc>
      </w:tr>
      <w:tr w:rsidR="00142F36" w:rsidRPr="00517FF3" w14:paraId="41C0623F" w14:textId="77777777" w:rsidTr="00DA08A7">
        <w:tc>
          <w:tcPr>
            <w:tcW w:w="628" w:type="pct"/>
            <w:tcBorders>
              <w:top w:val="single" w:sz="4" w:space="0" w:color="auto"/>
              <w:left w:val="nil"/>
              <w:bottom w:val="single" w:sz="4" w:space="0" w:color="auto"/>
              <w:right w:val="nil"/>
            </w:tcBorders>
          </w:tcPr>
          <w:p w14:paraId="037BC4B0" w14:textId="77777777" w:rsidR="00142F36" w:rsidRPr="00E647E2" w:rsidRDefault="00142F36" w:rsidP="00E647E2">
            <w:pPr>
              <w:pStyle w:val="Tablenumberedlist"/>
            </w:pPr>
          </w:p>
        </w:tc>
        <w:tc>
          <w:tcPr>
            <w:tcW w:w="3592" w:type="pct"/>
            <w:tcBorders>
              <w:top w:val="single" w:sz="4" w:space="0" w:color="auto"/>
              <w:left w:val="nil"/>
              <w:bottom w:val="single" w:sz="4" w:space="0" w:color="auto"/>
              <w:right w:val="nil"/>
            </w:tcBorders>
          </w:tcPr>
          <w:p w14:paraId="3E354D7C" w14:textId="3ACC1174" w:rsidR="00142F36" w:rsidRPr="00517FF3" w:rsidRDefault="00E139FA" w:rsidP="00DA08A7">
            <w:pPr>
              <w:pStyle w:val="TableText"/>
              <w:rPr>
                <w:rFonts w:cstheme="minorHAnsi"/>
              </w:rPr>
            </w:pPr>
            <w:r>
              <w:rPr>
                <w:rFonts w:cstheme="minorHAnsi"/>
              </w:rPr>
              <w:t xml:space="preserve">Project is in </w:t>
            </w:r>
            <w:r w:rsidRPr="00142F36">
              <w:rPr>
                <w:rFonts w:cstheme="minorHAnsi"/>
                <w:i/>
                <w:iCs/>
              </w:rPr>
              <w:t>Remote Australia</w:t>
            </w:r>
            <w:r>
              <w:rPr>
                <w:rFonts w:cstheme="minorHAnsi"/>
              </w:rPr>
              <w:t xml:space="preserve"> or in </w:t>
            </w:r>
            <w:r w:rsidRPr="00142F36">
              <w:rPr>
                <w:rFonts w:cstheme="minorHAnsi"/>
                <w:i/>
                <w:iCs/>
              </w:rPr>
              <w:t>Very Remote Australia</w:t>
            </w:r>
            <w:r>
              <w:rPr>
                <w:rFonts w:cstheme="minorHAnsi"/>
              </w:rPr>
              <w:t xml:space="preserve"> in accordance with the ABS remoteness classification</w:t>
            </w:r>
            <w:r w:rsidDel="00E139FA">
              <w:rPr>
                <w:rFonts w:cstheme="minorHAnsi"/>
              </w:rPr>
              <w:t xml:space="preserve"> </w:t>
            </w:r>
          </w:p>
        </w:tc>
        <w:tc>
          <w:tcPr>
            <w:tcW w:w="780" w:type="pct"/>
            <w:tcBorders>
              <w:top w:val="single" w:sz="4" w:space="0" w:color="auto"/>
              <w:left w:val="nil"/>
              <w:bottom w:val="single" w:sz="4" w:space="0" w:color="auto"/>
              <w:right w:val="nil"/>
            </w:tcBorders>
          </w:tcPr>
          <w:p w14:paraId="1DEA54B5" w14:textId="74A31848" w:rsidR="00142F36" w:rsidRPr="00517FF3" w:rsidRDefault="0094489F" w:rsidP="00DA08A7">
            <w:pPr>
              <w:pStyle w:val="TableText"/>
              <w:rPr>
                <w:rFonts w:cstheme="minorHAnsi"/>
                <w:sz w:val="22"/>
              </w:rPr>
            </w:pPr>
            <w:r>
              <w:rPr>
                <w:rFonts w:cstheme="minorHAnsi"/>
                <w:sz w:val="22"/>
              </w:rPr>
              <w:t>5</w:t>
            </w:r>
            <w:r w:rsidR="00142F36">
              <w:rPr>
                <w:rFonts w:cstheme="minorHAnsi"/>
                <w:sz w:val="22"/>
              </w:rPr>
              <w:t xml:space="preserve"> Points</w:t>
            </w:r>
          </w:p>
        </w:tc>
      </w:tr>
      <w:tr w:rsidR="00435F7B" w:rsidRPr="00517FF3" w14:paraId="413D4626" w14:textId="77777777" w:rsidTr="00DA08A7">
        <w:tc>
          <w:tcPr>
            <w:tcW w:w="628" w:type="pct"/>
            <w:tcBorders>
              <w:top w:val="single" w:sz="4" w:space="0" w:color="auto"/>
              <w:left w:val="nil"/>
              <w:bottom w:val="single" w:sz="4" w:space="0" w:color="auto"/>
              <w:right w:val="nil"/>
            </w:tcBorders>
          </w:tcPr>
          <w:p w14:paraId="79FCF6C5" w14:textId="77777777" w:rsidR="00435F7B" w:rsidRPr="00E647E2" w:rsidRDefault="00435F7B" w:rsidP="00E647E2">
            <w:pPr>
              <w:pStyle w:val="Tablenumberedlist"/>
            </w:pPr>
          </w:p>
        </w:tc>
        <w:tc>
          <w:tcPr>
            <w:tcW w:w="3592" w:type="pct"/>
            <w:tcBorders>
              <w:top w:val="single" w:sz="4" w:space="0" w:color="auto"/>
              <w:left w:val="nil"/>
              <w:bottom w:val="single" w:sz="4" w:space="0" w:color="auto"/>
              <w:right w:val="nil"/>
            </w:tcBorders>
          </w:tcPr>
          <w:p w14:paraId="7893D9BA" w14:textId="77777777" w:rsidR="00435F7B" w:rsidRPr="00517FF3" w:rsidRDefault="00435F7B" w:rsidP="00DA08A7">
            <w:pPr>
              <w:pStyle w:val="TableText"/>
              <w:rPr>
                <w:rFonts w:cstheme="minorHAnsi"/>
              </w:rPr>
            </w:pPr>
            <w:r w:rsidRPr="00517FF3">
              <w:rPr>
                <w:rFonts w:cstheme="minorHAnsi"/>
              </w:rPr>
              <w:t>Proposed project is unlikely to proceed without assistance from the Australian Government or will only proceed at a much later date or much lower scale.</w:t>
            </w:r>
          </w:p>
        </w:tc>
        <w:tc>
          <w:tcPr>
            <w:tcW w:w="780" w:type="pct"/>
            <w:tcBorders>
              <w:top w:val="single" w:sz="4" w:space="0" w:color="auto"/>
              <w:left w:val="nil"/>
              <w:bottom w:val="single" w:sz="4" w:space="0" w:color="auto"/>
              <w:right w:val="nil"/>
            </w:tcBorders>
          </w:tcPr>
          <w:p w14:paraId="5B149FA4" w14:textId="543BECAF" w:rsidR="00435F7B" w:rsidRPr="00517FF3" w:rsidRDefault="00435F7B" w:rsidP="00DA08A7">
            <w:pPr>
              <w:pStyle w:val="TableText"/>
              <w:rPr>
                <w:rFonts w:cstheme="minorHAnsi"/>
                <w:sz w:val="22"/>
              </w:rPr>
            </w:pPr>
            <w:r w:rsidRPr="00517FF3">
              <w:rPr>
                <w:rFonts w:cstheme="minorHAnsi"/>
                <w:sz w:val="22"/>
              </w:rPr>
              <w:t xml:space="preserve">5 </w:t>
            </w:r>
            <w:r w:rsidR="0002086C" w:rsidRPr="00517FF3">
              <w:rPr>
                <w:rFonts w:cstheme="minorHAnsi"/>
                <w:sz w:val="22"/>
              </w:rPr>
              <w:t>p</w:t>
            </w:r>
            <w:r w:rsidR="0002086C">
              <w:rPr>
                <w:rFonts w:cstheme="minorHAnsi"/>
                <w:sz w:val="22"/>
              </w:rPr>
              <w:t>oints</w:t>
            </w:r>
          </w:p>
        </w:tc>
      </w:tr>
      <w:tr w:rsidR="00435F7B" w:rsidRPr="00517FF3" w14:paraId="4ED7DC10" w14:textId="77777777" w:rsidTr="00DA08A7">
        <w:tc>
          <w:tcPr>
            <w:tcW w:w="628" w:type="pct"/>
            <w:tcBorders>
              <w:top w:val="single" w:sz="4" w:space="0" w:color="auto"/>
              <w:left w:val="nil"/>
              <w:bottom w:val="single" w:sz="4" w:space="0" w:color="auto"/>
              <w:right w:val="nil"/>
            </w:tcBorders>
          </w:tcPr>
          <w:p w14:paraId="66B8E509" w14:textId="3756B5EB" w:rsidR="00435F7B" w:rsidRPr="00E647E2" w:rsidRDefault="00435F7B" w:rsidP="00E647E2">
            <w:pPr>
              <w:pStyle w:val="Tablenumberedlist"/>
            </w:pPr>
          </w:p>
        </w:tc>
        <w:tc>
          <w:tcPr>
            <w:tcW w:w="3592" w:type="pct"/>
            <w:tcBorders>
              <w:top w:val="single" w:sz="4" w:space="0" w:color="auto"/>
              <w:left w:val="nil"/>
              <w:bottom w:val="single" w:sz="4" w:space="0" w:color="auto"/>
              <w:right w:val="nil"/>
            </w:tcBorders>
          </w:tcPr>
          <w:p w14:paraId="5E37842D" w14:textId="4C3B774E" w:rsidR="00435F7B" w:rsidRPr="00517FF3" w:rsidRDefault="00435F7B" w:rsidP="00DA08A7">
            <w:pPr>
              <w:pStyle w:val="TableText"/>
            </w:pPr>
            <w:r w:rsidRPr="00517FF3">
              <w:t xml:space="preserve">Proposed project has a clear and credible plan to fully </w:t>
            </w:r>
            <w:proofErr w:type="gramStart"/>
            <w:r w:rsidRPr="00517FF3">
              <w:t>engage</w:t>
            </w:r>
            <w:proofErr w:type="gramEnd"/>
            <w:r w:rsidRPr="00517FF3">
              <w:t xml:space="preserve"> and consult affected stakeholders</w:t>
            </w:r>
            <w:r w:rsidR="005B0187" w:rsidRPr="00517FF3">
              <w:t>, traditional custodians</w:t>
            </w:r>
            <w:r w:rsidRPr="00517FF3">
              <w:t xml:space="preserve"> and communities.</w:t>
            </w:r>
          </w:p>
        </w:tc>
        <w:tc>
          <w:tcPr>
            <w:tcW w:w="780" w:type="pct"/>
            <w:tcBorders>
              <w:top w:val="single" w:sz="4" w:space="0" w:color="auto"/>
              <w:left w:val="nil"/>
              <w:bottom w:val="single" w:sz="4" w:space="0" w:color="auto"/>
              <w:right w:val="nil"/>
            </w:tcBorders>
          </w:tcPr>
          <w:p w14:paraId="12D6A07F" w14:textId="19F3C992" w:rsidR="00435F7B" w:rsidRPr="00517FF3" w:rsidRDefault="00435F7B" w:rsidP="00DA08A7">
            <w:pPr>
              <w:pStyle w:val="TableText"/>
            </w:pPr>
            <w:r w:rsidRPr="00517FF3">
              <w:t xml:space="preserve">5 </w:t>
            </w:r>
            <w:r w:rsidR="0002086C" w:rsidRPr="00517FF3">
              <w:t>p</w:t>
            </w:r>
            <w:r w:rsidR="0002086C">
              <w:t>oints</w:t>
            </w:r>
          </w:p>
        </w:tc>
      </w:tr>
      <w:tr w:rsidR="00130F92" w:rsidRPr="00517FF3" w14:paraId="58AEBD0F" w14:textId="77777777" w:rsidTr="00DA08A7">
        <w:tc>
          <w:tcPr>
            <w:tcW w:w="628" w:type="pct"/>
            <w:tcBorders>
              <w:top w:val="single" w:sz="4" w:space="0" w:color="auto"/>
              <w:left w:val="nil"/>
              <w:bottom w:val="single" w:sz="4" w:space="0" w:color="auto"/>
              <w:right w:val="nil"/>
            </w:tcBorders>
          </w:tcPr>
          <w:p w14:paraId="485BCC31" w14:textId="77777777" w:rsidR="00130F92" w:rsidRPr="00E647E2" w:rsidRDefault="00130F92" w:rsidP="00E647E2">
            <w:pPr>
              <w:pStyle w:val="Tablenumberedlist"/>
            </w:pPr>
          </w:p>
        </w:tc>
        <w:tc>
          <w:tcPr>
            <w:tcW w:w="3592" w:type="pct"/>
            <w:tcBorders>
              <w:top w:val="single" w:sz="4" w:space="0" w:color="auto"/>
              <w:left w:val="nil"/>
              <w:bottom w:val="single" w:sz="4" w:space="0" w:color="auto"/>
              <w:right w:val="nil"/>
            </w:tcBorders>
          </w:tcPr>
          <w:p w14:paraId="04B547E0" w14:textId="52B4E62D" w:rsidR="00130F92" w:rsidRPr="00517FF3" w:rsidRDefault="00130F92" w:rsidP="00DA08A7">
            <w:pPr>
              <w:pStyle w:val="TableText"/>
            </w:pPr>
            <w:r w:rsidRPr="00517FF3">
              <w:t>Projects will be fully operational by 30 June 2024</w:t>
            </w:r>
          </w:p>
        </w:tc>
        <w:tc>
          <w:tcPr>
            <w:tcW w:w="780" w:type="pct"/>
            <w:tcBorders>
              <w:top w:val="single" w:sz="4" w:space="0" w:color="auto"/>
              <w:left w:val="nil"/>
              <w:bottom w:val="single" w:sz="4" w:space="0" w:color="auto"/>
              <w:right w:val="nil"/>
            </w:tcBorders>
          </w:tcPr>
          <w:p w14:paraId="39930835" w14:textId="320E24C8" w:rsidR="00130F92" w:rsidRPr="00517FF3" w:rsidRDefault="00130F92" w:rsidP="00DA08A7">
            <w:pPr>
              <w:pStyle w:val="TableText"/>
            </w:pPr>
            <w:r>
              <w:t>5 points</w:t>
            </w:r>
          </w:p>
        </w:tc>
      </w:tr>
    </w:tbl>
    <w:p w14:paraId="35BFDDCE" w14:textId="1CAD03A0" w:rsidR="00A23B0F" w:rsidRPr="00517FF3" w:rsidRDefault="00A23B0F" w:rsidP="006E1758">
      <w:pPr>
        <w:spacing w:after="120"/>
        <w:rPr>
          <w:rFonts w:asciiTheme="minorHAnsi" w:hAnsiTheme="minorHAnsi" w:cstheme="minorHAnsi"/>
        </w:rPr>
      </w:pPr>
    </w:p>
    <w:bookmarkEnd w:id="0"/>
    <w:p w14:paraId="2D4F95AA" w14:textId="0525E03F" w:rsidR="005B0187" w:rsidRDefault="0002086C" w:rsidP="00B72D54">
      <w:pPr>
        <w:pStyle w:val="Heading3"/>
      </w:pPr>
      <w:r>
        <w:t>S</w:t>
      </w:r>
      <w:r w:rsidR="008C0342">
        <w:t xml:space="preserve">mall </w:t>
      </w:r>
      <w:r w:rsidR="00E65088">
        <w:t>Organisations</w:t>
      </w:r>
      <w:r>
        <w:t xml:space="preserve"> Supporting Points</w:t>
      </w:r>
      <w:r w:rsidR="0043328F">
        <w:t xml:space="preserve"> Assessment</w:t>
      </w:r>
      <w:r w:rsidR="004B0DED">
        <w:t xml:space="preserve"> (</w:t>
      </w:r>
      <w:r w:rsidR="004B0DED" w:rsidRPr="004B0DED">
        <w:t>only small organisations are eligible to receive points under these criteria</w:t>
      </w:r>
      <w:r w:rsidR="004B0DED">
        <w:t>)</w:t>
      </w:r>
    </w:p>
    <w:tbl>
      <w:tblPr>
        <w:tblStyle w:val="TableGrid"/>
        <w:tblW w:w="5000" w:type="pct"/>
        <w:tblLook w:val="04A0" w:firstRow="1" w:lastRow="0" w:firstColumn="1" w:lastColumn="0" w:noHBand="0" w:noVBand="1"/>
      </w:tblPr>
      <w:tblGrid>
        <w:gridCol w:w="1134"/>
        <w:gridCol w:w="6521"/>
        <w:gridCol w:w="1415"/>
      </w:tblGrid>
      <w:tr w:rsidR="0002086C" w:rsidRPr="00517FF3" w14:paraId="032C93CC" w14:textId="77777777" w:rsidTr="0043328F">
        <w:tc>
          <w:tcPr>
            <w:tcW w:w="625" w:type="pct"/>
            <w:tcBorders>
              <w:top w:val="single" w:sz="4" w:space="0" w:color="auto"/>
              <w:left w:val="nil"/>
              <w:bottom w:val="single" w:sz="4" w:space="0" w:color="auto"/>
              <w:right w:val="nil"/>
            </w:tcBorders>
          </w:tcPr>
          <w:p w14:paraId="5AE6F6B1" w14:textId="77777777" w:rsidR="0002086C" w:rsidRPr="00517FF3" w:rsidRDefault="0002086C" w:rsidP="00E647E2">
            <w:pPr>
              <w:pStyle w:val="Tablenumberedlist"/>
              <w:rPr>
                <w:lang w:eastAsia="en-AU"/>
              </w:rPr>
            </w:pPr>
          </w:p>
        </w:tc>
        <w:tc>
          <w:tcPr>
            <w:tcW w:w="3595" w:type="pct"/>
            <w:tcBorders>
              <w:top w:val="single" w:sz="4" w:space="0" w:color="auto"/>
              <w:left w:val="nil"/>
              <w:bottom w:val="single" w:sz="4" w:space="0" w:color="auto"/>
              <w:right w:val="nil"/>
            </w:tcBorders>
          </w:tcPr>
          <w:p w14:paraId="6992D4FE" w14:textId="3AF554FD" w:rsidR="0002086C" w:rsidRPr="00517FF3" w:rsidRDefault="0002086C" w:rsidP="00DA08A7">
            <w:pPr>
              <w:pStyle w:val="TableText"/>
            </w:pPr>
            <w:r>
              <w:t>Proposed project</w:t>
            </w:r>
            <w:r w:rsidR="004B0DED">
              <w:t xml:space="preserve"> is a</w:t>
            </w:r>
            <w:r>
              <w:t xml:space="preserve"> </w:t>
            </w:r>
            <w:r w:rsidR="004B0DED" w:rsidRPr="004B0DED">
              <w:t>small organisation with experience operating in the location of the proposed projects</w:t>
            </w:r>
            <w:r w:rsidR="004B0DED">
              <w:t>.</w:t>
            </w:r>
          </w:p>
        </w:tc>
        <w:tc>
          <w:tcPr>
            <w:tcW w:w="780" w:type="pct"/>
            <w:tcBorders>
              <w:top w:val="single" w:sz="4" w:space="0" w:color="auto"/>
              <w:left w:val="nil"/>
              <w:bottom w:val="single" w:sz="4" w:space="0" w:color="auto"/>
              <w:right w:val="nil"/>
            </w:tcBorders>
          </w:tcPr>
          <w:p w14:paraId="4101F54E" w14:textId="4E33FB14" w:rsidR="0002086C" w:rsidRPr="00517FF3" w:rsidRDefault="0002086C" w:rsidP="00DA08A7">
            <w:pPr>
              <w:pStyle w:val="TableText"/>
            </w:pPr>
            <w:r>
              <w:t>5 points</w:t>
            </w:r>
          </w:p>
        </w:tc>
      </w:tr>
      <w:tr w:rsidR="0018427F" w:rsidRPr="00517FF3" w14:paraId="2E08575C" w14:textId="77777777" w:rsidTr="0043328F">
        <w:tc>
          <w:tcPr>
            <w:tcW w:w="625" w:type="pct"/>
            <w:tcBorders>
              <w:top w:val="single" w:sz="4" w:space="0" w:color="auto"/>
              <w:left w:val="nil"/>
              <w:bottom w:val="single" w:sz="4" w:space="0" w:color="auto"/>
              <w:right w:val="nil"/>
            </w:tcBorders>
          </w:tcPr>
          <w:p w14:paraId="5A162E2C" w14:textId="77777777" w:rsidR="0018427F" w:rsidRPr="00517FF3" w:rsidRDefault="0018427F" w:rsidP="00E647E2">
            <w:pPr>
              <w:pStyle w:val="Tablenumberedlist"/>
              <w:rPr>
                <w:lang w:eastAsia="en-AU"/>
              </w:rPr>
            </w:pPr>
          </w:p>
        </w:tc>
        <w:tc>
          <w:tcPr>
            <w:tcW w:w="3595" w:type="pct"/>
            <w:tcBorders>
              <w:top w:val="single" w:sz="4" w:space="0" w:color="auto"/>
              <w:left w:val="nil"/>
              <w:bottom w:val="single" w:sz="4" w:space="0" w:color="auto"/>
              <w:right w:val="nil"/>
            </w:tcBorders>
          </w:tcPr>
          <w:p w14:paraId="1FF62E1F" w14:textId="539C8737" w:rsidR="0018427F" w:rsidRPr="00517FF3" w:rsidRDefault="0018427F" w:rsidP="00DA08A7">
            <w:pPr>
              <w:pStyle w:val="TableText"/>
            </w:pPr>
            <w:r>
              <w:t xml:space="preserve">Proposed project will create at </w:t>
            </w:r>
            <w:r w:rsidR="001B17DC">
              <w:t xml:space="preserve">least </w:t>
            </w:r>
            <w:r>
              <w:t>two</w:t>
            </w:r>
            <w:r w:rsidR="004278B0">
              <w:t xml:space="preserve"> </w:t>
            </w:r>
            <w:r w:rsidR="004B0DED">
              <w:t>ongoing</w:t>
            </w:r>
            <w:r>
              <w:t xml:space="preserve"> jobs.</w:t>
            </w:r>
          </w:p>
        </w:tc>
        <w:tc>
          <w:tcPr>
            <w:tcW w:w="780" w:type="pct"/>
            <w:tcBorders>
              <w:top w:val="single" w:sz="4" w:space="0" w:color="auto"/>
              <w:left w:val="nil"/>
              <w:bottom w:val="single" w:sz="4" w:space="0" w:color="auto"/>
              <w:right w:val="nil"/>
            </w:tcBorders>
          </w:tcPr>
          <w:p w14:paraId="42541076" w14:textId="30534E87" w:rsidR="0018427F" w:rsidRDefault="0018427F" w:rsidP="00DA08A7">
            <w:pPr>
              <w:pStyle w:val="TableText"/>
            </w:pPr>
            <w:r>
              <w:t>5 points</w:t>
            </w:r>
          </w:p>
        </w:tc>
      </w:tr>
      <w:tr w:rsidR="0018427F" w:rsidRPr="00517FF3" w14:paraId="37A2BFD4" w14:textId="77777777" w:rsidTr="0043328F">
        <w:tc>
          <w:tcPr>
            <w:tcW w:w="625" w:type="pct"/>
            <w:tcBorders>
              <w:top w:val="single" w:sz="4" w:space="0" w:color="auto"/>
              <w:left w:val="nil"/>
              <w:bottom w:val="single" w:sz="4" w:space="0" w:color="auto"/>
              <w:right w:val="nil"/>
            </w:tcBorders>
          </w:tcPr>
          <w:p w14:paraId="6DAD5DB2" w14:textId="77777777" w:rsidR="0018427F" w:rsidRPr="00517FF3" w:rsidRDefault="0018427F" w:rsidP="00E647E2">
            <w:pPr>
              <w:pStyle w:val="Tablenumberedlist"/>
              <w:rPr>
                <w:lang w:eastAsia="en-AU"/>
              </w:rPr>
            </w:pPr>
          </w:p>
        </w:tc>
        <w:tc>
          <w:tcPr>
            <w:tcW w:w="3595" w:type="pct"/>
            <w:tcBorders>
              <w:top w:val="single" w:sz="4" w:space="0" w:color="auto"/>
              <w:left w:val="nil"/>
              <w:bottom w:val="single" w:sz="4" w:space="0" w:color="auto"/>
              <w:right w:val="nil"/>
            </w:tcBorders>
          </w:tcPr>
          <w:p w14:paraId="2EF06C6D" w14:textId="06DA844C" w:rsidR="0018427F" w:rsidRDefault="00F911A2" w:rsidP="00DA08A7">
            <w:pPr>
              <w:pStyle w:val="TableText"/>
            </w:pPr>
            <w:r>
              <w:t xml:space="preserve">Project </w:t>
            </w:r>
            <w:r w:rsidR="001A1F8A">
              <w:t xml:space="preserve">connects local businesses, builds partnerships, and </w:t>
            </w:r>
            <w:r w:rsidR="008248C2">
              <w:t>supports</w:t>
            </w:r>
            <w:r w:rsidR="001A1F8A">
              <w:t xml:space="preserve"> local supplier hub</w:t>
            </w:r>
            <w:r w:rsidR="008248C2">
              <w:t>s</w:t>
            </w:r>
          </w:p>
        </w:tc>
        <w:tc>
          <w:tcPr>
            <w:tcW w:w="780" w:type="pct"/>
            <w:tcBorders>
              <w:top w:val="single" w:sz="4" w:space="0" w:color="auto"/>
              <w:left w:val="nil"/>
              <w:bottom w:val="single" w:sz="4" w:space="0" w:color="auto"/>
              <w:right w:val="nil"/>
            </w:tcBorders>
          </w:tcPr>
          <w:p w14:paraId="587C67B0" w14:textId="6120A2CA" w:rsidR="0018427F" w:rsidRDefault="009704D6" w:rsidP="00DA08A7">
            <w:pPr>
              <w:pStyle w:val="TableText"/>
            </w:pPr>
            <w:r>
              <w:t>5 points</w:t>
            </w:r>
          </w:p>
        </w:tc>
      </w:tr>
    </w:tbl>
    <w:p w14:paraId="624E3640" w14:textId="77777777" w:rsidR="009231DB" w:rsidRDefault="009231DB">
      <w:pPr>
        <w:spacing w:after="0" w:line="240" w:lineRule="auto"/>
        <w:rPr>
          <w:rFonts w:asciiTheme="minorHAnsi" w:eastAsia="Times New Roman" w:hAnsiTheme="minorHAnsi" w:cstheme="minorHAnsi"/>
          <w:b/>
          <w:bCs/>
          <w:sz w:val="24"/>
          <w:szCs w:val="20"/>
        </w:rPr>
      </w:pPr>
      <w:r>
        <w:rPr>
          <w:rFonts w:asciiTheme="minorHAnsi" w:eastAsia="Times New Roman" w:hAnsiTheme="minorHAnsi" w:cstheme="minorHAnsi"/>
          <w:b/>
          <w:bCs/>
          <w:sz w:val="24"/>
          <w:szCs w:val="20"/>
        </w:rPr>
        <w:br w:type="page"/>
      </w:r>
    </w:p>
    <w:p w14:paraId="0081C354" w14:textId="11D0FF93" w:rsidR="0002086C" w:rsidRDefault="009231DB" w:rsidP="009231DB">
      <w:pPr>
        <w:pStyle w:val="Heading2"/>
      </w:pPr>
      <w:r>
        <w:lastRenderedPageBreak/>
        <w:t>Glossary</w:t>
      </w:r>
    </w:p>
    <w:tbl>
      <w:tblPr>
        <w:tblStyle w:val="TableGrid"/>
        <w:tblW w:w="5000" w:type="pct"/>
        <w:tblLook w:val="04A0" w:firstRow="1" w:lastRow="0" w:firstColumn="1" w:lastColumn="0" w:noHBand="0" w:noVBand="1"/>
      </w:tblPr>
      <w:tblGrid>
        <w:gridCol w:w="2267"/>
        <w:gridCol w:w="6803"/>
      </w:tblGrid>
      <w:tr w:rsidR="009231DB" w:rsidRPr="00517FF3" w14:paraId="7500B635" w14:textId="77777777" w:rsidTr="00582122">
        <w:trPr>
          <w:cantSplit/>
          <w:tblHeader/>
        </w:trPr>
        <w:tc>
          <w:tcPr>
            <w:tcW w:w="1250" w:type="pct"/>
            <w:tcBorders>
              <w:top w:val="single" w:sz="4" w:space="0" w:color="auto"/>
              <w:left w:val="nil"/>
              <w:bottom w:val="single" w:sz="4" w:space="0" w:color="auto"/>
              <w:right w:val="nil"/>
            </w:tcBorders>
          </w:tcPr>
          <w:p w14:paraId="2B445592" w14:textId="42E007FB" w:rsidR="009231DB" w:rsidRPr="00E647E2" w:rsidRDefault="00130F92" w:rsidP="00582122">
            <w:pPr>
              <w:pStyle w:val="TableHeading"/>
            </w:pPr>
            <w:r>
              <w:t>Reference</w:t>
            </w:r>
          </w:p>
        </w:tc>
        <w:tc>
          <w:tcPr>
            <w:tcW w:w="3750" w:type="pct"/>
            <w:tcBorders>
              <w:top w:val="single" w:sz="4" w:space="0" w:color="auto"/>
              <w:left w:val="nil"/>
              <w:bottom w:val="single" w:sz="4" w:space="0" w:color="auto"/>
              <w:right w:val="nil"/>
            </w:tcBorders>
          </w:tcPr>
          <w:p w14:paraId="77939D26" w14:textId="305E21D8" w:rsidR="009231DB" w:rsidRPr="00E647E2" w:rsidRDefault="00130F92" w:rsidP="00582122">
            <w:pPr>
              <w:pStyle w:val="TableHeading"/>
            </w:pPr>
            <w:r>
              <w:t>Description</w:t>
            </w:r>
          </w:p>
        </w:tc>
      </w:tr>
      <w:tr w:rsidR="009231DB" w:rsidRPr="00517FF3" w14:paraId="0725AF6D" w14:textId="77777777" w:rsidTr="00582122">
        <w:tc>
          <w:tcPr>
            <w:tcW w:w="1250" w:type="pct"/>
            <w:tcBorders>
              <w:top w:val="single" w:sz="4" w:space="0" w:color="auto"/>
              <w:left w:val="nil"/>
              <w:bottom w:val="single" w:sz="4" w:space="0" w:color="auto"/>
              <w:right w:val="nil"/>
            </w:tcBorders>
          </w:tcPr>
          <w:p w14:paraId="375B15C0" w14:textId="40B4160F" w:rsidR="009231DB" w:rsidRPr="00E647E2" w:rsidRDefault="009231DB" w:rsidP="00582122">
            <w:pPr>
              <w:pStyle w:val="TableText"/>
            </w:pPr>
            <w:r>
              <w:t>Legacy waste</w:t>
            </w:r>
          </w:p>
        </w:tc>
        <w:tc>
          <w:tcPr>
            <w:tcW w:w="3750" w:type="pct"/>
            <w:tcBorders>
              <w:top w:val="single" w:sz="4" w:space="0" w:color="auto"/>
              <w:left w:val="nil"/>
              <w:bottom w:val="single" w:sz="4" w:space="0" w:color="auto"/>
              <w:right w:val="nil"/>
            </w:tcBorders>
          </w:tcPr>
          <w:p w14:paraId="3C5E4263" w14:textId="3D961901" w:rsidR="009231DB" w:rsidRPr="00E647E2" w:rsidRDefault="009231DB" w:rsidP="00582122">
            <w:pPr>
              <w:pStyle w:val="TableText"/>
            </w:pPr>
            <w:r>
              <w:t>Ac</w:t>
            </w:r>
            <w:r w:rsidRPr="00F603E1">
              <w:t xml:space="preserve">cumulated waste over a long period of time, disposed of on land, with no </w:t>
            </w:r>
            <w:proofErr w:type="gramStart"/>
            <w:r w:rsidRPr="00F603E1">
              <w:t>final destination</w:t>
            </w:r>
            <w:proofErr w:type="gramEnd"/>
            <w:r w:rsidRPr="00F603E1">
              <w:t xml:space="preserve"> or purpose. Legacy waste can be unsorted, untreated and stockpiled waste with no environment protection controls applied.</w:t>
            </w:r>
          </w:p>
        </w:tc>
      </w:tr>
      <w:tr w:rsidR="009231DB" w:rsidRPr="00517FF3" w14:paraId="7AB7FBD4" w14:textId="77777777" w:rsidTr="00582122">
        <w:tc>
          <w:tcPr>
            <w:tcW w:w="1250" w:type="pct"/>
            <w:tcBorders>
              <w:top w:val="single" w:sz="4" w:space="0" w:color="auto"/>
              <w:left w:val="nil"/>
              <w:bottom w:val="single" w:sz="4" w:space="0" w:color="auto"/>
              <w:right w:val="nil"/>
            </w:tcBorders>
          </w:tcPr>
          <w:p w14:paraId="4BC7ABCF" w14:textId="20596327" w:rsidR="009231DB" w:rsidRPr="00E647E2" w:rsidRDefault="009231DB" w:rsidP="00582122">
            <w:pPr>
              <w:pStyle w:val="TableText"/>
            </w:pPr>
            <w:r>
              <w:t>Small and medium businesses</w:t>
            </w:r>
          </w:p>
        </w:tc>
        <w:tc>
          <w:tcPr>
            <w:tcW w:w="3750" w:type="pct"/>
            <w:tcBorders>
              <w:top w:val="single" w:sz="4" w:space="0" w:color="auto"/>
              <w:left w:val="nil"/>
              <w:bottom w:val="single" w:sz="4" w:space="0" w:color="auto"/>
              <w:right w:val="nil"/>
            </w:tcBorders>
          </w:tcPr>
          <w:p w14:paraId="4616FB6A" w14:textId="1743F832" w:rsidR="009231DB" w:rsidRPr="00E647E2" w:rsidRDefault="009231DB" w:rsidP="009231DB">
            <w:pPr>
              <w:pStyle w:val="TableText"/>
              <w:rPr>
                <w:lang w:eastAsia="ja-JP"/>
              </w:rPr>
            </w:pPr>
            <w:r w:rsidRPr="00F603E1">
              <w:rPr>
                <w:rFonts w:asciiTheme="minorHAnsi" w:hAnsiTheme="minorHAnsi" w:cstheme="minorHAnsi"/>
                <w:szCs w:val="18"/>
              </w:rPr>
              <w:t>T</w:t>
            </w:r>
            <w:r>
              <w:rPr>
                <w:rFonts w:asciiTheme="minorHAnsi" w:hAnsiTheme="minorHAnsi" w:cstheme="minorHAnsi"/>
                <w:szCs w:val="18"/>
              </w:rPr>
              <w:t>h</w:t>
            </w:r>
            <w:r w:rsidRPr="00F603E1">
              <w:rPr>
                <w:rFonts w:asciiTheme="minorHAnsi" w:hAnsiTheme="minorHAnsi" w:cstheme="minorHAnsi"/>
                <w:szCs w:val="18"/>
              </w:rPr>
              <w:t xml:space="preserve">e Department of Industry, Science, Energy and Resources identifies small to medium </w:t>
            </w:r>
            <w:r w:rsidRPr="009231DB">
              <w:t>businesses</w:t>
            </w:r>
            <w:r w:rsidRPr="00F603E1">
              <w:rPr>
                <w:rFonts w:asciiTheme="minorHAnsi" w:hAnsiTheme="minorHAnsi" w:cstheme="minorHAnsi"/>
                <w:szCs w:val="18"/>
              </w:rPr>
              <w:t xml:space="preserve"> as those businesses</w:t>
            </w:r>
            <w:r>
              <w:rPr>
                <w:rFonts w:asciiTheme="minorHAnsi" w:hAnsiTheme="minorHAnsi" w:cstheme="minorHAnsi"/>
                <w:szCs w:val="18"/>
              </w:rPr>
              <w:t xml:space="preserve"> </w:t>
            </w:r>
            <w:r w:rsidRPr="00F603E1">
              <w:rPr>
                <w:rFonts w:asciiTheme="minorHAnsi" w:hAnsiTheme="minorHAnsi" w:cstheme="minorHAnsi"/>
                <w:szCs w:val="18"/>
              </w:rPr>
              <w:t>who carry on an enterprise in Australia, have less than 200 employees and have an ABN.</w:t>
            </w:r>
          </w:p>
        </w:tc>
      </w:tr>
    </w:tbl>
    <w:p w14:paraId="5393690E" w14:textId="0A1E0518" w:rsidR="009231DB" w:rsidRPr="009231DB" w:rsidRDefault="009231DB" w:rsidP="00A2718A">
      <w:pPr>
        <w:rPr>
          <w:lang w:eastAsia="ja-JP"/>
        </w:rPr>
      </w:pPr>
    </w:p>
    <w:sectPr w:rsidR="009231DB" w:rsidRPr="009231DB" w:rsidSect="00552476">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EEBD" w14:textId="77777777" w:rsidR="003709BA" w:rsidRDefault="003709BA">
      <w:r>
        <w:separator/>
      </w:r>
    </w:p>
    <w:p w14:paraId="141F8F3F" w14:textId="77777777" w:rsidR="003709BA" w:rsidRDefault="003709BA"/>
    <w:p w14:paraId="19C71B69" w14:textId="77777777" w:rsidR="003709BA" w:rsidRDefault="003709BA"/>
  </w:endnote>
  <w:endnote w:type="continuationSeparator" w:id="0">
    <w:p w14:paraId="11A2E3FE" w14:textId="77777777" w:rsidR="003709BA" w:rsidRDefault="003709BA">
      <w:r>
        <w:continuationSeparator/>
      </w:r>
    </w:p>
    <w:p w14:paraId="3111435E" w14:textId="77777777" w:rsidR="003709BA" w:rsidRDefault="003709BA"/>
    <w:p w14:paraId="7E523A8C" w14:textId="77777777" w:rsidR="003709BA" w:rsidRDefault="003709BA"/>
  </w:endnote>
  <w:endnote w:type="continuationNotice" w:id="1">
    <w:p w14:paraId="28F168AC" w14:textId="77777777" w:rsidR="003709BA" w:rsidRDefault="003709BA">
      <w:pPr>
        <w:pStyle w:val="Footer"/>
      </w:pPr>
    </w:p>
    <w:p w14:paraId="504944E2" w14:textId="77777777" w:rsidR="003709BA" w:rsidRDefault="003709BA"/>
    <w:p w14:paraId="25E466FF" w14:textId="77777777" w:rsidR="003709BA" w:rsidRDefault="00370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4FEE5583" w:rsidR="00ED2CC3" w:rsidRPr="00B34F55" w:rsidRDefault="00ED2CC3" w:rsidP="00B34F55">
    <w:pPr>
      <w:pStyle w:val="Footer"/>
    </w:pPr>
    <w:r w:rsidRPr="00B34F55">
      <w:t xml:space="preserve">Department of Agriculture, </w:t>
    </w:r>
    <w:proofErr w:type="gramStart"/>
    <w:r w:rsidRPr="00B34F55">
      <w:t>Water</w:t>
    </w:r>
    <w:proofErr w:type="gramEnd"/>
    <w:r w:rsidRPr="00B34F55">
      <w:t xml:space="preserve"> and the Environment</w:t>
    </w:r>
  </w:p>
  <w:p w14:paraId="041055DB" w14:textId="77777777" w:rsidR="00ED2CC3" w:rsidRDefault="00ED2CC3">
    <w:pPr>
      <w:pStyle w:val="Footer"/>
    </w:pPr>
    <w:r>
      <w:fldChar w:fldCharType="begin"/>
    </w:r>
    <w:r>
      <w:instrText xml:space="preserve"> PAGE   \* MERGEFORMAT </w:instrText>
    </w:r>
    <w:r>
      <w:fldChar w:fldCharType="separate"/>
    </w:r>
    <w:r w:rsidR="00874DE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DA5" w14:textId="7D5A5EAC" w:rsidR="00ED2CC3" w:rsidRDefault="00ED2CC3">
    <w:pPr>
      <w:pStyle w:val="Footer"/>
    </w:pPr>
    <w:r>
      <w:t xml:space="preserve">Department of Agriculture, </w:t>
    </w:r>
    <w:proofErr w:type="gramStart"/>
    <w:r>
      <w:t>Water</w:t>
    </w:r>
    <w:proofErr w:type="gramEnd"/>
    <w:r>
      <w:t xml:space="preserve"> and the Environment</w:t>
    </w:r>
  </w:p>
  <w:p w14:paraId="48B5E446" w14:textId="77777777" w:rsidR="00ED2CC3" w:rsidRDefault="00ED2CC3">
    <w:pPr>
      <w:pStyle w:val="Footer"/>
    </w:pPr>
    <w:r>
      <w:fldChar w:fldCharType="begin"/>
    </w:r>
    <w:r>
      <w:instrText xml:space="preserve"> PAGE   \* MERGEFORMAT </w:instrText>
    </w:r>
    <w:r>
      <w:fldChar w:fldCharType="separate"/>
    </w:r>
    <w:r w:rsidR="00874DE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1005" w14:textId="77777777" w:rsidR="003709BA" w:rsidRDefault="003709BA">
      <w:r>
        <w:separator/>
      </w:r>
    </w:p>
    <w:p w14:paraId="5AFF6C47" w14:textId="77777777" w:rsidR="003709BA" w:rsidRDefault="003709BA"/>
    <w:p w14:paraId="13E9BF2E" w14:textId="77777777" w:rsidR="003709BA" w:rsidRDefault="003709BA"/>
  </w:footnote>
  <w:footnote w:type="continuationSeparator" w:id="0">
    <w:p w14:paraId="109C82FB" w14:textId="77777777" w:rsidR="003709BA" w:rsidRDefault="003709BA">
      <w:r>
        <w:continuationSeparator/>
      </w:r>
    </w:p>
    <w:p w14:paraId="5F599AC4" w14:textId="77777777" w:rsidR="003709BA" w:rsidRDefault="003709BA"/>
    <w:p w14:paraId="0B934B44" w14:textId="77777777" w:rsidR="003709BA" w:rsidRDefault="003709BA"/>
  </w:footnote>
  <w:footnote w:type="continuationNotice" w:id="1">
    <w:p w14:paraId="21A3547F" w14:textId="77777777" w:rsidR="003709BA" w:rsidRDefault="003709BA">
      <w:pPr>
        <w:pStyle w:val="Footer"/>
      </w:pPr>
    </w:p>
    <w:p w14:paraId="11ED6202" w14:textId="77777777" w:rsidR="003709BA" w:rsidRDefault="003709BA"/>
    <w:p w14:paraId="5AD5A058" w14:textId="77777777" w:rsidR="003709BA" w:rsidRDefault="00370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FCD" w14:textId="555ECFE2" w:rsidR="00ED2CC3" w:rsidRPr="00B34F55" w:rsidRDefault="002F215F" w:rsidP="00B34F55">
    <w:pPr>
      <w:pStyle w:val="Header"/>
    </w:pPr>
    <w:r w:rsidRPr="00B34F55">
      <w:t>Recycling Modernisation Fund: Guidelines for Commonwealth co-investment in regional and remote recycling infrastructure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69DDCD7C" w:rsidR="00ED2CC3" w:rsidRDefault="00ED2CC3">
    <w:pPr>
      <w:pStyle w:val="Header"/>
      <w:jc w:val="left"/>
    </w:pPr>
    <w:r>
      <w:rPr>
        <w:noProof/>
        <w:lang w:eastAsia="en-AU"/>
      </w:rPr>
      <w:drawing>
        <wp:inline distT="0" distB="0" distL="0" distR="0" wp14:anchorId="5BBE5CE1" wp14:editId="1FFC0E53">
          <wp:extent cx="2123264" cy="637247"/>
          <wp:effectExtent l="0" t="0" r="0" b="0"/>
          <wp:docPr id="2" name="Picture 2" descr="Australian Government Department of Agriculture, Water and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Water and Enviro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3CE"/>
    <w:multiLevelType w:val="hybridMultilevel"/>
    <w:tmpl w:val="641854A8"/>
    <w:lvl w:ilvl="0" w:tplc="F4006F8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4506307"/>
    <w:multiLevelType w:val="hybridMultilevel"/>
    <w:tmpl w:val="3528B5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CC091A"/>
    <w:multiLevelType w:val="hybridMultilevel"/>
    <w:tmpl w:val="C3040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3131B"/>
    <w:multiLevelType w:val="hybridMultilevel"/>
    <w:tmpl w:val="7004A84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1EF56170"/>
    <w:multiLevelType w:val="hybridMultilevel"/>
    <w:tmpl w:val="A8FC5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B82B51"/>
    <w:multiLevelType w:val="hybridMultilevel"/>
    <w:tmpl w:val="5BE61018"/>
    <w:lvl w:ilvl="0" w:tplc="4E72ECC2">
      <w:start w:val="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E0F73"/>
    <w:multiLevelType w:val="hybridMultilevel"/>
    <w:tmpl w:val="B066EBEA"/>
    <w:lvl w:ilvl="0" w:tplc="0C090019">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D6E11B2"/>
    <w:multiLevelType w:val="singleLevel"/>
    <w:tmpl w:val="0C090015"/>
    <w:lvl w:ilvl="0">
      <w:start w:val="1"/>
      <w:numFmt w:val="upperLetter"/>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8240062"/>
    <w:multiLevelType w:val="hybridMultilevel"/>
    <w:tmpl w:val="CD827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9F69D8"/>
    <w:multiLevelType w:val="hybridMultilevel"/>
    <w:tmpl w:val="E972682A"/>
    <w:lvl w:ilvl="0" w:tplc="40602E4E">
      <w:start w:val="10"/>
      <w:numFmt w:val="bullet"/>
      <w:lvlText w:val="-"/>
      <w:lvlJc w:val="left"/>
      <w:pPr>
        <w:ind w:left="720" w:hanging="360"/>
      </w:pPr>
      <w:rPr>
        <w:rFonts w:ascii="Cambria" w:eastAsiaTheme="minorHAnsi" w:hAnsi="Cambria" w:cstheme="minorHAnsi" w:hint="default"/>
        <w:color w:val="2021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12A3D"/>
    <w:multiLevelType w:val="hybridMultilevel"/>
    <w:tmpl w:val="1E10904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FE03C9D"/>
    <w:multiLevelType w:val="hybridMultilevel"/>
    <w:tmpl w:val="AC06EF74"/>
    <w:lvl w:ilvl="0" w:tplc="34F62EA4">
      <w:numFmt w:val="bullet"/>
      <w:lvlText w:val="-"/>
      <w:lvlJc w:val="left"/>
      <w:pPr>
        <w:ind w:left="720" w:hanging="360"/>
      </w:pPr>
      <w:rPr>
        <w:rFonts w:ascii="Cambria" w:eastAsia="Times New Roman"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61ECE"/>
    <w:multiLevelType w:val="hybridMultilevel"/>
    <w:tmpl w:val="052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E2E4A"/>
    <w:multiLevelType w:val="hybridMultilevel"/>
    <w:tmpl w:val="B7086130"/>
    <w:lvl w:ilvl="0" w:tplc="47AAB2E2">
      <w:start w:val="1"/>
      <w:numFmt w:val="bullet"/>
      <w:pStyle w:val="BoxTextBullet"/>
      <w:lvlText w:val=""/>
      <w:lvlJc w:val="left"/>
      <w:pPr>
        <w:ind w:left="720" w:hanging="360"/>
      </w:pPr>
      <w:rPr>
        <w:rFonts w:ascii="Symbol" w:hAnsi="Symbol" w:hint="default"/>
      </w:rPr>
    </w:lvl>
    <w:lvl w:ilvl="1" w:tplc="FD544208" w:tentative="1">
      <w:start w:val="1"/>
      <w:numFmt w:val="bullet"/>
      <w:lvlText w:val="o"/>
      <w:lvlJc w:val="left"/>
      <w:pPr>
        <w:ind w:left="1440" w:hanging="360"/>
      </w:pPr>
      <w:rPr>
        <w:rFonts w:ascii="Courier New" w:hAnsi="Courier New" w:cs="Courier New" w:hint="default"/>
      </w:rPr>
    </w:lvl>
    <w:lvl w:ilvl="2" w:tplc="9F60CA8A" w:tentative="1">
      <w:start w:val="1"/>
      <w:numFmt w:val="bullet"/>
      <w:lvlText w:val=""/>
      <w:lvlJc w:val="left"/>
      <w:pPr>
        <w:ind w:left="2160" w:hanging="360"/>
      </w:pPr>
      <w:rPr>
        <w:rFonts w:ascii="Wingdings" w:hAnsi="Wingdings" w:hint="default"/>
      </w:rPr>
    </w:lvl>
    <w:lvl w:ilvl="3" w:tplc="AE8CE220" w:tentative="1">
      <w:start w:val="1"/>
      <w:numFmt w:val="bullet"/>
      <w:lvlText w:val=""/>
      <w:lvlJc w:val="left"/>
      <w:pPr>
        <w:ind w:left="2880" w:hanging="360"/>
      </w:pPr>
      <w:rPr>
        <w:rFonts w:ascii="Symbol" w:hAnsi="Symbol" w:hint="default"/>
      </w:rPr>
    </w:lvl>
    <w:lvl w:ilvl="4" w:tplc="70526ADC" w:tentative="1">
      <w:start w:val="1"/>
      <w:numFmt w:val="bullet"/>
      <w:lvlText w:val="o"/>
      <w:lvlJc w:val="left"/>
      <w:pPr>
        <w:ind w:left="3600" w:hanging="360"/>
      </w:pPr>
      <w:rPr>
        <w:rFonts w:ascii="Courier New" w:hAnsi="Courier New" w:cs="Courier New" w:hint="default"/>
      </w:rPr>
    </w:lvl>
    <w:lvl w:ilvl="5" w:tplc="E66EB8FA" w:tentative="1">
      <w:start w:val="1"/>
      <w:numFmt w:val="bullet"/>
      <w:lvlText w:val=""/>
      <w:lvlJc w:val="left"/>
      <w:pPr>
        <w:ind w:left="4320" w:hanging="360"/>
      </w:pPr>
      <w:rPr>
        <w:rFonts w:ascii="Wingdings" w:hAnsi="Wingdings" w:hint="default"/>
      </w:rPr>
    </w:lvl>
    <w:lvl w:ilvl="6" w:tplc="064CD8D6" w:tentative="1">
      <w:start w:val="1"/>
      <w:numFmt w:val="bullet"/>
      <w:lvlText w:val=""/>
      <w:lvlJc w:val="left"/>
      <w:pPr>
        <w:ind w:left="5040" w:hanging="360"/>
      </w:pPr>
      <w:rPr>
        <w:rFonts w:ascii="Symbol" w:hAnsi="Symbol" w:hint="default"/>
      </w:rPr>
    </w:lvl>
    <w:lvl w:ilvl="7" w:tplc="0C30E15A" w:tentative="1">
      <w:start w:val="1"/>
      <w:numFmt w:val="bullet"/>
      <w:lvlText w:val="o"/>
      <w:lvlJc w:val="left"/>
      <w:pPr>
        <w:ind w:left="5760" w:hanging="360"/>
      </w:pPr>
      <w:rPr>
        <w:rFonts w:ascii="Courier New" w:hAnsi="Courier New" w:cs="Courier New" w:hint="default"/>
      </w:rPr>
    </w:lvl>
    <w:lvl w:ilvl="8" w:tplc="EAFA30DA" w:tentative="1">
      <w:start w:val="1"/>
      <w:numFmt w:val="bullet"/>
      <w:lvlText w:val=""/>
      <w:lvlJc w:val="left"/>
      <w:pPr>
        <w:ind w:left="6480" w:hanging="360"/>
      </w:pPr>
      <w:rPr>
        <w:rFonts w:ascii="Wingdings" w:hAnsi="Wingdings" w:hint="default"/>
      </w:rPr>
    </w:lvl>
  </w:abstractNum>
  <w:abstractNum w:abstractNumId="1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4E769B"/>
    <w:multiLevelType w:val="hybridMultilevel"/>
    <w:tmpl w:val="E0583A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2FC5F9B"/>
    <w:multiLevelType w:val="hybridMultilevel"/>
    <w:tmpl w:val="FE7C9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816CD4"/>
    <w:multiLevelType w:val="hybridMultilevel"/>
    <w:tmpl w:val="A072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1E7339E"/>
    <w:multiLevelType w:val="hybridMultilevel"/>
    <w:tmpl w:val="BF7EFE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30C1250"/>
    <w:multiLevelType w:val="hybridMultilevel"/>
    <w:tmpl w:val="97424C6A"/>
    <w:lvl w:ilvl="0" w:tplc="1C00B3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53C7D60"/>
    <w:multiLevelType w:val="hybridMultilevel"/>
    <w:tmpl w:val="AB6E1AE4"/>
    <w:lvl w:ilvl="0" w:tplc="0C09000F">
      <w:start w:val="1"/>
      <w:numFmt w:val="decimal"/>
      <w:lvlText w:val="%1."/>
      <w:lvlJc w:val="left"/>
      <w:pPr>
        <w:ind w:left="720" w:hanging="360"/>
      </w:pPr>
    </w:lvl>
    <w:lvl w:ilvl="1" w:tplc="1F94DF14">
      <w:numFmt w:val="bullet"/>
      <w:lvlText w:val=""/>
      <w:lvlJc w:val="left"/>
      <w:pPr>
        <w:ind w:left="1440" w:hanging="360"/>
      </w:pPr>
      <w:rPr>
        <w:rFonts w:ascii="Symbol" w:eastAsiaTheme="minorHAnsi" w:hAnsi="Symbol"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B07FAE"/>
    <w:multiLevelType w:val="hybridMultilevel"/>
    <w:tmpl w:val="F880C8CC"/>
    <w:lvl w:ilvl="0" w:tplc="B978B032">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E01384"/>
    <w:multiLevelType w:val="hybridMultilevel"/>
    <w:tmpl w:val="D09224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CD7692"/>
    <w:multiLevelType w:val="hybridMultilevel"/>
    <w:tmpl w:val="3BEC2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74461B"/>
    <w:multiLevelType w:val="hybridMultilevel"/>
    <w:tmpl w:val="7C64A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27429"/>
    <w:multiLevelType w:val="hybridMultilevel"/>
    <w:tmpl w:val="29948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2526B1"/>
    <w:multiLevelType w:val="hybridMultilevel"/>
    <w:tmpl w:val="AB6E1AE4"/>
    <w:lvl w:ilvl="0" w:tplc="0C09000F">
      <w:start w:val="1"/>
      <w:numFmt w:val="decimal"/>
      <w:lvlText w:val="%1."/>
      <w:lvlJc w:val="left"/>
      <w:pPr>
        <w:ind w:left="720" w:hanging="360"/>
      </w:pPr>
    </w:lvl>
    <w:lvl w:ilvl="1" w:tplc="1F94DF14">
      <w:numFmt w:val="bullet"/>
      <w:lvlText w:val=""/>
      <w:lvlJc w:val="left"/>
      <w:pPr>
        <w:ind w:left="1440" w:hanging="360"/>
      </w:pPr>
      <w:rPr>
        <w:rFonts w:ascii="Symbol" w:eastAsiaTheme="minorHAnsi" w:hAnsi="Symbol"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5"/>
  </w:num>
  <w:num w:numId="3">
    <w:abstractNumId w:val="23"/>
  </w:num>
  <w:num w:numId="4">
    <w:abstractNumId w:val="24"/>
  </w:num>
  <w:num w:numId="5">
    <w:abstractNumId w:val="8"/>
  </w:num>
  <w:num w:numId="6">
    <w:abstractNumId w:val="11"/>
  </w:num>
  <w:num w:numId="7">
    <w:abstractNumId w:val="22"/>
  </w:num>
  <w:num w:numId="8">
    <w:abstractNumId w:val="7"/>
  </w:num>
  <w:num w:numId="9">
    <w:abstractNumId w:val="18"/>
  </w:num>
  <w:num w:numId="10">
    <w:abstractNumId w:val="1"/>
  </w:num>
  <w:num w:numId="11">
    <w:abstractNumId w:val="12"/>
  </w:num>
  <w:num w:numId="12">
    <w:abstractNumId w:val="25"/>
  </w:num>
  <w:num w:numId="13">
    <w:abstractNumId w:val="32"/>
  </w:num>
  <w:num w:numId="14">
    <w:abstractNumId w:val="20"/>
  </w:num>
  <w:num w:numId="15">
    <w:abstractNumId w:val="29"/>
  </w:num>
  <w:num w:numId="16">
    <w:abstractNumId w:val="2"/>
  </w:num>
  <w:num w:numId="17">
    <w:abstractNumId w:val="26"/>
  </w:num>
  <w:num w:numId="18">
    <w:abstractNumId w:val="21"/>
  </w:num>
  <w:num w:numId="19">
    <w:abstractNumId w:val="31"/>
  </w:num>
  <w:num w:numId="20">
    <w:abstractNumId w:val="25"/>
  </w:num>
  <w:num w:numId="21">
    <w:abstractNumId w:val="12"/>
  </w:num>
  <w:num w:numId="22">
    <w:abstractNumId w:val="9"/>
  </w:num>
  <w:num w:numId="23">
    <w:abstractNumId w:val="13"/>
  </w:num>
  <w:num w:numId="24">
    <w:abstractNumId w:val="28"/>
  </w:num>
  <w:num w:numId="25">
    <w:abstractNumId w:val="6"/>
  </w:num>
  <w:num w:numId="26">
    <w:abstractNumId w:val="15"/>
  </w:num>
  <w:num w:numId="27">
    <w:abstractNumId w:val="16"/>
  </w:num>
  <w:num w:numId="28">
    <w:abstractNumId w:val="30"/>
  </w:num>
  <w:num w:numId="29">
    <w:abstractNumId w:val="3"/>
  </w:num>
  <w:num w:numId="30">
    <w:abstractNumId w:val="0"/>
  </w:num>
  <w:num w:numId="31">
    <w:abstractNumId w:val="27"/>
  </w:num>
  <w:num w:numId="32">
    <w:abstractNumId w:val="4"/>
  </w:num>
  <w:num w:numId="33">
    <w:abstractNumId w:val="14"/>
  </w:num>
  <w:num w:numId="34">
    <w:abstractNumId w:val="19"/>
  </w:num>
  <w:num w:numId="35">
    <w:abstractNumId w:val="33"/>
  </w:num>
  <w:num w:numId="3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EF"/>
    <w:rsid w:val="0001064B"/>
    <w:rsid w:val="00010722"/>
    <w:rsid w:val="0002086C"/>
    <w:rsid w:val="0003239D"/>
    <w:rsid w:val="00032760"/>
    <w:rsid w:val="00050F63"/>
    <w:rsid w:val="0005731D"/>
    <w:rsid w:val="000579E4"/>
    <w:rsid w:val="00067FAE"/>
    <w:rsid w:val="00071CCD"/>
    <w:rsid w:val="000757EF"/>
    <w:rsid w:val="00076CF2"/>
    <w:rsid w:val="00076F65"/>
    <w:rsid w:val="00077CAC"/>
    <w:rsid w:val="0008146D"/>
    <w:rsid w:val="00082DFD"/>
    <w:rsid w:val="000916C3"/>
    <w:rsid w:val="00092F6E"/>
    <w:rsid w:val="000A7C4C"/>
    <w:rsid w:val="000B1B87"/>
    <w:rsid w:val="000B45A6"/>
    <w:rsid w:val="000C24F6"/>
    <w:rsid w:val="000C30D3"/>
    <w:rsid w:val="000D374F"/>
    <w:rsid w:val="000E4D3A"/>
    <w:rsid w:val="000F1713"/>
    <w:rsid w:val="000F3A48"/>
    <w:rsid w:val="0010590D"/>
    <w:rsid w:val="00110191"/>
    <w:rsid w:val="00130F92"/>
    <w:rsid w:val="00131471"/>
    <w:rsid w:val="00142846"/>
    <w:rsid w:val="00142F36"/>
    <w:rsid w:val="001446B6"/>
    <w:rsid w:val="00145B65"/>
    <w:rsid w:val="00154FDC"/>
    <w:rsid w:val="00156A9A"/>
    <w:rsid w:val="0016351D"/>
    <w:rsid w:val="00164B7E"/>
    <w:rsid w:val="00171735"/>
    <w:rsid w:val="0018427F"/>
    <w:rsid w:val="001901C4"/>
    <w:rsid w:val="00193C74"/>
    <w:rsid w:val="001A1F8A"/>
    <w:rsid w:val="001B1293"/>
    <w:rsid w:val="001B17DC"/>
    <w:rsid w:val="001B1F01"/>
    <w:rsid w:val="001B514D"/>
    <w:rsid w:val="001D367E"/>
    <w:rsid w:val="001D5386"/>
    <w:rsid w:val="001D5D83"/>
    <w:rsid w:val="001E423A"/>
    <w:rsid w:val="001F68A9"/>
    <w:rsid w:val="00201A74"/>
    <w:rsid w:val="00210EC6"/>
    <w:rsid w:val="002160B2"/>
    <w:rsid w:val="00222CCE"/>
    <w:rsid w:val="00227DF5"/>
    <w:rsid w:val="0024063F"/>
    <w:rsid w:val="00240E8A"/>
    <w:rsid w:val="002432C5"/>
    <w:rsid w:val="00244274"/>
    <w:rsid w:val="0025120A"/>
    <w:rsid w:val="0025123E"/>
    <w:rsid w:val="00251BFC"/>
    <w:rsid w:val="0025575F"/>
    <w:rsid w:val="00260094"/>
    <w:rsid w:val="00261E85"/>
    <w:rsid w:val="00267381"/>
    <w:rsid w:val="00272D7D"/>
    <w:rsid w:val="00281442"/>
    <w:rsid w:val="002866BF"/>
    <w:rsid w:val="002959A4"/>
    <w:rsid w:val="0029774A"/>
    <w:rsid w:val="002D5D1B"/>
    <w:rsid w:val="002D67FF"/>
    <w:rsid w:val="002D6D59"/>
    <w:rsid w:val="002E1DE8"/>
    <w:rsid w:val="002E5711"/>
    <w:rsid w:val="002E7780"/>
    <w:rsid w:val="002F1233"/>
    <w:rsid w:val="002F215F"/>
    <w:rsid w:val="002F494E"/>
    <w:rsid w:val="00302123"/>
    <w:rsid w:val="00312DFB"/>
    <w:rsid w:val="003155D1"/>
    <w:rsid w:val="003174E6"/>
    <w:rsid w:val="00327A08"/>
    <w:rsid w:val="00336027"/>
    <w:rsid w:val="00342030"/>
    <w:rsid w:val="003443DB"/>
    <w:rsid w:val="00346650"/>
    <w:rsid w:val="003548A1"/>
    <w:rsid w:val="003709BA"/>
    <w:rsid w:val="003745CA"/>
    <w:rsid w:val="003813F3"/>
    <w:rsid w:val="0038333E"/>
    <w:rsid w:val="00392446"/>
    <w:rsid w:val="003A35AA"/>
    <w:rsid w:val="003A3D29"/>
    <w:rsid w:val="003A3DDD"/>
    <w:rsid w:val="003A518F"/>
    <w:rsid w:val="003B509B"/>
    <w:rsid w:val="003C19AF"/>
    <w:rsid w:val="003C221C"/>
    <w:rsid w:val="003C5A28"/>
    <w:rsid w:val="003D3805"/>
    <w:rsid w:val="003D68A8"/>
    <w:rsid w:val="003D71A9"/>
    <w:rsid w:val="003F1002"/>
    <w:rsid w:val="003F5DF9"/>
    <w:rsid w:val="00403714"/>
    <w:rsid w:val="00411239"/>
    <w:rsid w:val="004168EC"/>
    <w:rsid w:val="00420AEB"/>
    <w:rsid w:val="00422127"/>
    <w:rsid w:val="0042491F"/>
    <w:rsid w:val="00424C66"/>
    <w:rsid w:val="0042674D"/>
    <w:rsid w:val="004278B0"/>
    <w:rsid w:val="0043328F"/>
    <w:rsid w:val="00435F7B"/>
    <w:rsid w:val="00436F57"/>
    <w:rsid w:val="00442F34"/>
    <w:rsid w:val="004439E3"/>
    <w:rsid w:val="00445653"/>
    <w:rsid w:val="00463C57"/>
    <w:rsid w:val="00465C15"/>
    <w:rsid w:val="00467267"/>
    <w:rsid w:val="00473DE5"/>
    <w:rsid w:val="00476E4F"/>
    <w:rsid w:val="0048100E"/>
    <w:rsid w:val="004830DE"/>
    <w:rsid w:val="00483D76"/>
    <w:rsid w:val="00484667"/>
    <w:rsid w:val="00486C20"/>
    <w:rsid w:val="00496DAE"/>
    <w:rsid w:val="004A165F"/>
    <w:rsid w:val="004B0DED"/>
    <w:rsid w:val="004B144D"/>
    <w:rsid w:val="004B3035"/>
    <w:rsid w:val="004B63BA"/>
    <w:rsid w:val="004B7F44"/>
    <w:rsid w:val="004D30AC"/>
    <w:rsid w:val="004D5003"/>
    <w:rsid w:val="004D63ED"/>
    <w:rsid w:val="004E63CA"/>
    <w:rsid w:val="004F4ED7"/>
    <w:rsid w:val="00500846"/>
    <w:rsid w:val="005008A8"/>
    <w:rsid w:val="00512E7D"/>
    <w:rsid w:val="005157E5"/>
    <w:rsid w:val="00517FF3"/>
    <w:rsid w:val="00523605"/>
    <w:rsid w:val="00527334"/>
    <w:rsid w:val="00532F2F"/>
    <w:rsid w:val="00547CCE"/>
    <w:rsid w:val="00552476"/>
    <w:rsid w:val="0056548F"/>
    <w:rsid w:val="005834A2"/>
    <w:rsid w:val="00583994"/>
    <w:rsid w:val="00593EA1"/>
    <w:rsid w:val="00596809"/>
    <w:rsid w:val="005B0187"/>
    <w:rsid w:val="005B75A4"/>
    <w:rsid w:val="005D1B18"/>
    <w:rsid w:val="005D4272"/>
    <w:rsid w:val="005E24A6"/>
    <w:rsid w:val="005E5373"/>
    <w:rsid w:val="005E64FA"/>
    <w:rsid w:val="005F0E4D"/>
    <w:rsid w:val="005F392D"/>
    <w:rsid w:val="00603E04"/>
    <w:rsid w:val="00606362"/>
    <w:rsid w:val="00606D0F"/>
    <w:rsid w:val="00616C45"/>
    <w:rsid w:val="00632826"/>
    <w:rsid w:val="0063460F"/>
    <w:rsid w:val="00635AEF"/>
    <w:rsid w:val="006374E4"/>
    <w:rsid w:val="00640C67"/>
    <w:rsid w:val="0064374D"/>
    <w:rsid w:val="00643F4E"/>
    <w:rsid w:val="0064687A"/>
    <w:rsid w:val="0065075A"/>
    <w:rsid w:val="00652F54"/>
    <w:rsid w:val="00655143"/>
    <w:rsid w:val="00656B4E"/>
    <w:rsid w:val="0067667C"/>
    <w:rsid w:val="006770E8"/>
    <w:rsid w:val="00677724"/>
    <w:rsid w:val="00681C31"/>
    <w:rsid w:val="00682A62"/>
    <w:rsid w:val="006835A0"/>
    <w:rsid w:val="00695E16"/>
    <w:rsid w:val="006A51C0"/>
    <w:rsid w:val="006A66C2"/>
    <w:rsid w:val="006B2849"/>
    <w:rsid w:val="006B78A9"/>
    <w:rsid w:val="006C758B"/>
    <w:rsid w:val="006D0A82"/>
    <w:rsid w:val="006E1758"/>
    <w:rsid w:val="006E2F5C"/>
    <w:rsid w:val="006E439A"/>
    <w:rsid w:val="006F1704"/>
    <w:rsid w:val="00713B5F"/>
    <w:rsid w:val="00723551"/>
    <w:rsid w:val="00725CB9"/>
    <w:rsid w:val="007405CB"/>
    <w:rsid w:val="00745DAF"/>
    <w:rsid w:val="00745F07"/>
    <w:rsid w:val="00746B19"/>
    <w:rsid w:val="00756C32"/>
    <w:rsid w:val="00763E88"/>
    <w:rsid w:val="00763EB5"/>
    <w:rsid w:val="007672D3"/>
    <w:rsid w:val="00792703"/>
    <w:rsid w:val="007A4764"/>
    <w:rsid w:val="007A7CC9"/>
    <w:rsid w:val="007B0A86"/>
    <w:rsid w:val="007B15FC"/>
    <w:rsid w:val="007C54E6"/>
    <w:rsid w:val="007C5705"/>
    <w:rsid w:val="007C5B94"/>
    <w:rsid w:val="007D2989"/>
    <w:rsid w:val="007D7CCE"/>
    <w:rsid w:val="00800E98"/>
    <w:rsid w:val="00814920"/>
    <w:rsid w:val="00821B88"/>
    <w:rsid w:val="0082249A"/>
    <w:rsid w:val="008248C2"/>
    <w:rsid w:val="00833933"/>
    <w:rsid w:val="00842AED"/>
    <w:rsid w:val="00844758"/>
    <w:rsid w:val="00847095"/>
    <w:rsid w:val="00855AE6"/>
    <w:rsid w:val="00856493"/>
    <w:rsid w:val="0086276E"/>
    <w:rsid w:val="008636C3"/>
    <w:rsid w:val="008665BA"/>
    <w:rsid w:val="00874DE6"/>
    <w:rsid w:val="00875B2A"/>
    <w:rsid w:val="00884A9C"/>
    <w:rsid w:val="00890BFF"/>
    <w:rsid w:val="008919E6"/>
    <w:rsid w:val="008B317E"/>
    <w:rsid w:val="008C0342"/>
    <w:rsid w:val="008C0BEE"/>
    <w:rsid w:val="008C6343"/>
    <w:rsid w:val="008E439A"/>
    <w:rsid w:val="008F5862"/>
    <w:rsid w:val="008F5FA0"/>
    <w:rsid w:val="00900CFD"/>
    <w:rsid w:val="0091784A"/>
    <w:rsid w:val="009231DB"/>
    <w:rsid w:val="009251EF"/>
    <w:rsid w:val="00931687"/>
    <w:rsid w:val="00932368"/>
    <w:rsid w:val="00932CE7"/>
    <w:rsid w:val="0093523C"/>
    <w:rsid w:val="0094005A"/>
    <w:rsid w:val="0094489F"/>
    <w:rsid w:val="00961B05"/>
    <w:rsid w:val="00963C19"/>
    <w:rsid w:val="009704D6"/>
    <w:rsid w:val="00970E0B"/>
    <w:rsid w:val="00970FC6"/>
    <w:rsid w:val="00973B17"/>
    <w:rsid w:val="0098149C"/>
    <w:rsid w:val="00982F3F"/>
    <w:rsid w:val="00984201"/>
    <w:rsid w:val="00985557"/>
    <w:rsid w:val="00985972"/>
    <w:rsid w:val="00994C90"/>
    <w:rsid w:val="009A0EED"/>
    <w:rsid w:val="009A4BB6"/>
    <w:rsid w:val="009A6671"/>
    <w:rsid w:val="009B037C"/>
    <w:rsid w:val="009B4F84"/>
    <w:rsid w:val="009B582B"/>
    <w:rsid w:val="009C20FD"/>
    <w:rsid w:val="009C78D5"/>
    <w:rsid w:val="009D6B25"/>
    <w:rsid w:val="009D7706"/>
    <w:rsid w:val="009E2058"/>
    <w:rsid w:val="009E4C03"/>
    <w:rsid w:val="009E6648"/>
    <w:rsid w:val="009E75B0"/>
    <w:rsid w:val="009F5822"/>
    <w:rsid w:val="009F5F09"/>
    <w:rsid w:val="00A17DB8"/>
    <w:rsid w:val="00A20C3F"/>
    <w:rsid w:val="00A211B7"/>
    <w:rsid w:val="00A21E80"/>
    <w:rsid w:val="00A23B0F"/>
    <w:rsid w:val="00A2718A"/>
    <w:rsid w:val="00A31664"/>
    <w:rsid w:val="00A329DE"/>
    <w:rsid w:val="00A34010"/>
    <w:rsid w:val="00A44C93"/>
    <w:rsid w:val="00A56A7B"/>
    <w:rsid w:val="00A60C36"/>
    <w:rsid w:val="00A6253E"/>
    <w:rsid w:val="00A70E08"/>
    <w:rsid w:val="00A72555"/>
    <w:rsid w:val="00A727AF"/>
    <w:rsid w:val="00A73A8C"/>
    <w:rsid w:val="00A75DF6"/>
    <w:rsid w:val="00A83F5A"/>
    <w:rsid w:val="00A96376"/>
    <w:rsid w:val="00A96AC9"/>
    <w:rsid w:val="00A96F91"/>
    <w:rsid w:val="00A97C8F"/>
    <w:rsid w:val="00AA1AE6"/>
    <w:rsid w:val="00AA70E3"/>
    <w:rsid w:val="00AB0FBE"/>
    <w:rsid w:val="00AB21EA"/>
    <w:rsid w:val="00AB5B83"/>
    <w:rsid w:val="00AC344E"/>
    <w:rsid w:val="00AC422E"/>
    <w:rsid w:val="00AC74EA"/>
    <w:rsid w:val="00AD5E06"/>
    <w:rsid w:val="00AD6FCD"/>
    <w:rsid w:val="00AE03A2"/>
    <w:rsid w:val="00AE32F3"/>
    <w:rsid w:val="00AE3E40"/>
    <w:rsid w:val="00AE6F73"/>
    <w:rsid w:val="00AF5211"/>
    <w:rsid w:val="00B01FB8"/>
    <w:rsid w:val="00B0294D"/>
    <w:rsid w:val="00B02F2E"/>
    <w:rsid w:val="00B106BF"/>
    <w:rsid w:val="00B20776"/>
    <w:rsid w:val="00B2241F"/>
    <w:rsid w:val="00B23996"/>
    <w:rsid w:val="00B324A5"/>
    <w:rsid w:val="00B331F3"/>
    <w:rsid w:val="00B34F55"/>
    <w:rsid w:val="00B47125"/>
    <w:rsid w:val="00B5314F"/>
    <w:rsid w:val="00B55EB9"/>
    <w:rsid w:val="00B72D3D"/>
    <w:rsid w:val="00B72D54"/>
    <w:rsid w:val="00B776FD"/>
    <w:rsid w:val="00B85A04"/>
    <w:rsid w:val="00BB4491"/>
    <w:rsid w:val="00BB5566"/>
    <w:rsid w:val="00BC0A2F"/>
    <w:rsid w:val="00BC53A7"/>
    <w:rsid w:val="00BC54DA"/>
    <w:rsid w:val="00BC5976"/>
    <w:rsid w:val="00BC6C71"/>
    <w:rsid w:val="00BD217D"/>
    <w:rsid w:val="00BD46C2"/>
    <w:rsid w:val="00BD4761"/>
    <w:rsid w:val="00BD4F42"/>
    <w:rsid w:val="00BE4C9B"/>
    <w:rsid w:val="00BE4CC5"/>
    <w:rsid w:val="00BE5423"/>
    <w:rsid w:val="00BF5BE6"/>
    <w:rsid w:val="00BF760A"/>
    <w:rsid w:val="00C00095"/>
    <w:rsid w:val="00C03030"/>
    <w:rsid w:val="00C032B9"/>
    <w:rsid w:val="00C14443"/>
    <w:rsid w:val="00C15806"/>
    <w:rsid w:val="00C161E2"/>
    <w:rsid w:val="00C332FE"/>
    <w:rsid w:val="00C44435"/>
    <w:rsid w:val="00C452F2"/>
    <w:rsid w:val="00C477F0"/>
    <w:rsid w:val="00C4787D"/>
    <w:rsid w:val="00C54A44"/>
    <w:rsid w:val="00C563A3"/>
    <w:rsid w:val="00C70D0D"/>
    <w:rsid w:val="00C81D2C"/>
    <w:rsid w:val="00C85685"/>
    <w:rsid w:val="00C90931"/>
    <w:rsid w:val="00C9595D"/>
    <w:rsid w:val="00C95B0C"/>
    <w:rsid w:val="00C960D9"/>
    <w:rsid w:val="00CA76F0"/>
    <w:rsid w:val="00CB1139"/>
    <w:rsid w:val="00CB5010"/>
    <w:rsid w:val="00CD6EC2"/>
    <w:rsid w:val="00CE4480"/>
    <w:rsid w:val="00D0513B"/>
    <w:rsid w:val="00D06356"/>
    <w:rsid w:val="00D166E2"/>
    <w:rsid w:val="00D21E4B"/>
    <w:rsid w:val="00D228BF"/>
    <w:rsid w:val="00D334B9"/>
    <w:rsid w:val="00D33D45"/>
    <w:rsid w:val="00D37FBC"/>
    <w:rsid w:val="00D4257E"/>
    <w:rsid w:val="00D45274"/>
    <w:rsid w:val="00D45E0E"/>
    <w:rsid w:val="00D5132B"/>
    <w:rsid w:val="00D51789"/>
    <w:rsid w:val="00D52980"/>
    <w:rsid w:val="00D64FBC"/>
    <w:rsid w:val="00D666DC"/>
    <w:rsid w:val="00D77431"/>
    <w:rsid w:val="00D83AFA"/>
    <w:rsid w:val="00D874FA"/>
    <w:rsid w:val="00D87C07"/>
    <w:rsid w:val="00DA08A7"/>
    <w:rsid w:val="00DB0A09"/>
    <w:rsid w:val="00DB68DE"/>
    <w:rsid w:val="00DC0379"/>
    <w:rsid w:val="00DC1824"/>
    <w:rsid w:val="00DC357B"/>
    <w:rsid w:val="00DE179B"/>
    <w:rsid w:val="00DF0160"/>
    <w:rsid w:val="00DF1377"/>
    <w:rsid w:val="00DF7EE0"/>
    <w:rsid w:val="00E04232"/>
    <w:rsid w:val="00E04371"/>
    <w:rsid w:val="00E0738A"/>
    <w:rsid w:val="00E130DA"/>
    <w:rsid w:val="00E139FA"/>
    <w:rsid w:val="00E13FC2"/>
    <w:rsid w:val="00E22168"/>
    <w:rsid w:val="00E2268F"/>
    <w:rsid w:val="00E24D76"/>
    <w:rsid w:val="00E26C87"/>
    <w:rsid w:val="00E31642"/>
    <w:rsid w:val="00E35854"/>
    <w:rsid w:val="00E362EF"/>
    <w:rsid w:val="00E4415A"/>
    <w:rsid w:val="00E44F78"/>
    <w:rsid w:val="00E50223"/>
    <w:rsid w:val="00E5451C"/>
    <w:rsid w:val="00E5595E"/>
    <w:rsid w:val="00E577C7"/>
    <w:rsid w:val="00E647E2"/>
    <w:rsid w:val="00E6488F"/>
    <w:rsid w:val="00E65088"/>
    <w:rsid w:val="00E6617E"/>
    <w:rsid w:val="00E676B4"/>
    <w:rsid w:val="00E701E2"/>
    <w:rsid w:val="00E7227D"/>
    <w:rsid w:val="00E77334"/>
    <w:rsid w:val="00E92705"/>
    <w:rsid w:val="00EB07BE"/>
    <w:rsid w:val="00EB234D"/>
    <w:rsid w:val="00EC16A3"/>
    <w:rsid w:val="00EC7A4D"/>
    <w:rsid w:val="00ED2CC3"/>
    <w:rsid w:val="00ED5816"/>
    <w:rsid w:val="00ED5A6B"/>
    <w:rsid w:val="00EE147C"/>
    <w:rsid w:val="00EE4A2A"/>
    <w:rsid w:val="00EF53CC"/>
    <w:rsid w:val="00EF730D"/>
    <w:rsid w:val="00EF7F3B"/>
    <w:rsid w:val="00F035E8"/>
    <w:rsid w:val="00F03858"/>
    <w:rsid w:val="00F07F10"/>
    <w:rsid w:val="00F153B8"/>
    <w:rsid w:val="00F17554"/>
    <w:rsid w:val="00F23BA1"/>
    <w:rsid w:val="00F24231"/>
    <w:rsid w:val="00F603E1"/>
    <w:rsid w:val="00F6145E"/>
    <w:rsid w:val="00F6460E"/>
    <w:rsid w:val="00F646D2"/>
    <w:rsid w:val="00F64706"/>
    <w:rsid w:val="00F81A28"/>
    <w:rsid w:val="00F911A2"/>
    <w:rsid w:val="00F9266C"/>
    <w:rsid w:val="00F950E8"/>
    <w:rsid w:val="00FC06CA"/>
    <w:rsid w:val="00FC1794"/>
    <w:rsid w:val="00FC68A9"/>
    <w:rsid w:val="00FE4BD7"/>
    <w:rsid w:val="00FE5D7C"/>
    <w:rsid w:val="00FF182D"/>
    <w:rsid w:val="00FF3B3A"/>
    <w:rsid w:val="00FF3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2E972"/>
  <w15:docId w15:val="{7A87FA98-7C7D-4D3F-9193-7D7DCD47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spacing w:after="60" w:line="240" w:lineRule="auto"/>
      <w:ind w:left="720" w:hanging="72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F6460E"/>
    <w:pPr>
      <w:keepNext/>
      <w:keepLines/>
      <w:spacing w:before="120" w:after="20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8F5862"/>
    <w:pPr>
      <w:keepNext/>
      <w:ind w:left="720" w:hanging="72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F6460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8F586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customStyle="1" w:styleId="UnresolvedMention1">
    <w:name w:val="Unresolved Mention1"/>
    <w:basedOn w:val="DefaultParagraphFont"/>
    <w:uiPriority w:val="99"/>
    <w:semiHidden/>
    <w:unhideWhenUsed/>
    <w:rsid w:val="00583994"/>
    <w:rPr>
      <w:color w:val="605E5C"/>
      <w:shd w:val="clear" w:color="auto" w:fill="E1DFDD"/>
    </w:rPr>
  </w:style>
  <w:style w:type="paragraph" w:customStyle="1" w:styleId="Heading3bold">
    <w:name w:val="Heading 3 bold"/>
    <w:basedOn w:val="Normal"/>
    <w:qFormat/>
    <w:rsid w:val="00583994"/>
    <w:pPr>
      <w:tabs>
        <w:tab w:val="left" w:pos="-76"/>
      </w:tabs>
      <w:spacing w:before="120" w:after="120"/>
      <w:ind w:hanging="76"/>
    </w:pPr>
    <w:rPr>
      <w:rFonts w:ascii="Calibri" w:eastAsia="Calibri" w:hAnsi="Calibri" w:cs="Times New Roman"/>
      <w:b/>
    </w:rPr>
  </w:style>
  <w:style w:type="paragraph" w:customStyle="1" w:styleId="Underline">
    <w:name w:val="Underline"/>
    <w:basedOn w:val="Heading4"/>
    <w:link w:val="UnderlineChar"/>
    <w:qFormat/>
    <w:rsid w:val="007B0A86"/>
    <w:pPr>
      <w:spacing w:before="120" w:after="60" w:line="276" w:lineRule="auto"/>
      <w:ind w:left="0" w:firstLine="0"/>
    </w:pPr>
    <w:rPr>
      <w:b w:val="0"/>
      <w:sz w:val="22"/>
      <w:szCs w:val="28"/>
      <w:u w:val="single"/>
    </w:rPr>
  </w:style>
  <w:style w:type="character" w:customStyle="1" w:styleId="UnderlineChar">
    <w:name w:val="Underline Char"/>
    <w:basedOn w:val="Heading4Char"/>
    <w:link w:val="Underline"/>
    <w:rsid w:val="007B0A86"/>
    <w:rPr>
      <w:rFonts w:ascii="Calibri" w:eastAsia="Times New Roman" w:hAnsi="Calibri"/>
      <w:b w:val="0"/>
      <w:bCs/>
      <w:sz w:val="22"/>
      <w:szCs w:val="28"/>
      <w:u w:val="single"/>
      <w:lang w:eastAsia="en-US"/>
    </w:rPr>
  </w:style>
  <w:style w:type="paragraph" w:styleId="ListParagraph">
    <w:name w:val="List Paragraph"/>
    <w:basedOn w:val="Normal"/>
    <w:uiPriority w:val="34"/>
    <w:qFormat/>
    <w:rsid w:val="00BF5BE6"/>
    <w:pPr>
      <w:ind w:left="720"/>
      <w:contextualSpacing/>
    </w:pPr>
  </w:style>
  <w:style w:type="paragraph" w:customStyle="1" w:styleId="Tabletext0">
    <w:name w:val="Table text"/>
    <w:link w:val="TabletextChar"/>
    <w:uiPriority w:val="27"/>
    <w:qFormat/>
    <w:rsid w:val="00875B2A"/>
    <w:pPr>
      <w:spacing w:before="60" w:after="60"/>
    </w:pPr>
    <w:rPr>
      <w:rFonts w:asciiTheme="minorHAnsi" w:eastAsia="Calibri" w:hAnsiTheme="minorHAnsi" w:cs="Cambria"/>
      <w:sz w:val="19"/>
      <w:szCs w:val="19"/>
      <w:lang w:eastAsia="en-US"/>
    </w:rPr>
  </w:style>
  <w:style w:type="character" w:customStyle="1" w:styleId="TabletextChar">
    <w:name w:val="Table text Char"/>
    <w:basedOn w:val="DefaultParagraphFont"/>
    <w:link w:val="Tabletext0"/>
    <w:uiPriority w:val="27"/>
    <w:rsid w:val="00875B2A"/>
    <w:rPr>
      <w:rFonts w:asciiTheme="minorHAnsi" w:eastAsia="Calibri" w:hAnsiTheme="minorHAnsi" w:cs="Cambria"/>
      <w:sz w:val="19"/>
      <w:szCs w:val="19"/>
      <w:lang w:eastAsia="en-US"/>
    </w:rPr>
  </w:style>
  <w:style w:type="paragraph" w:customStyle="1" w:styleId="Tableheader">
    <w:name w:val="Table header"/>
    <w:basedOn w:val="Tabletext0"/>
    <w:qFormat/>
    <w:rsid w:val="00875B2A"/>
    <w:rPr>
      <w:rFonts w:ascii="Calibri" w:hAnsi="Calibri"/>
      <w:b/>
      <w:sz w:val="18"/>
      <w:szCs w:val="18"/>
      <w:lang w:eastAsia="en-AU"/>
    </w:rPr>
  </w:style>
  <w:style w:type="paragraph" w:styleId="Revision">
    <w:name w:val="Revision"/>
    <w:hidden/>
    <w:uiPriority w:val="99"/>
    <w:semiHidden/>
    <w:rsid w:val="00FE5D7C"/>
    <w:rPr>
      <w:rFonts w:eastAsiaTheme="minorHAnsi" w:cstheme="minorBidi"/>
      <w:sz w:val="22"/>
      <w:szCs w:val="22"/>
      <w:lang w:eastAsia="en-US"/>
    </w:rPr>
  </w:style>
  <w:style w:type="paragraph" w:customStyle="1" w:styleId="CCSNormalText">
    <w:name w:val="CCS Normal Text"/>
    <w:basedOn w:val="Normal"/>
    <w:link w:val="CCSNormalTextChar"/>
    <w:qFormat/>
    <w:rsid w:val="00F23BA1"/>
    <w:pPr>
      <w:spacing w:before="60" w:after="120" w:line="240" w:lineRule="auto"/>
    </w:pPr>
    <w:rPr>
      <w:rFonts w:ascii="Arial" w:hAnsi="Arial" w:cs="Arial"/>
      <w:lang w:eastAsia="zh-CN" w:bidi="th-TH"/>
    </w:rPr>
  </w:style>
  <w:style w:type="character" w:customStyle="1" w:styleId="CCSNormalTextChar">
    <w:name w:val="CCS Normal Text Char"/>
    <w:basedOn w:val="DefaultParagraphFont"/>
    <w:link w:val="CCSNormalText"/>
    <w:locked/>
    <w:rsid w:val="00F23BA1"/>
    <w:rPr>
      <w:rFonts w:ascii="Arial" w:eastAsiaTheme="minorHAnsi" w:hAnsi="Arial" w:cs="Arial"/>
      <w:sz w:val="22"/>
      <w:szCs w:val="22"/>
      <w:lang w:eastAsia="zh-CN" w:bidi="th-TH"/>
    </w:rPr>
  </w:style>
  <w:style w:type="character" w:styleId="UnresolvedMention">
    <w:name w:val="Unresolved Mention"/>
    <w:basedOn w:val="DefaultParagraphFont"/>
    <w:uiPriority w:val="99"/>
    <w:semiHidden/>
    <w:unhideWhenUsed/>
    <w:rsid w:val="00A5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579504">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053582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0819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863473">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ment.gov.au/protection/waste/publications/national-waste-policy-action-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financialrelations.gov.au/content/npa/environment/national-partnership/recycling_infrastructure_comb.pdf" TargetMode="External"/><Relationship Id="rId5" Type="http://schemas.openxmlformats.org/officeDocument/2006/relationships/numbering" Target="numbering.xml"/><Relationship Id="rId15" Type="http://schemas.openxmlformats.org/officeDocument/2006/relationships/hyperlink" Target="https://www.federalfinancialrelations.gov.au/content/npa/environment/national-partnership/recycling_infrastructure_com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websitedbs/D3310114.nsf/home/remoteness+struc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425a5c30-4c2f-474f-aa2f-443e46b3d18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c7ce04e-ea5d-4d46-bab0-39b1fa6a6f36"/>
    <ds:schemaRef ds:uri="http://www.w3.org/XML/1998/namespace"/>
  </ds:schemaRefs>
</ds:datastoreItem>
</file>

<file path=customXml/itemProps3.xml><?xml version="1.0" encoding="utf-8"?>
<ds:datastoreItem xmlns:ds="http://schemas.openxmlformats.org/officeDocument/2006/customXml" ds:itemID="{EC8B2263-B295-4466-A201-67D560E2F6AC}">
  <ds:schemaRefs>
    <ds:schemaRef ds:uri="http://schemas.openxmlformats.org/officeDocument/2006/bibliography"/>
  </ds:schemaRefs>
</ds:datastoreItem>
</file>

<file path=customXml/itemProps4.xml><?xml version="1.0" encoding="utf-8"?>
<ds:datastoreItem xmlns:ds="http://schemas.openxmlformats.org/officeDocument/2006/customXml" ds:itemID="{54680F14-B310-442C-9899-8B7303D3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Guidelines - RMF Regional and Remote Infrastructure Projects</vt:lpstr>
    </vt:vector>
  </TitlesOfParts>
  <Company/>
  <LinksUpToDate>false</LinksUpToDate>
  <CharactersWithSpaces>12577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 RMF Regional and Remote Infrastructure Projects</dc:title>
  <dc:subject/>
  <dc:creator>Department of Agriculture, Water and the Environment</dc:creator>
  <cp:keywords/>
  <dc:description/>
  <cp:lastModifiedBy>Lien Nguyen</cp:lastModifiedBy>
  <cp:revision>13</cp:revision>
  <cp:lastPrinted>2019-02-13T02:42:00Z</cp:lastPrinted>
  <dcterms:created xsi:type="dcterms:W3CDTF">2021-09-22T03:25:00Z</dcterms:created>
  <dcterms:modified xsi:type="dcterms:W3CDTF">2021-10-11T00:21:00Z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RecordPoint_WorkflowType">
    <vt:lpwstr>ActiveSubmitStub</vt:lpwstr>
  </property>
  <property fmtid="{D5CDD505-2E9C-101B-9397-08002B2CF9AE}" pid="6" name="RecordPoint_ActiveItemSiteId">
    <vt:lpwstr>{1385f4fc-5717-4abf-b566-e69ec52ac4b2}</vt:lpwstr>
  </property>
  <property fmtid="{D5CDD505-2E9C-101B-9397-08002B2CF9AE}" pid="7" name="RecordPoint_ActiveItemListId">
    <vt:lpwstr>{22e3843e-fd2b-4df7-904b-9f4ec5b4603b}</vt:lpwstr>
  </property>
  <property fmtid="{D5CDD505-2E9C-101B-9397-08002B2CF9AE}" pid="8" name="RecordPoint_ActiveItemUniqueId">
    <vt:lpwstr>{55cac55a-8275-4747-a810-38f62b709f11}</vt:lpwstr>
  </property>
  <property fmtid="{D5CDD505-2E9C-101B-9397-08002B2CF9AE}" pid="9" name="RecordPoint_ActiveItemWebId">
    <vt:lpwstr>{ea551991-ea52-49c0-a376-52fc02ae4010}</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