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A739D8" w14:textId="5FD765CD" w:rsidR="00D116D1" w:rsidRDefault="00B45062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t>Gulungul</w:t>
      </w:r>
      <w:r w:rsidR="00D116D1" w:rsidRPr="00D116D1">
        <w:rPr>
          <w:rFonts w:eastAsia="Times New Roman" w:cs="Arial"/>
          <w:sz w:val="35"/>
          <w:szCs w:val="35"/>
          <w:lang w:val="en" w:eastAsia="en-AU"/>
        </w:rPr>
        <w:t xml:space="preserve"> Creek monitoring data </w:t>
      </w:r>
      <w:r w:rsidR="00C146CE">
        <w:rPr>
          <w:rFonts w:eastAsia="Times New Roman" w:cs="Arial"/>
          <w:sz w:val="35"/>
          <w:szCs w:val="35"/>
          <w:lang w:val="en" w:eastAsia="en-AU"/>
        </w:rPr>
        <w:t>201</w:t>
      </w:r>
      <w:r w:rsidR="00026CCF">
        <w:rPr>
          <w:rFonts w:eastAsia="Times New Roman" w:cs="Arial"/>
          <w:sz w:val="35"/>
          <w:szCs w:val="35"/>
          <w:lang w:val="en" w:eastAsia="en-AU"/>
        </w:rPr>
        <w:t>9-2020</w:t>
      </w:r>
    </w:p>
    <w:p w14:paraId="5140F369" w14:textId="2EB39D2C" w:rsidR="00BD0C68" w:rsidRDefault="00BD0C68" w:rsidP="00BD0C68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935CA6">
        <w:rPr>
          <w:rFonts w:ascii="Verdana" w:hAnsi="Verdana"/>
          <w:sz w:val="20"/>
          <w:lang w:val="en" w:eastAsia="en-AU"/>
        </w:rPr>
        <w:t>The Supervising Scientist</w:t>
      </w:r>
      <w:r>
        <w:rPr>
          <w:rFonts w:ascii="Verdana" w:hAnsi="Verdana"/>
          <w:sz w:val="20"/>
          <w:lang w:val="en" w:eastAsia="en-AU"/>
        </w:rPr>
        <w:t xml:space="preserve"> water chemistry monitoring program has been developed </w:t>
      </w:r>
      <w:r w:rsidRPr="00935CA6">
        <w:rPr>
          <w:rFonts w:ascii="Verdana" w:eastAsia="Times New Roman" w:hAnsi="Verdana"/>
          <w:sz w:val="20"/>
          <w:szCs w:val="20"/>
          <w:lang w:val="en" w:eastAsia="en-AU"/>
        </w:rPr>
        <w:t>using continuous monitoring of physico-chemical parameters coupled with automatic event-based collection of water samples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. Chemistry samples are collected when an electrical conductivity (EC) trigger is reached, indicating the potential for high contaminants to be present in the creek, and </w:t>
      </w:r>
      <w:r w:rsidR="00C146CE">
        <w:rPr>
          <w:rFonts w:ascii="Verdana" w:eastAsia="Times New Roman" w:hAnsi="Verdana"/>
          <w:sz w:val="20"/>
          <w:szCs w:val="20"/>
          <w:lang w:val="en" w:eastAsia="en-AU"/>
        </w:rPr>
        <w:t xml:space="preserve">also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during routine monthly quality assurance sampling. </w:t>
      </w:r>
      <w:r w:rsidRPr="00BA0748">
        <w:rPr>
          <w:rFonts w:ascii="Verdana" w:eastAsia="Times New Roman" w:hAnsi="Verdana"/>
          <w:sz w:val="20"/>
          <w:szCs w:val="20"/>
          <w:lang w:val="en" w:eastAsia="en-AU"/>
        </w:rPr>
        <w:t xml:space="preserve">No event-based samples </w:t>
      </w:r>
      <w:r w:rsidR="0061461B" w:rsidRPr="00BA0748">
        <w:rPr>
          <w:rFonts w:ascii="Verdana" w:eastAsia="Times New Roman" w:hAnsi="Verdana"/>
          <w:sz w:val="20"/>
          <w:szCs w:val="20"/>
          <w:lang w:val="en" w:eastAsia="en-AU"/>
        </w:rPr>
        <w:t>were</w:t>
      </w:r>
      <w:r w:rsidRPr="00BA0748">
        <w:rPr>
          <w:rFonts w:ascii="Verdana" w:eastAsia="Times New Roman" w:hAnsi="Verdana"/>
          <w:sz w:val="20"/>
          <w:szCs w:val="20"/>
          <w:lang w:val="en" w:eastAsia="en-AU"/>
        </w:rPr>
        <w:t xml:space="preserve"> collected </w:t>
      </w:r>
      <w:r w:rsidR="00C146CE" w:rsidRPr="00BA0748">
        <w:rPr>
          <w:rFonts w:ascii="Verdana" w:eastAsia="Times New Roman" w:hAnsi="Verdana"/>
          <w:sz w:val="20"/>
          <w:szCs w:val="20"/>
          <w:lang w:val="en" w:eastAsia="en-AU"/>
        </w:rPr>
        <w:t xml:space="preserve">during </w:t>
      </w:r>
      <w:r w:rsidR="00723B7D">
        <w:rPr>
          <w:rFonts w:ascii="Verdana" w:eastAsia="Times New Roman" w:hAnsi="Verdana"/>
          <w:sz w:val="20"/>
          <w:szCs w:val="20"/>
          <w:lang w:val="en" w:eastAsia="en-AU"/>
        </w:rPr>
        <w:t xml:space="preserve">the wet season </w:t>
      </w:r>
      <w:r w:rsidRPr="00BA0748">
        <w:rPr>
          <w:rFonts w:ascii="Verdana" w:eastAsia="Times New Roman" w:hAnsi="Verdana"/>
          <w:sz w:val="20"/>
          <w:szCs w:val="20"/>
          <w:lang w:val="en" w:eastAsia="en-AU"/>
        </w:rPr>
        <w:t xml:space="preserve">due to the low </w:t>
      </w:r>
      <w:r w:rsidR="005E00D6" w:rsidRPr="00BA0748">
        <w:rPr>
          <w:rFonts w:ascii="Verdana" w:eastAsia="Times New Roman" w:hAnsi="Verdana"/>
          <w:sz w:val="20"/>
          <w:szCs w:val="20"/>
          <w:lang w:val="en" w:eastAsia="en-AU"/>
        </w:rPr>
        <w:t xml:space="preserve">electrical </w:t>
      </w:r>
      <w:r w:rsidRPr="00BA0748">
        <w:rPr>
          <w:rFonts w:ascii="Verdana" w:eastAsia="Times New Roman" w:hAnsi="Verdana"/>
          <w:sz w:val="20"/>
          <w:szCs w:val="20"/>
          <w:lang w:val="en" w:eastAsia="en-AU"/>
        </w:rPr>
        <w:t>conductivity.</w:t>
      </w:r>
    </w:p>
    <w:p w14:paraId="43C6EF57" w14:textId="77777777" w:rsidR="00BD0C68" w:rsidRDefault="00BD0C68" w:rsidP="00BD0C68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48023B96" w14:textId="77777777" w:rsidR="00766B9A" w:rsidRPr="00766B9A" w:rsidRDefault="00BD0C68" w:rsidP="00766B9A">
      <w:pPr>
        <w:spacing w:after="0" w:line="360" w:lineRule="atLeast"/>
        <w:jc w:val="both"/>
        <w:textAlignment w:val="baseline"/>
        <w:rPr>
          <w:rStyle w:val="Hyperlink"/>
          <w:rFonts w:ascii="Verdana" w:hAnsi="Verdana"/>
          <w:sz w:val="20"/>
          <w:szCs w:val="20"/>
          <w:lang w:val="en" w:eastAsia="en-AU"/>
        </w:rPr>
      </w:pPr>
      <w:r w:rsidRPr="00766B9A">
        <w:rPr>
          <w:rFonts w:ascii="Verdana" w:eastAsia="Times New Roman" w:hAnsi="Verdana"/>
          <w:sz w:val="20"/>
          <w:szCs w:val="20"/>
          <w:lang w:val="en" w:eastAsia="en-AU"/>
        </w:rPr>
        <w:t xml:space="preserve">Details regarding the development and operation of the monitoring program can be found </w:t>
      </w:r>
      <w:r w:rsidRPr="00766B9A">
        <w:rPr>
          <w:rFonts w:ascii="Verdana" w:hAnsi="Verdana"/>
          <w:sz w:val="20"/>
          <w:szCs w:val="20"/>
          <w:lang w:val="en" w:eastAsia="en-AU"/>
        </w:rPr>
        <w:t xml:space="preserve">in the </w:t>
      </w:r>
      <w:hyperlink r:id="rId8" w:history="1">
        <w:r w:rsidR="00766B9A" w:rsidRPr="00766B9A">
          <w:rPr>
            <w:rStyle w:val="Hyperlink"/>
            <w:rFonts w:ascii="Verdana" w:hAnsi="Verdana"/>
            <w:color w:val="365F91" w:themeColor="accent1" w:themeShade="BF"/>
            <w:sz w:val="20"/>
            <w:szCs w:val="20"/>
            <w:lang w:val="en" w:eastAsia="en-AU"/>
          </w:rPr>
          <w:t>Surface water chemistry monitoring protocol to assess impacts from Ranger Mine.</w:t>
        </w:r>
      </w:hyperlink>
    </w:p>
    <w:p w14:paraId="029C8C34" w14:textId="701A9CE7" w:rsidR="00BD0C68" w:rsidRDefault="00BD0C68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3B395599" w14:textId="2F1C0B7F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>
        <w:rPr>
          <w:rFonts w:ascii="Verdana" w:eastAsia="Times New Roman" w:hAnsi="Verdana"/>
          <w:sz w:val="20"/>
          <w:szCs w:val="20"/>
          <w:lang w:val="en" w:eastAsia="en-AU"/>
        </w:rPr>
        <w:t>charts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below compare measurements of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key chemical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 indicators,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collected </w:t>
      </w:r>
      <w:r w:rsidR="00956E57">
        <w:rPr>
          <w:rFonts w:ascii="Verdana" w:eastAsia="Times New Roman" w:hAnsi="Verdana"/>
          <w:sz w:val="20"/>
          <w:szCs w:val="20"/>
          <w:lang w:val="en" w:eastAsia="en-AU"/>
        </w:rPr>
        <w:t>during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956E57">
        <w:rPr>
          <w:rFonts w:ascii="Verdana" w:eastAsia="Times New Roman" w:hAnsi="Verdana"/>
          <w:sz w:val="20"/>
          <w:szCs w:val="20"/>
          <w:lang w:val="en" w:eastAsia="en-AU"/>
        </w:rPr>
        <w:t>the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026CCF">
        <w:rPr>
          <w:rFonts w:ascii="Verdana" w:eastAsia="Times New Roman" w:hAnsi="Verdana"/>
          <w:b/>
          <w:bCs/>
          <w:sz w:val="20"/>
          <w:szCs w:val="20"/>
          <w:bdr w:val="none" w:sz="0" w:space="0" w:color="auto" w:frame="1"/>
          <w:lang w:val="en" w:eastAsia="en-AU"/>
        </w:rPr>
        <w:t>2019-2020</w:t>
      </w:r>
      <w:r w:rsidR="006B2F62">
        <w:rPr>
          <w:rFonts w:ascii="Verdana" w:eastAsia="Times New Roman" w:hAnsi="Verdana"/>
          <w:sz w:val="20"/>
          <w:szCs w:val="20"/>
          <w:lang w:val="en" w:eastAsia="en-AU"/>
        </w:rPr>
        <w:t xml:space="preserve"> wet season,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to the </w:t>
      </w:r>
      <w:hyperlink r:id="rId9" w:history="1">
        <w:r w:rsidR="00766B9A" w:rsidRPr="0044664C">
          <w:rPr>
            <w:rStyle w:val="Hyperlink"/>
            <w:rFonts w:ascii="Verdana" w:eastAsia="Times New Roman" w:hAnsi="Verdana"/>
            <w:color w:val="365F91" w:themeColor="accent1" w:themeShade="BF"/>
            <w:sz w:val="20"/>
            <w:szCs w:val="20"/>
            <w:lang w:val="en" w:eastAsia="en-AU"/>
          </w:rPr>
          <w:t>Water Quality Objectives (WQOs)</w:t>
        </w:r>
      </w:hyperlink>
      <w:r>
        <w:rPr>
          <w:rFonts w:ascii="Verdana" w:eastAsia="Times New Roman" w:hAnsi="Verdana"/>
          <w:sz w:val="20"/>
          <w:szCs w:val="20"/>
          <w:lang w:val="en" w:eastAsia="en-AU"/>
        </w:rPr>
        <w:t xml:space="preserve"> for Gulungul Creek.</w:t>
      </w:r>
      <w:r w:rsidR="00247A7D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>The WQOs present a hierarchical set of trigger values for each indicator, enabling a tiered approach to the oversight and management of water quality in Gulungul Creek.</w:t>
      </w:r>
    </w:p>
    <w:p w14:paraId="2195B2EA" w14:textId="77777777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06FD76CE" w14:textId="172E2A0C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i/>
          <w:sz w:val="20"/>
          <w:szCs w:val="20"/>
          <w:lang w:val="en" w:eastAsia="en-AU"/>
        </w:rPr>
        <w:t>Focus Trigger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-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Values that are higher than the Focus level but lower than the Action level will result in a watching brief. A watching brief involves precautionary ongoing data assessment to verify whether or not a trend away from background is occurring, possibly including further sampling if required.</w:t>
      </w:r>
    </w:p>
    <w:p w14:paraId="44C36E5D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i/>
          <w:sz w:val="20"/>
          <w:szCs w:val="20"/>
          <w:lang w:val="en" w:eastAsia="en-AU"/>
        </w:rPr>
      </w:pPr>
    </w:p>
    <w:p w14:paraId="186DC219" w14:textId="110BD21F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i/>
          <w:sz w:val="20"/>
          <w:szCs w:val="20"/>
          <w:lang w:val="en" w:eastAsia="en-AU"/>
        </w:rPr>
        <w:t>Action Trigger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-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Values that are higher than the Action level but lower than the Guideline/Limit will result in a data assessment. Where assessment of the data shows the value represents a trend away from background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,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the company must undertake:</w:t>
      </w:r>
    </w:p>
    <w:p w14:paraId="45BC0A87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An investigation into the cause of the exceedance; and </w:t>
      </w:r>
    </w:p>
    <w:p w14:paraId="59ECC7E4" w14:textId="094A47E4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>Correction of the cause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,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if it is deemed to be mining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-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related.</w:t>
      </w:r>
    </w:p>
    <w:p w14:paraId="201160C7" w14:textId="6F845E6B" w:rsidR="00871DFF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5B6C945B" w14:textId="64C87F18" w:rsidR="00871DFF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b/>
          <w:sz w:val="20"/>
          <w:szCs w:val="20"/>
          <w:lang w:val="en" w:eastAsia="en-AU"/>
        </w:rPr>
        <w:t xml:space="preserve">The Focus and Action Trigger Values are used by the company to manage surface water quality during mine activities. These are not displayed on the </w:t>
      </w:r>
      <w:r w:rsidR="00070740">
        <w:rPr>
          <w:rFonts w:ascii="Verdana" w:eastAsia="Times New Roman" w:hAnsi="Verdana"/>
          <w:b/>
          <w:sz w:val="20"/>
          <w:szCs w:val="20"/>
          <w:lang w:val="en" w:eastAsia="en-AU"/>
        </w:rPr>
        <w:t xml:space="preserve">charts </w:t>
      </w:r>
      <w:r>
        <w:rPr>
          <w:rFonts w:ascii="Verdana" w:eastAsia="Times New Roman" w:hAnsi="Verdana"/>
          <w:b/>
          <w:sz w:val="20"/>
          <w:szCs w:val="20"/>
          <w:lang w:val="en" w:eastAsia="en-AU"/>
        </w:rPr>
        <w:t>below.</w:t>
      </w:r>
    </w:p>
    <w:p w14:paraId="6BBD506A" w14:textId="77777777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58C2E380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i/>
          <w:sz w:val="20"/>
          <w:szCs w:val="20"/>
          <w:lang w:val="en" w:eastAsia="en-AU"/>
        </w:rPr>
        <w:t>Guideline Trigger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-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The company shall treat values in excess of the Guideline the same as a Limit exceedance except:</w:t>
      </w:r>
    </w:p>
    <w:p w14:paraId="479E7C0B" w14:textId="1F3D51CC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When there is a corresponding increase at the upstream 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 xml:space="preserve">(background)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site; and</w:t>
      </w:r>
    </w:p>
    <w:p w14:paraId="260983F8" w14:textId="7D930DAF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For the Mn </w:t>
      </w:r>
      <w:r>
        <w:rPr>
          <w:rFonts w:ascii="Verdana" w:eastAsia="Times New Roman" w:hAnsi="Verdana"/>
          <w:sz w:val="20"/>
          <w:szCs w:val="20"/>
          <w:lang w:val="en" w:eastAsia="en-AU"/>
        </w:rPr>
        <w:t>l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imit when the flow is less than </w:t>
      </w:r>
      <w:r w:rsidR="00C77850">
        <w:rPr>
          <w:rFonts w:ascii="Verdana" w:eastAsia="Times New Roman" w:hAnsi="Verdana"/>
          <w:sz w:val="20"/>
          <w:szCs w:val="20"/>
          <w:lang w:val="en" w:eastAsia="en-AU"/>
        </w:rPr>
        <w:t>one</w:t>
      </w:r>
      <w:r w:rsidR="00C77850"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cumec.</w:t>
      </w:r>
    </w:p>
    <w:p w14:paraId="56188FFE" w14:textId="7F236974" w:rsidR="005C7845" w:rsidRDefault="00BA4988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>When one or more of the above exceptions occurs,</w:t>
      </w:r>
      <w:r w:rsidR="005C7845"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a Guideline exceedance will be treated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same </w:t>
      </w:r>
      <w:r w:rsidR="005C7845" w:rsidRPr="002850CD">
        <w:rPr>
          <w:rFonts w:ascii="Verdana" w:eastAsia="Times New Roman" w:hAnsi="Verdana"/>
          <w:sz w:val="20"/>
          <w:szCs w:val="20"/>
          <w:lang w:val="en" w:eastAsia="en-AU"/>
        </w:rPr>
        <w:t>as an Action exceedance.</w:t>
      </w:r>
    </w:p>
    <w:p w14:paraId="0758E762" w14:textId="25077860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2AA1B193" w14:textId="77777777" w:rsidR="00956E57" w:rsidRDefault="00956E57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78B1417C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i/>
          <w:sz w:val="20"/>
          <w:szCs w:val="20"/>
          <w:lang w:val="en" w:eastAsia="en-AU"/>
        </w:rPr>
        <w:lastRenderedPageBreak/>
        <w:t>Limit Trigger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- 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Values that are higher than the Limit will result in a full investigation, including: </w:t>
      </w:r>
    </w:p>
    <w:p w14:paraId="432A3CAA" w14:textId="1470E06F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>Determining the cause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(s)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of the exceedance;</w:t>
      </w:r>
    </w:p>
    <w:p w14:paraId="46662118" w14:textId="77777777" w:rsidR="005C7845" w:rsidRPr="002850CD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 xml:space="preserve">Collecting further samples and data; and </w:t>
      </w:r>
    </w:p>
    <w:p w14:paraId="57107FAB" w14:textId="39F39A6E" w:rsidR="005C7845" w:rsidRDefault="005C7845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2850CD">
        <w:rPr>
          <w:rFonts w:ascii="Verdana" w:eastAsia="Times New Roman" w:hAnsi="Verdana"/>
          <w:sz w:val="20"/>
          <w:szCs w:val="20"/>
          <w:lang w:val="en" w:eastAsia="en-AU"/>
        </w:rPr>
        <w:t>•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ab/>
        <w:t>Undertaking immediate correction of the cause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,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 xml:space="preserve"> if it is deemed to be mining</w:t>
      </w:r>
      <w:r w:rsidR="00BA4988">
        <w:rPr>
          <w:rFonts w:ascii="Verdana" w:eastAsia="Times New Roman" w:hAnsi="Verdana"/>
          <w:sz w:val="20"/>
          <w:szCs w:val="20"/>
          <w:lang w:val="en" w:eastAsia="en-AU"/>
        </w:rPr>
        <w:t>-</w:t>
      </w:r>
      <w:r w:rsidRPr="002850CD">
        <w:rPr>
          <w:rFonts w:ascii="Verdana" w:eastAsia="Times New Roman" w:hAnsi="Verdana"/>
          <w:sz w:val="20"/>
          <w:szCs w:val="20"/>
          <w:lang w:val="en" w:eastAsia="en-AU"/>
        </w:rPr>
        <w:t>related.</w:t>
      </w:r>
    </w:p>
    <w:p w14:paraId="123A1343" w14:textId="77777777" w:rsidR="00871DFF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2EFE96D1" w14:textId="358F0BE7" w:rsidR="005C7845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b/>
          <w:sz w:val="20"/>
          <w:szCs w:val="20"/>
          <w:lang w:val="en" w:eastAsia="en-AU"/>
        </w:rPr>
      </w:pPr>
      <w:r>
        <w:rPr>
          <w:rFonts w:ascii="Verdana" w:eastAsia="Times New Roman" w:hAnsi="Verdana"/>
          <w:b/>
          <w:sz w:val="20"/>
          <w:szCs w:val="20"/>
          <w:lang w:val="en" w:eastAsia="en-AU"/>
        </w:rPr>
        <w:t>The Guideline and/or Limit Values are used to monitor compliance and ensure the protection of the downstream environment.</w:t>
      </w:r>
    </w:p>
    <w:p w14:paraId="6522EF7D" w14:textId="77777777" w:rsidR="00871DFF" w:rsidRPr="00871DFF" w:rsidRDefault="00871DFF" w:rsidP="005C7845">
      <w:pPr>
        <w:spacing w:after="0" w:line="360" w:lineRule="atLeast"/>
        <w:jc w:val="both"/>
        <w:textAlignment w:val="baseline"/>
        <w:rPr>
          <w:rFonts w:ascii="Verdana" w:eastAsia="Times New Roman" w:hAnsi="Verdana"/>
          <w:b/>
          <w:sz w:val="20"/>
          <w:szCs w:val="20"/>
          <w:lang w:val="en" w:eastAsia="en-AU"/>
        </w:rPr>
      </w:pPr>
    </w:p>
    <w:p w14:paraId="26F98A4C" w14:textId="55F63F9A" w:rsidR="00B52111" w:rsidRDefault="0055109E" w:rsidP="00D34C6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A51D05">
        <w:rPr>
          <w:rFonts w:ascii="Verdana" w:eastAsia="Times New Roman" w:hAnsi="Verdana"/>
          <w:sz w:val="20"/>
          <w:szCs w:val="20"/>
          <w:lang w:val="en" w:eastAsia="en-AU"/>
        </w:rPr>
        <w:t>Flow commenced in Gulungul Creek 10</w:t>
      </w:r>
      <w:r w:rsidRPr="00A51D05">
        <w:rPr>
          <w:rFonts w:ascii="Verdana" w:eastAsia="Times New Roman" w:hAnsi="Verdana"/>
          <w:sz w:val="20"/>
          <w:szCs w:val="20"/>
          <w:vertAlign w:val="superscript"/>
          <w:lang w:val="en" w:eastAsia="en-AU"/>
        </w:rPr>
        <w:t>th</w:t>
      </w:r>
      <w:r w:rsidRPr="00A51D05">
        <w:rPr>
          <w:rFonts w:ascii="Verdana" w:eastAsia="Times New Roman" w:hAnsi="Verdana"/>
          <w:sz w:val="20"/>
          <w:szCs w:val="20"/>
          <w:lang w:val="en" w:eastAsia="en-AU"/>
        </w:rPr>
        <w:t xml:space="preserve"> January 2020. </w:t>
      </w:r>
      <w:r w:rsidR="00447CF9" w:rsidRPr="000C3E10">
        <w:rPr>
          <w:rFonts w:ascii="Verdana" w:eastAsia="Times New Roman" w:hAnsi="Verdana"/>
          <w:sz w:val="20"/>
          <w:szCs w:val="20"/>
          <w:lang w:val="en" w:eastAsia="en-AU"/>
        </w:rPr>
        <w:t>Rainfall during the 2019/2020 wet season</w:t>
      </w:r>
      <w:r w:rsidR="00447CF9">
        <w:rPr>
          <w:rFonts w:ascii="Verdana" w:eastAsia="Times New Roman" w:hAnsi="Verdana"/>
          <w:sz w:val="20"/>
          <w:szCs w:val="20"/>
          <w:lang w:val="en" w:eastAsia="en-AU"/>
        </w:rPr>
        <w:t>, as recorded at Jabiru Airport, has been below average totaling 900mm. The last rainfall recorded at Jabiru Airport was on 22</w:t>
      </w:r>
      <w:r w:rsidR="00447CF9" w:rsidRPr="00606902">
        <w:rPr>
          <w:rFonts w:ascii="Verdana" w:eastAsia="Times New Roman" w:hAnsi="Verdana"/>
          <w:sz w:val="20"/>
          <w:szCs w:val="20"/>
          <w:vertAlign w:val="superscript"/>
          <w:lang w:val="en" w:eastAsia="en-AU"/>
        </w:rPr>
        <w:t>nd</w:t>
      </w:r>
      <w:r w:rsidR="00447CF9">
        <w:rPr>
          <w:rFonts w:ascii="Verdana" w:eastAsia="Times New Roman" w:hAnsi="Verdana"/>
          <w:sz w:val="20"/>
          <w:szCs w:val="20"/>
          <w:lang w:val="en" w:eastAsia="en-AU"/>
        </w:rPr>
        <w:t xml:space="preserve"> June 2020, and was 0.6mm. Flow ceased in Gulungul Creek 15</w:t>
      </w:r>
      <w:r w:rsidR="00447CF9" w:rsidRPr="00447CF9">
        <w:rPr>
          <w:rFonts w:ascii="Verdana" w:eastAsia="Times New Roman" w:hAnsi="Verdana"/>
          <w:sz w:val="20"/>
          <w:szCs w:val="20"/>
          <w:vertAlign w:val="superscript"/>
          <w:lang w:val="en" w:eastAsia="en-AU"/>
        </w:rPr>
        <w:t>th</w:t>
      </w:r>
      <w:r w:rsidR="00447CF9">
        <w:rPr>
          <w:rFonts w:ascii="Verdana" w:eastAsia="Times New Roman" w:hAnsi="Verdana"/>
          <w:sz w:val="20"/>
          <w:szCs w:val="20"/>
          <w:lang w:val="en" w:eastAsia="en-AU"/>
        </w:rPr>
        <w:t xml:space="preserve"> May 2020. </w:t>
      </w:r>
    </w:p>
    <w:p w14:paraId="51F238F4" w14:textId="77777777" w:rsidR="0055109E" w:rsidRDefault="0055109E" w:rsidP="00D34C6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631AD035" w14:textId="353BE464" w:rsidR="00D34C66" w:rsidRDefault="00D34C66" w:rsidP="00D34C6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CB16E8">
        <w:rPr>
          <w:rFonts w:ascii="Verdana" w:eastAsia="Times New Roman" w:hAnsi="Verdana"/>
          <w:sz w:val="20"/>
          <w:szCs w:val="20"/>
          <w:lang w:val="en" w:eastAsia="en-AU"/>
        </w:rPr>
        <w:t xml:space="preserve">Water quality monitoring data collected by the SSB to date shows that all Water Quality Objectives were met in Gulungul Creek </w:t>
      </w:r>
      <w:r w:rsidR="00070740" w:rsidRPr="00CB16E8">
        <w:rPr>
          <w:rFonts w:ascii="Verdana" w:eastAsia="Times New Roman" w:hAnsi="Verdana"/>
          <w:sz w:val="20"/>
          <w:szCs w:val="20"/>
          <w:lang w:val="en" w:eastAsia="en-AU"/>
        </w:rPr>
        <w:t xml:space="preserve">for </w:t>
      </w:r>
      <w:r w:rsidR="00956E57">
        <w:rPr>
          <w:rFonts w:ascii="Verdana" w:eastAsia="Times New Roman" w:hAnsi="Verdana"/>
          <w:sz w:val="20"/>
          <w:szCs w:val="20"/>
          <w:lang w:val="en" w:eastAsia="en-AU"/>
        </w:rPr>
        <w:t>the 2019/2020 wet season</w:t>
      </w:r>
      <w:r w:rsidRPr="004572A5">
        <w:rPr>
          <w:rFonts w:ascii="Verdana" w:eastAsia="Times New Roman" w:hAnsi="Verdana"/>
          <w:sz w:val="20"/>
          <w:szCs w:val="20"/>
          <w:lang w:val="en" w:eastAsia="en-AU"/>
        </w:rPr>
        <w:t>, indicating that operations at Ranger mine have not resulted in harm to downstream environments.</w:t>
      </w:r>
    </w:p>
    <w:p w14:paraId="0C6C6394" w14:textId="0A49A0C2" w:rsidR="004572A5" w:rsidRDefault="004572A5" w:rsidP="00D34C66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7891C82E" w14:textId="77777777" w:rsidR="00D233DB" w:rsidRDefault="00D233DB" w:rsidP="00D233DB">
      <w:pPr>
        <w:pStyle w:val="Heading2"/>
        <w:spacing w:after="0"/>
        <w:rPr>
          <w:sz w:val="35"/>
          <w:szCs w:val="35"/>
          <w:lang w:val="en" w:eastAsia="en-AU"/>
        </w:rPr>
      </w:pPr>
      <w:bookmarkStart w:id="0" w:name="indicators"/>
      <w:r w:rsidRPr="004D3D89">
        <w:rPr>
          <w:b w:val="0"/>
          <w:sz w:val="35"/>
          <w:szCs w:val="35"/>
          <w:bdr w:val="none" w:sz="0" w:space="0" w:color="auto" w:frame="1"/>
          <w:lang w:val="en"/>
        </w:rPr>
        <w:t>Chemical</w:t>
      </w:r>
      <w:r>
        <w:rPr>
          <w:sz w:val="35"/>
          <w:szCs w:val="35"/>
          <w:bdr w:val="none" w:sz="0" w:space="0" w:color="auto" w:frame="1"/>
          <w:lang w:val="en"/>
        </w:rPr>
        <w:t xml:space="preserve"> </w:t>
      </w:r>
      <w:r w:rsidRPr="004D3D89">
        <w:rPr>
          <w:b w:val="0"/>
          <w:sz w:val="35"/>
          <w:szCs w:val="35"/>
          <w:bdr w:val="none" w:sz="0" w:space="0" w:color="auto" w:frame="1"/>
          <w:lang w:val="en"/>
        </w:rPr>
        <w:t>Indicators</w:t>
      </w:r>
      <w:bookmarkEnd w:id="0"/>
    </w:p>
    <w:p w14:paraId="0BB97F34" w14:textId="1F2239D8" w:rsidR="00D233DB" w:rsidRDefault="00D233DB" w:rsidP="00D233DB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Conductivity in </w:t>
      </w:r>
      <w:r w:rsidR="00DB62A8">
        <w:rPr>
          <w:rFonts w:ascii="Verdana" w:hAnsi="Verdana"/>
          <w:sz w:val="20"/>
          <w:szCs w:val="20"/>
          <w:lang w:val="en"/>
        </w:rPr>
        <w:t>Gulungul</w:t>
      </w:r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30012891" w14:textId="51217D9A" w:rsidR="00DB62A8" w:rsidRDefault="00DB62A8" w:rsidP="00DB62A8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Magnesium in </w:t>
      </w:r>
      <w:r>
        <w:rPr>
          <w:rFonts w:ascii="Verdana" w:hAnsi="Verdana"/>
          <w:sz w:val="20"/>
          <w:szCs w:val="20"/>
          <w:lang w:val="en"/>
        </w:rPr>
        <w:t>Gulungul</w:t>
      </w:r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67CD409B" w14:textId="2E4AB51D" w:rsidR="00D233DB" w:rsidRDefault="00DB62A8" w:rsidP="00D233DB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>U</w:t>
      </w:r>
      <w:r w:rsidR="00D233DB" w:rsidRPr="004D3D89">
        <w:rPr>
          <w:rFonts w:ascii="Verdana" w:hAnsi="Verdana"/>
          <w:sz w:val="20"/>
          <w:szCs w:val="20"/>
          <w:lang w:val="en"/>
        </w:rPr>
        <w:t xml:space="preserve">ranium in </w:t>
      </w:r>
      <w:r>
        <w:rPr>
          <w:rFonts w:ascii="Verdana" w:hAnsi="Verdana"/>
          <w:sz w:val="20"/>
          <w:szCs w:val="20"/>
          <w:lang w:val="en"/>
        </w:rPr>
        <w:t>Gulungul</w:t>
      </w:r>
      <w:r w:rsidR="00D233DB"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48347710" w14:textId="2FF1A741" w:rsidR="00D233DB" w:rsidRDefault="00D233DB" w:rsidP="00D233DB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Manganese in </w:t>
      </w:r>
      <w:r w:rsidR="00DB62A8">
        <w:rPr>
          <w:rFonts w:ascii="Verdana" w:hAnsi="Verdana"/>
          <w:sz w:val="20"/>
          <w:szCs w:val="20"/>
          <w:lang w:val="en"/>
        </w:rPr>
        <w:t>Gulungul</w:t>
      </w:r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3CFB7275" w14:textId="14847094" w:rsidR="00DB62A8" w:rsidRDefault="00DB62A8" w:rsidP="00DB62A8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Turbidity in </w:t>
      </w:r>
      <w:r>
        <w:rPr>
          <w:rFonts w:ascii="Verdana" w:hAnsi="Verdana"/>
          <w:sz w:val="20"/>
          <w:szCs w:val="20"/>
          <w:lang w:val="en"/>
        </w:rPr>
        <w:t>Gulungul</w:t>
      </w:r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1089DE98" w14:textId="28BF3D4C" w:rsidR="00B74BD6" w:rsidRDefault="00B74BD6" w:rsidP="00DB62A8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>
        <w:rPr>
          <w:rFonts w:ascii="Verdana" w:hAnsi="Verdana"/>
          <w:sz w:val="20"/>
          <w:szCs w:val="20"/>
          <w:lang w:val="en"/>
        </w:rPr>
        <w:t xml:space="preserve">Total Ammonia Nitrogen (TAN) in Gulungul Creek </w:t>
      </w:r>
    </w:p>
    <w:p w14:paraId="452C8ED5" w14:textId="71920E22" w:rsidR="00D233DB" w:rsidRDefault="00D233DB" w:rsidP="00D233DB">
      <w:pPr>
        <w:numPr>
          <w:ilvl w:val="0"/>
          <w:numId w:val="14"/>
        </w:numPr>
        <w:spacing w:after="0" w:line="432" w:lineRule="atLeast"/>
        <w:ind w:left="0" w:firstLine="0"/>
        <w:textAlignment w:val="baseline"/>
        <w:rPr>
          <w:rFonts w:ascii="Verdana" w:hAnsi="Verdana"/>
          <w:sz w:val="20"/>
          <w:szCs w:val="20"/>
          <w:lang w:val="en"/>
        </w:rPr>
      </w:pPr>
      <w:r w:rsidRPr="004D3D89">
        <w:rPr>
          <w:rFonts w:ascii="Verdana" w:hAnsi="Verdana"/>
          <w:sz w:val="20"/>
          <w:szCs w:val="20"/>
          <w:lang w:val="en"/>
        </w:rPr>
        <w:t xml:space="preserve">Radium-226 in </w:t>
      </w:r>
      <w:r w:rsidR="00DB62A8">
        <w:rPr>
          <w:rFonts w:ascii="Verdana" w:hAnsi="Verdana"/>
          <w:sz w:val="20"/>
          <w:szCs w:val="20"/>
          <w:lang w:val="en"/>
        </w:rPr>
        <w:t>Gulungul</w:t>
      </w:r>
      <w:r w:rsidRPr="004D3D89">
        <w:rPr>
          <w:rFonts w:ascii="Verdana" w:hAnsi="Verdana"/>
          <w:sz w:val="20"/>
          <w:szCs w:val="20"/>
          <w:lang w:val="en"/>
        </w:rPr>
        <w:t xml:space="preserve"> Creek</w:t>
      </w:r>
    </w:p>
    <w:p w14:paraId="597055D2" w14:textId="77777777" w:rsidR="00D233DB" w:rsidRDefault="00D233DB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199D45D0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418BF5A8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315C179B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35026C87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390A3B01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58866589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36F2203F" w14:textId="77777777" w:rsidR="00C4118E" w:rsidRDefault="00C4118E" w:rsidP="00D233DB">
      <w:pPr>
        <w:spacing w:line="360" w:lineRule="atLeast"/>
        <w:jc w:val="both"/>
        <w:textAlignment w:val="baseline"/>
        <w:rPr>
          <w:rFonts w:ascii="Verdana" w:hAnsi="Verdana"/>
          <w:sz w:val="20"/>
          <w:szCs w:val="20"/>
          <w:lang w:val="en"/>
        </w:rPr>
      </w:pPr>
    </w:p>
    <w:p w14:paraId="4C2DB7A6" w14:textId="0ADAF1B9" w:rsidR="00D116D1" w:rsidRPr="00D116D1" w:rsidRDefault="00C4118E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lastRenderedPageBreak/>
        <w:t>C</w:t>
      </w:r>
      <w:r w:rsidR="00D116D1" w:rsidRPr="00D116D1">
        <w:rPr>
          <w:rFonts w:eastAsia="Times New Roman" w:cs="Arial"/>
          <w:sz w:val="35"/>
          <w:szCs w:val="35"/>
          <w:lang w:val="en" w:eastAsia="en-AU"/>
        </w:rPr>
        <w:t xml:space="preserve">onductivity in </w:t>
      </w:r>
      <w:r w:rsidR="00B45062">
        <w:rPr>
          <w:rFonts w:eastAsia="Times New Roman" w:cs="Arial"/>
          <w:sz w:val="35"/>
          <w:szCs w:val="35"/>
          <w:lang w:val="en" w:eastAsia="en-AU"/>
        </w:rPr>
        <w:t>Gulungul</w:t>
      </w:r>
      <w:r w:rsidR="00D116D1"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0A84E5A6" w14:textId="77777777" w:rsidR="00D16093" w:rsidRDefault="008B4C80" w:rsidP="00D16093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110DAA">
        <w:rPr>
          <w:rFonts w:ascii="Verdana" w:eastAsia="Times New Roman" w:hAnsi="Verdana"/>
          <w:sz w:val="20"/>
          <w:szCs w:val="20"/>
          <w:lang w:val="en" w:eastAsia="en-AU"/>
        </w:rPr>
        <w:t>A set of E</w:t>
      </w:r>
      <w:r w:rsidR="004C17C3">
        <w:rPr>
          <w:rFonts w:ascii="Verdana" w:eastAsia="Times New Roman" w:hAnsi="Verdana"/>
          <w:sz w:val="20"/>
          <w:szCs w:val="20"/>
          <w:lang w:val="en" w:eastAsia="en-AU"/>
        </w:rPr>
        <w:t xml:space="preserve">lectrical 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>C</w:t>
      </w:r>
      <w:r w:rsidR="004C17C3">
        <w:rPr>
          <w:rFonts w:ascii="Verdana" w:eastAsia="Times New Roman" w:hAnsi="Verdana"/>
          <w:sz w:val="20"/>
          <w:szCs w:val="20"/>
          <w:lang w:val="en" w:eastAsia="en-AU"/>
        </w:rPr>
        <w:t>onductivity (EC)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 Trigger Values have been derived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to indicate when </w:t>
      </w:r>
      <w:r w:rsidR="00D35579">
        <w:rPr>
          <w:rFonts w:ascii="Verdana" w:eastAsia="Times New Roman" w:hAnsi="Verdana"/>
          <w:sz w:val="20"/>
          <w:szCs w:val="20"/>
          <w:lang w:val="en" w:eastAsia="en-AU"/>
        </w:rPr>
        <w:t>magnesium (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>Mg</w:t>
      </w:r>
      <w:r w:rsidR="00D35579">
        <w:rPr>
          <w:rFonts w:ascii="Verdana" w:eastAsia="Times New Roman" w:hAnsi="Verdana"/>
          <w:sz w:val="20"/>
          <w:szCs w:val="20"/>
          <w:lang w:val="en" w:eastAsia="en-AU"/>
        </w:rPr>
        <w:t>)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 concentrations might be approaching levels that exceed the Mg Trigger Values. The EC Trigger Values 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have been derived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 xml:space="preserve"> using the long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-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>term EC-Mg relationship for Magela Creek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. An additional </w:t>
      </w:r>
      <w:r w:rsidRPr="004C17C3">
        <w:rPr>
          <w:rFonts w:ascii="Verdana" w:eastAsia="Times New Roman" w:hAnsi="Verdana"/>
          <w:i/>
          <w:sz w:val="20"/>
          <w:szCs w:val="20"/>
          <w:lang w:val="en" w:eastAsia="en-AU"/>
        </w:rPr>
        <w:t>I</w:t>
      </w:r>
      <w:r w:rsidRPr="003571B5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nvestigation </w:t>
      </w:r>
      <w:r>
        <w:rPr>
          <w:rFonts w:ascii="Verdana" w:eastAsia="Times New Roman" w:hAnsi="Verdana"/>
          <w:i/>
          <w:sz w:val="20"/>
          <w:szCs w:val="20"/>
          <w:lang w:val="en" w:eastAsia="en-AU"/>
        </w:rPr>
        <w:t>T</w:t>
      </w:r>
      <w:r w:rsidRPr="003571B5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rigger </w:t>
      </w:r>
      <w:r w:rsidRPr="00110DAA">
        <w:rPr>
          <w:rFonts w:ascii="Verdana" w:eastAsia="Times New Roman" w:hAnsi="Verdana"/>
          <w:sz w:val="20"/>
          <w:szCs w:val="20"/>
          <w:lang w:val="en" w:eastAsia="en-AU"/>
        </w:rPr>
        <w:t>was derived for EC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which prompts an assessment of estimated Mg concentrations using the long-term Mg/EC relationship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,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or an event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-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specific relationship. </w:t>
      </w:r>
      <w:r w:rsidR="00D16093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The 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 xml:space="preserve">EC </w:t>
      </w:r>
      <w:r w:rsidR="00D16093" w:rsidRPr="009E3024">
        <w:rPr>
          <w:rFonts w:ascii="Verdana" w:hAnsi="Verdana"/>
          <w:i/>
          <w:sz w:val="20"/>
          <w:szCs w:val="20"/>
        </w:rPr>
        <w:t>Investigation Trigger</w:t>
      </w:r>
      <w:r w:rsidR="00D16093">
        <w:rPr>
          <w:rFonts w:ascii="Verdana" w:hAnsi="Verdana"/>
          <w:sz w:val="20"/>
          <w:szCs w:val="20"/>
        </w:rPr>
        <w:t xml:space="preserve"> </w:t>
      </w:r>
      <w:r w:rsidR="00D16093" w:rsidRPr="009E3024">
        <w:rPr>
          <w:rFonts w:ascii="Verdana" w:eastAsia="Times New Roman" w:hAnsi="Verdana"/>
          <w:sz w:val="20"/>
          <w:szCs w:val="20"/>
          <w:lang w:val="en" w:eastAsia="en-AU"/>
        </w:rPr>
        <w:t xml:space="preserve">applies 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 xml:space="preserve">if conductivity exceeds </w:t>
      </w:r>
      <w:r w:rsidR="00D16093" w:rsidRPr="009E3024">
        <w:rPr>
          <w:rFonts w:ascii="Verdana" w:eastAsia="Times New Roman" w:hAnsi="Verdana"/>
          <w:sz w:val="20"/>
          <w:szCs w:val="20"/>
          <w:lang w:val="en" w:eastAsia="en-AU"/>
        </w:rPr>
        <w:t>42 µS/cm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 xml:space="preserve"> for more than</w:t>
      </w:r>
      <w:r w:rsidR="00D16093" w:rsidRPr="009E3024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>6</w:t>
      </w:r>
      <w:r w:rsidR="00D16093" w:rsidRPr="009E3024">
        <w:rPr>
          <w:rFonts w:ascii="Verdana" w:eastAsia="Times New Roman" w:hAnsi="Verdana"/>
          <w:sz w:val="20"/>
          <w:szCs w:val="20"/>
          <w:lang w:val="en" w:eastAsia="en-AU"/>
        </w:rPr>
        <w:t xml:space="preserve"> hours </w:t>
      </w:r>
      <w:r w:rsidR="00D16093" w:rsidRPr="003571B5">
        <w:rPr>
          <w:rFonts w:ascii="Garamond" w:hAnsi="Garamond"/>
          <w:sz w:val="24"/>
        </w:rPr>
        <w:t>to</w:t>
      </w:r>
      <w:r w:rsidR="00D16093" w:rsidRPr="00031F2D">
        <w:rPr>
          <w:rFonts w:ascii="Verdana" w:eastAsia="Times New Roman" w:hAnsi="Verdana"/>
          <w:sz w:val="20"/>
          <w:szCs w:val="20"/>
          <w:lang w:val="en" w:eastAsia="en-AU"/>
        </w:rPr>
        <w:t xml:space="preserve"> prevent unnecessary action for short duration (&lt; 6 hours) pulses that go above 42 µS/cm but do not approach the Mg Guideline value</w:t>
      </w:r>
      <w:r w:rsidR="00D16093">
        <w:rPr>
          <w:rFonts w:ascii="Verdana" w:eastAsia="Times New Roman" w:hAnsi="Verdana"/>
          <w:sz w:val="20"/>
          <w:szCs w:val="20"/>
          <w:lang w:val="en" w:eastAsia="en-AU"/>
        </w:rPr>
        <w:t>.</w:t>
      </w:r>
    </w:p>
    <w:p w14:paraId="105EAABD" w14:textId="77777777" w:rsidR="00962455" w:rsidRDefault="00962455" w:rsidP="00D16093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2C84C58B" w14:textId="3BA17A73" w:rsidR="00D116D1" w:rsidRPr="00723B7D" w:rsidRDefault="0057624C" w:rsidP="00EC0C77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55109E">
        <w:rPr>
          <w:rFonts w:ascii="Verdana" w:eastAsia="Times New Roman" w:hAnsi="Verdana"/>
          <w:sz w:val="20"/>
          <w:szCs w:val="20"/>
          <w:lang w:val="en" w:eastAsia="en-AU"/>
        </w:rPr>
        <w:t xml:space="preserve">To the end </w:t>
      </w:r>
      <w:r w:rsidR="00723B7D">
        <w:rPr>
          <w:rFonts w:ascii="Verdana" w:eastAsia="Times New Roman" w:hAnsi="Verdana"/>
          <w:sz w:val="20"/>
          <w:szCs w:val="20"/>
          <w:lang w:val="en" w:eastAsia="en-AU"/>
        </w:rPr>
        <w:t>of the wet-season,</w:t>
      </w:r>
      <w:r w:rsidRPr="0055109E">
        <w:rPr>
          <w:rFonts w:ascii="Verdana" w:eastAsia="Times New Roman" w:hAnsi="Verdana"/>
          <w:sz w:val="20"/>
          <w:szCs w:val="20"/>
          <w:lang w:val="en" w:eastAsia="en-AU"/>
        </w:rPr>
        <w:t xml:space="preserve"> the conductivity in Gulungul Creek </w:t>
      </w:r>
      <w:r w:rsidR="00BD0C68" w:rsidRPr="0055109E">
        <w:rPr>
          <w:rFonts w:ascii="Verdana" w:eastAsia="Times New Roman" w:hAnsi="Verdana"/>
          <w:sz w:val="20"/>
          <w:szCs w:val="20"/>
          <w:lang w:val="en" w:eastAsia="en-AU"/>
        </w:rPr>
        <w:t>remained</w:t>
      </w:r>
      <w:r w:rsidRPr="0055109E">
        <w:rPr>
          <w:rFonts w:ascii="Verdana" w:eastAsia="Times New Roman" w:hAnsi="Verdana"/>
          <w:sz w:val="20"/>
          <w:szCs w:val="20"/>
          <w:lang w:val="en" w:eastAsia="en-AU"/>
        </w:rPr>
        <w:t xml:space="preserve"> below </w:t>
      </w:r>
      <w:r w:rsidR="00EF2F9C" w:rsidRPr="0055109E">
        <w:rPr>
          <w:rFonts w:ascii="Verdana" w:eastAsia="Times New Roman" w:hAnsi="Verdana"/>
          <w:sz w:val="20"/>
          <w:szCs w:val="20"/>
          <w:lang w:val="en" w:eastAsia="en-AU"/>
        </w:rPr>
        <w:t xml:space="preserve">the Investigation trigger value. </w:t>
      </w:r>
    </w:p>
    <w:p w14:paraId="0F9B3D2A" w14:textId="564BB6D6" w:rsidR="00790041" w:rsidRDefault="00790041" w:rsidP="00EC0C77">
      <w:pPr>
        <w:spacing w:after="0" w:line="360" w:lineRule="atLeast"/>
        <w:jc w:val="both"/>
        <w:textAlignment w:val="baseline"/>
        <w:rPr>
          <w:noProof/>
          <w:lang w:eastAsia="en-AU"/>
        </w:rPr>
      </w:pPr>
      <w:r w:rsidRPr="00790041">
        <w:rPr>
          <w:noProof/>
          <w:lang w:eastAsia="en-AU"/>
        </w:rPr>
        <w:drawing>
          <wp:inline distT="0" distB="0" distL="0" distR="0" wp14:anchorId="52FB735C" wp14:editId="7A8177F3">
            <wp:extent cx="5849620" cy="46653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BA22" w14:textId="72A95391" w:rsidR="00076C34" w:rsidRPr="00D116D1" w:rsidRDefault="0057624C" w:rsidP="00932280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Gulungul </w:t>
      </w:r>
      <w:r w:rsidR="00076C34" w:rsidRPr="00D116D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Creek continuous conductivity monitoring data 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for the 2019/20</w:t>
      </w:r>
      <w:r w:rsidR="006F1904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20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wet season</w:t>
      </w:r>
      <w:r w:rsidR="00E324B0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</w:t>
      </w:r>
    </w:p>
    <w:p w14:paraId="0306AF8E" w14:textId="77777777" w:rsidR="00871DFF" w:rsidRDefault="00871DFF" w:rsidP="00871DFF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</w:p>
    <w:p w14:paraId="7048C1DD" w14:textId="77777777" w:rsidR="00EC0C77" w:rsidRDefault="00EC0C77" w:rsidP="00871DFF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</w:p>
    <w:p w14:paraId="1F8E7732" w14:textId="77777777" w:rsidR="001460C2" w:rsidRDefault="001460C2" w:rsidP="00871DFF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</w:p>
    <w:p w14:paraId="11063A2D" w14:textId="77FB3375" w:rsidR="001C7DAB" w:rsidRPr="00D116D1" w:rsidRDefault="00530B24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lastRenderedPageBreak/>
        <w:t>M</w:t>
      </w:r>
      <w:r w:rsidR="001C7DAB" w:rsidRPr="00D116D1">
        <w:rPr>
          <w:rFonts w:eastAsia="Times New Roman" w:cs="Arial"/>
          <w:sz w:val="35"/>
          <w:szCs w:val="35"/>
          <w:lang w:val="en" w:eastAsia="en-AU"/>
        </w:rPr>
        <w:t xml:space="preserve">agnesium in </w:t>
      </w:r>
      <w:r w:rsidR="001C7DAB">
        <w:rPr>
          <w:rFonts w:eastAsia="Times New Roman" w:cs="Arial"/>
          <w:sz w:val="35"/>
          <w:szCs w:val="35"/>
          <w:lang w:val="en" w:eastAsia="en-AU"/>
        </w:rPr>
        <w:t>Gulungul</w:t>
      </w:r>
      <w:r w:rsidR="001C7DAB"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083761A7" w14:textId="2F66B631" w:rsidR="0093719B" w:rsidRDefault="0093719B" w:rsidP="0093719B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>The magnesium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 xml:space="preserve"> (Mg)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Chronic Exposure Limit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of 3 mg/L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>has been</w:t>
      </w:r>
      <w:r w:rsidR="00583200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derived using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local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ecotoxicological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data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and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applies to exposures greater than 72 hours in duration. The Supervising Scientist has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also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developed </w:t>
      </w:r>
      <w:r>
        <w:rPr>
          <w:rFonts w:ascii="Verdana" w:eastAsia="Times New Roman" w:hAnsi="Verdana"/>
          <w:sz w:val="20"/>
          <w:szCs w:val="20"/>
          <w:lang w:val="en" w:eastAsia="en-AU"/>
        </w:rPr>
        <w:t>a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>n interpretative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framework for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Mg </w:t>
      </w:r>
      <w:r w:rsidR="005A433E">
        <w:rPr>
          <w:rFonts w:ascii="Verdana" w:eastAsia="Times New Roman" w:hAnsi="Verdana"/>
          <w:sz w:val="20"/>
          <w:szCs w:val="20"/>
          <w:lang w:val="en" w:eastAsia="en-AU"/>
        </w:rPr>
        <w:t xml:space="preserve">pulse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exposures of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less than 72 hour</w:t>
      </w:r>
      <w:r>
        <w:rPr>
          <w:rFonts w:ascii="Verdana" w:eastAsia="Times New Roman" w:hAnsi="Verdana"/>
          <w:sz w:val="20"/>
          <w:szCs w:val="20"/>
          <w:lang w:val="en" w:eastAsia="en-AU"/>
        </w:rPr>
        <w:t>s, which integrates the magnitude and the duration of any given pulse exposure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. Details can be found </w:t>
      </w:r>
      <w:r w:rsidR="00A70D5B">
        <w:rPr>
          <w:rFonts w:ascii="Verdana" w:eastAsia="Times New Roman" w:hAnsi="Verdana"/>
          <w:sz w:val="20"/>
          <w:szCs w:val="20"/>
          <w:lang w:val="en" w:eastAsia="en-AU"/>
        </w:rPr>
        <w:t xml:space="preserve">in the </w:t>
      </w:r>
      <w:hyperlink r:id="rId11" w:history="1">
        <w:r w:rsidR="00766B9A" w:rsidRPr="00172DDF">
          <w:rPr>
            <w:rStyle w:val="Hyperlink"/>
            <w:rFonts w:ascii="Verdana" w:eastAsia="Times New Roman" w:hAnsi="Verdana"/>
            <w:color w:val="365F91" w:themeColor="accent1" w:themeShade="BF"/>
            <w:sz w:val="20"/>
            <w:szCs w:val="20"/>
            <w:lang w:val="en" w:eastAsia="en-AU"/>
          </w:rPr>
          <w:t>Revised Ranger Mine Water Quality Objectives for Magela Creek and Gulungul Creek.</w:t>
        </w:r>
      </w:hyperlink>
    </w:p>
    <w:p w14:paraId="0F7335F1" w14:textId="77777777" w:rsidR="001C7DAB" w:rsidRDefault="001C7DAB" w:rsidP="001C7DAB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76203FCE" w14:textId="73CDA4D5" w:rsidR="001C7DAB" w:rsidRDefault="0057624C" w:rsidP="001C7DAB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EC0C77">
        <w:rPr>
          <w:rFonts w:ascii="Verdana" w:eastAsia="Times New Roman" w:hAnsi="Verdana"/>
          <w:sz w:val="20"/>
          <w:szCs w:val="20"/>
          <w:lang w:val="en" w:eastAsia="en-AU"/>
        </w:rPr>
        <w:t xml:space="preserve">The EC trace indicates that magnesium </w:t>
      </w:r>
      <w:r w:rsidR="000F2BAE">
        <w:rPr>
          <w:rFonts w:ascii="Verdana" w:eastAsia="Times New Roman" w:hAnsi="Verdana"/>
          <w:sz w:val="20"/>
          <w:szCs w:val="20"/>
          <w:lang w:val="en" w:eastAsia="en-AU"/>
        </w:rPr>
        <w:t>has been</w:t>
      </w:r>
      <w:r w:rsidRPr="00EC0C77">
        <w:rPr>
          <w:rFonts w:ascii="Verdana" w:eastAsia="Times New Roman" w:hAnsi="Verdana"/>
          <w:sz w:val="20"/>
          <w:szCs w:val="20"/>
          <w:lang w:val="en" w:eastAsia="en-AU"/>
        </w:rPr>
        <w:t xml:space="preserve"> below the Chronic Exposure Limit </w:t>
      </w:r>
      <w:r w:rsidR="006F1904">
        <w:rPr>
          <w:rFonts w:ascii="Verdana" w:eastAsia="Times New Roman" w:hAnsi="Verdana"/>
          <w:sz w:val="20"/>
          <w:szCs w:val="20"/>
          <w:lang w:val="en" w:eastAsia="en-AU"/>
        </w:rPr>
        <w:t>through</w:t>
      </w:r>
      <w:r w:rsidR="00682F0E">
        <w:rPr>
          <w:rFonts w:ascii="Verdana" w:eastAsia="Times New Roman" w:hAnsi="Verdana"/>
          <w:sz w:val="20"/>
          <w:szCs w:val="20"/>
          <w:lang w:val="en" w:eastAsia="en-AU"/>
        </w:rPr>
        <w:t xml:space="preserve">out the </w:t>
      </w:r>
      <w:r w:rsidR="006F1904">
        <w:rPr>
          <w:rFonts w:ascii="Verdana" w:eastAsia="Times New Roman" w:hAnsi="Verdana"/>
          <w:sz w:val="20"/>
          <w:szCs w:val="20"/>
          <w:lang w:val="en" w:eastAsia="en-AU"/>
        </w:rPr>
        <w:t>wet season</w:t>
      </w:r>
      <w:r w:rsidRPr="00EC0C77">
        <w:rPr>
          <w:rFonts w:ascii="Verdana" w:eastAsia="Times New Roman" w:hAnsi="Verdana"/>
          <w:sz w:val="20"/>
          <w:szCs w:val="20"/>
          <w:lang w:val="en" w:eastAsia="en-AU"/>
        </w:rPr>
        <w:t xml:space="preserve">. </w:t>
      </w:r>
      <w:r w:rsidR="00A42FE4">
        <w:rPr>
          <w:rFonts w:ascii="Verdana" w:eastAsia="Times New Roman" w:hAnsi="Verdana"/>
          <w:sz w:val="20"/>
          <w:szCs w:val="20"/>
          <w:lang w:val="en" w:eastAsia="en-AU"/>
        </w:rPr>
        <w:t xml:space="preserve">Discrete samples collected </w:t>
      </w:r>
      <w:r w:rsidRPr="00EC0C77">
        <w:rPr>
          <w:rFonts w:ascii="Verdana" w:eastAsia="Times New Roman" w:hAnsi="Verdana"/>
          <w:sz w:val="20"/>
          <w:szCs w:val="20"/>
          <w:lang w:val="en" w:eastAsia="en-AU"/>
        </w:rPr>
        <w:t>from downstream Gulungul</w:t>
      </w:r>
      <w:r w:rsidR="00A42FE4">
        <w:rPr>
          <w:rFonts w:ascii="Verdana" w:eastAsia="Times New Roman" w:hAnsi="Verdana"/>
          <w:sz w:val="20"/>
          <w:szCs w:val="20"/>
          <w:lang w:val="en" w:eastAsia="en-AU"/>
        </w:rPr>
        <w:t xml:space="preserve"> Creek confirmed this interpretation with</w:t>
      </w:r>
      <w:r w:rsidRPr="00EC0C77">
        <w:rPr>
          <w:rFonts w:ascii="Verdana" w:eastAsia="Times New Roman" w:hAnsi="Verdana"/>
          <w:sz w:val="20"/>
          <w:szCs w:val="20"/>
          <w:lang w:val="en" w:eastAsia="en-AU"/>
        </w:rPr>
        <w:t xml:space="preserve"> magnesium concentration</w:t>
      </w:r>
      <w:r w:rsidR="00A42FE4">
        <w:rPr>
          <w:rFonts w:ascii="Verdana" w:eastAsia="Times New Roman" w:hAnsi="Verdana"/>
          <w:sz w:val="20"/>
          <w:szCs w:val="20"/>
          <w:lang w:val="en" w:eastAsia="en-AU"/>
        </w:rPr>
        <w:t>s</w:t>
      </w:r>
      <w:r w:rsidRPr="00EC0C77">
        <w:rPr>
          <w:rFonts w:ascii="Verdana" w:eastAsia="Times New Roman" w:hAnsi="Verdana"/>
          <w:sz w:val="20"/>
          <w:szCs w:val="20"/>
          <w:lang w:val="en" w:eastAsia="en-AU"/>
        </w:rPr>
        <w:t xml:space="preserve"> below the limit.</w:t>
      </w:r>
    </w:p>
    <w:p w14:paraId="4E3CC243" w14:textId="3BE4C1B5" w:rsidR="001C7DAB" w:rsidRPr="00D116D1" w:rsidRDefault="00F84D11" w:rsidP="00362B96">
      <w:pPr>
        <w:spacing w:after="0" w:line="360" w:lineRule="atLeast"/>
        <w:jc w:val="center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F84D11">
        <w:rPr>
          <w:noProof/>
          <w:lang w:eastAsia="en-AU"/>
        </w:rPr>
        <w:drawing>
          <wp:inline distT="0" distB="0" distL="0" distR="0" wp14:anchorId="005CBAD7" wp14:editId="01E4DC64">
            <wp:extent cx="5849620" cy="443053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7941" w14:textId="6C8C054F" w:rsidR="0057624C" w:rsidRDefault="0057624C" w:rsidP="0057624C">
      <w:pPr>
        <w:pBdr>
          <w:bottom w:val="dotted" w:sz="6" w:space="5" w:color="CCCCCC"/>
        </w:pBdr>
        <w:spacing w:after="12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Gulungul</w:t>
      </w:r>
      <w:r w:rsidRPr="00D116D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Creek magnesium data 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for the 2019/20</w:t>
      </w:r>
      <w:r w:rsidR="006F1904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20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wet season </w:t>
      </w:r>
      <w:r w:rsidR="00E324B0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(continuous EC data shown in background for reference)</w:t>
      </w:r>
    </w:p>
    <w:p w14:paraId="6089981C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3F4F6CB6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50A64CC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0A255A55" w14:textId="77777777" w:rsidR="000B56E3" w:rsidRDefault="000B56E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21E1D0F0" w14:textId="2944BAE2" w:rsidR="00D116D1" w:rsidRPr="00D116D1" w:rsidRDefault="00D116D1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 w:rsidRPr="00D116D1">
        <w:rPr>
          <w:rFonts w:eastAsia="Times New Roman" w:cs="Arial"/>
          <w:sz w:val="35"/>
          <w:szCs w:val="35"/>
          <w:lang w:val="en" w:eastAsia="en-AU"/>
        </w:rPr>
        <w:lastRenderedPageBreak/>
        <w:t xml:space="preserve">Uranium in </w:t>
      </w:r>
      <w:r w:rsidR="00B45062">
        <w:rPr>
          <w:rFonts w:eastAsia="Times New Roman" w:cs="Arial"/>
          <w:sz w:val="35"/>
          <w:szCs w:val="35"/>
          <w:lang w:val="en" w:eastAsia="en-AU"/>
        </w:rPr>
        <w:t>Gulungul</w:t>
      </w:r>
      <w:r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6F1944ED" w14:textId="70D29925" w:rsidR="00D116D1" w:rsidRDefault="00D116D1" w:rsidP="00C35E5D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The uranium </w:t>
      </w:r>
      <w:r w:rsidR="00264732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Limit </w:t>
      </w:r>
      <w:r w:rsidR="00C35E5D" w:rsidRPr="00C35E5D">
        <w:rPr>
          <w:rFonts w:ascii="Verdana" w:eastAsia="Times New Roman" w:hAnsi="Verdana"/>
          <w:i/>
          <w:sz w:val="20"/>
          <w:szCs w:val="20"/>
          <w:lang w:val="en" w:eastAsia="en-AU"/>
        </w:rPr>
        <w:t>Trigger Value</w:t>
      </w:r>
      <w:r w:rsidR="00264732">
        <w:rPr>
          <w:rFonts w:ascii="Verdana" w:eastAsia="Times New Roman" w:hAnsi="Verdana"/>
          <w:sz w:val="20"/>
          <w:szCs w:val="20"/>
          <w:lang w:val="en" w:eastAsia="en-AU"/>
        </w:rPr>
        <w:t xml:space="preserve"> of 2.8 µg/L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has been derived using local ecotoxicological data in accordance with the Australian Water Quality Guidelines to protect 99% of the species present. </w:t>
      </w:r>
    </w:p>
    <w:p w14:paraId="36BA1413" w14:textId="77777777" w:rsidR="00C35E5D" w:rsidRDefault="00C35E5D" w:rsidP="00C35E5D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6E5D1326" w14:textId="1BA67143" w:rsidR="00F354EC" w:rsidRDefault="00F354EC" w:rsidP="00F354EC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The uranium concentration in the </w:t>
      </w:r>
      <w:r w:rsidR="00EC30B9">
        <w:rPr>
          <w:rFonts w:ascii="Verdana" w:eastAsia="Times New Roman" w:hAnsi="Verdana"/>
          <w:sz w:val="20"/>
          <w:szCs w:val="20"/>
          <w:lang w:val="en" w:eastAsia="en-AU"/>
        </w:rPr>
        <w:t xml:space="preserve">discrete </w:t>
      </w:r>
      <w:r w:rsidR="004572A5" w:rsidRPr="00E324B0">
        <w:rPr>
          <w:rFonts w:ascii="Verdana" w:eastAsia="Times New Roman" w:hAnsi="Verdana"/>
          <w:sz w:val="20"/>
          <w:szCs w:val="20"/>
          <w:lang w:val="en" w:eastAsia="en-AU"/>
        </w:rPr>
        <w:t>sample</w:t>
      </w:r>
      <w:r w:rsidR="00727205">
        <w:rPr>
          <w:rFonts w:ascii="Verdana" w:eastAsia="Times New Roman" w:hAnsi="Verdana"/>
          <w:sz w:val="20"/>
          <w:szCs w:val="20"/>
          <w:lang w:val="en" w:eastAsia="en-AU"/>
        </w:rPr>
        <w:t>s taken</w:t>
      </w:r>
      <w:r w:rsidR="004572A5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w</w:t>
      </w:r>
      <w:r w:rsidR="00727205">
        <w:rPr>
          <w:rFonts w:ascii="Verdana" w:eastAsia="Times New Roman" w:hAnsi="Verdana"/>
          <w:sz w:val="20"/>
          <w:szCs w:val="20"/>
          <w:lang w:val="en" w:eastAsia="en-AU"/>
        </w:rPr>
        <w:t>ere</w:t>
      </w:r>
      <w:r w:rsidR="004572A5"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low and well</w:t>
      </w:r>
      <w:r w:rsidRPr="00E324B0">
        <w:rPr>
          <w:rFonts w:ascii="Verdana" w:eastAsia="Times New Roman" w:hAnsi="Verdana"/>
          <w:sz w:val="20"/>
          <w:szCs w:val="20"/>
          <w:lang w:val="en" w:eastAsia="en-AU"/>
        </w:rPr>
        <w:t xml:space="preserve"> below the trigger value at the Gulungul Creek downstream site.</w:t>
      </w:r>
    </w:p>
    <w:p w14:paraId="4B77C972" w14:textId="548792C0" w:rsidR="00D116D1" w:rsidRPr="00D116D1" w:rsidRDefault="00F84D11" w:rsidP="004F1DE4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bookmarkStart w:id="1" w:name="_GoBack"/>
      <w:r w:rsidRPr="00F84D11">
        <w:rPr>
          <w:noProof/>
          <w:lang w:eastAsia="en-AU"/>
        </w:rPr>
        <w:drawing>
          <wp:inline distT="0" distB="0" distL="0" distR="0" wp14:anchorId="770C6F4A" wp14:editId="4E614AE3">
            <wp:extent cx="5849620" cy="43645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D77FC92" w14:textId="044AB04F" w:rsidR="00D116D1" w:rsidRPr="00D116D1" w:rsidRDefault="002F30C6" w:rsidP="00857C60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Gulungul</w:t>
      </w:r>
      <w:r w:rsidR="00D116D1" w:rsidRPr="00D116D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Creek </w:t>
      </w:r>
      <w:r w:rsidR="00857C60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uranium</w:t>
      </w:r>
      <w:r w:rsidR="00857C60" w:rsidRPr="00D116D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data 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for the 2019/20</w:t>
      </w:r>
      <w:r w:rsidR="006F1904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20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wet season </w:t>
      </w:r>
      <w:r w:rsidR="00857C60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(continuous EC data shown in background for reference</w:t>
      </w:r>
      <w:r w:rsidR="00415FB4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)</w:t>
      </w:r>
    </w:p>
    <w:p w14:paraId="5837BB8F" w14:textId="77777777" w:rsidR="00C35E5D" w:rsidRDefault="00C35E5D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0A1A7057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33546750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80C3A42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1823D9C9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3266A566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77736570" w14:textId="77777777" w:rsidR="00033183" w:rsidRDefault="0003318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F8FD92F" w14:textId="7EB188A8" w:rsidR="00D116D1" w:rsidRPr="00D116D1" w:rsidRDefault="00D116D1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 w:rsidRPr="00D116D1">
        <w:rPr>
          <w:rFonts w:eastAsia="Times New Roman" w:cs="Arial"/>
          <w:sz w:val="35"/>
          <w:szCs w:val="35"/>
          <w:lang w:val="en" w:eastAsia="en-AU"/>
        </w:rPr>
        <w:lastRenderedPageBreak/>
        <w:t xml:space="preserve">Manganese in </w:t>
      </w:r>
      <w:r w:rsidR="00B45062">
        <w:rPr>
          <w:rFonts w:eastAsia="Times New Roman" w:cs="Arial"/>
          <w:sz w:val="35"/>
          <w:szCs w:val="35"/>
          <w:lang w:val="en" w:eastAsia="en-AU"/>
        </w:rPr>
        <w:t>Gulungul</w:t>
      </w:r>
      <w:r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7C8BC42D" w14:textId="4AB38BEE" w:rsidR="00D116D1" w:rsidRDefault="00D116D1" w:rsidP="00AD49D8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>The manganese</w:t>
      </w:r>
      <w:r w:rsidR="00701645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264732">
        <w:rPr>
          <w:rFonts w:ascii="Verdana" w:eastAsia="Times New Roman" w:hAnsi="Verdana"/>
          <w:i/>
          <w:sz w:val="20"/>
          <w:szCs w:val="20"/>
          <w:lang w:val="en" w:eastAsia="en-AU"/>
        </w:rPr>
        <w:t>Limit</w:t>
      </w:r>
      <w:r w:rsidR="00701645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 Trigger Value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 of 75 µg/L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>has been</w:t>
      </w:r>
      <w:r w:rsidR="002A4CE5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derived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using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 xml:space="preserve">local 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ecotoxicological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>data</w:t>
      </w:r>
      <w:r w:rsidR="00583200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and applies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>only when</w:t>
      </w:r>
      <w:r w:rsidR="002A4CE5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creek flows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 xml:space="preserve">are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greater than 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>1</w:t>
      </w:r>
      <w:r w:rsidR="00A537E5"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cumec</w:t>
      </w:r>
      <w:r w:rsidR="005E1081">
        <w:rPr>
          <w:rFonts w:ascii="Verdana" w:eastAsia="Times New Roman" w:hAnsi="Verdana"/>
          <w:sz w:val="20"/>
          <w:szCs w:val="20"/>
          <w:lang w:val="en" w:eastAsia="en-AU"/>
        </w:rPr>
        <w:t xml:space="preserve">. 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 xml:space="preserve">Flows less than </w:t>
      </w:r>
      <w:r w:rsidR="005E1081">
        <w:rPr>
          <w:rFonts w:ascii="Verdana" w:eastAsia="Times New Roman" w:hAnsi="Verdana"/>
          <w:sz w:val="20"/>
          <w:szCs w:val="20"/>
          <w:lang w:val="en" w:eastAsia="en-AU"/>
        </w:rPr>
        <w:t>1 cumec are indicative of groundwater-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>dominated inputs</w:t>
      </w:r>
      <w:r w:rsidR="005E1081">
        <w:rPr>
          <w:rFonts w:ascii="Verdana" w:eastAsia="Times New Roman" w:hAnsi="Verdana"/>
          <w:sz w:val="20"/>
          <w:szCs w:val="20"/>
          <w:lang w:val="en" w:eastAsia="en-AU"/>
        </w:rPr>
        <w:t>,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 xml:space="preserve"> which are likely to be higher in manganese. 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>This guideline may be exceeded occasionally due to natural events but should not be exceeded due to mining activities.</w:t>
      </w:r>
      <w:r w:rsidR="00A537E5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</w:p>
    <w:p w14:paraId="18F1E5F7" w14:textId="77777777" w:rsidR="006420D4" w:rsidRDefault="006420D4" w:rsidP="006F47E8">
      <w:pPr>
        <w:spacing w:after="0" w:line="360" w:lineRule="atLeast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44373C80" w14:textId="5B9E1C21" w:rsidR="005C0EF8" w:rsidRDefault="005C0EF8" w:rsidP="005C0EF8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manganese concentration in samples collected </w:t>
      </w:r>
      <w:r w:rsidR="00682F0E">
        <w:rPr>
          <w:rFonts w:ascii="Verdana" w:eastAsia="Times New Roman" w:hAnsi="Verdana"/>
          <w:sz w:val="20"/>
          <w:szCs w:val="20"/>
          <w:lang w:val="en" w:eastAsia="en-AU"/>
        </w:rPr>
        <w:t>throughout the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wet season were low and below the limit trigger value at the Gulungul Creek downstream site.</w:t>
      </w:r>
    </w:p>
    <w:p w14:paraId="320D3159" w14:textId="1441E04B" w:rsidR="009133D2" w:rsidRDefault="00F84D11" w:rsidP="005E1081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 w:rsidRPr="00F84D11">
        <w:rPr>
          <w:noProof/>
          <w:lang w:eastAsia="en-AU"/>
        </w:rPr>
        <w:drawing>
          <wp:inline distT="0" distB="0" distL="0" distR="0" wp14:anchorId="5CC12728" wp14:editId="78105A87">
            <wp:extent cx="5849620" cy="445368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45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10906" w14:textId="11628BF0" w:rsidR="00D116D1" w:rsidRPr="00D116D1" w:rsidRDefault="00831B09" w:rsidP="005E1081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G</w:t>
      </w:r>
      <w:r w:rsidR="006F47E8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ulungul</w:t>
      </w:r>
      <w:r w:rsidR="00D116D1" w:rsidRPr="00D116D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</w:t>
      </w:r>
      <w:r w:rsidR="005E1081" w:rsidRPr="00D116D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Creek </w:t>
      </w:r>
      <w:r w:rsidR="005E108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manganese</w:t>
      </w:r>
      <w:r w:rsidR="005E1081" w:rsidRPr="00D116D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data 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for the 2019/2</w:t>
      </w:r>
      <w:r w:rsidR="006F1904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02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0 wet season </w:t>
      </w:r>
      <w:r w:rsidR="005E108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(continuous EC data shown in background for reference</w:t>
      </w:r>
      <w:r w:rsidR="001779A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)</w:t>
      </w:r>
    </w:p>
    <w:p w14:paraId="285E3FC6" w14:textId="77777777" w:rsidR="00F92A4E" w:rsidRDefault="00F92A4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70F4C8C7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79C77D7D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7CBAB9C" w14:textId="77777777" w:rsidR="00033183" w:rsidRDefault="0003318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B834ECB" w14:textId="77777777" w:rsidR="00033183" w:rsidRDefault="0003318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220B5049" w14:textId="0C9EFF81" w:rsidR="00C27EE9" w:rsidRDefault="00C27EE9" w:rsidP="00C27EE9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>
        <w:rPr>
          <w:rFonts w:eastAsia="Times New Roman" w:cs="Arial"/>
          <w:sz w:val="35"/>
          <w:szCs w:val="35"/>
          <w:lang w:val="en" w:eastAsia="en-AU"/>
        </w:rPr>
        <w:lastRenderedPageBreak/>
        <w:t>Total Ammonia Nitrogen (TAN) in Gulungul Creek</w:t>
      </w:r>
    </w:p>
    <w:p w14:paraId="2713C53B" w14:textId="77777777" w:rsidR="00C27EE9" w:rsidRDefault="00C27EE9" w:rsidP="00C27EE9">
      <w:pPr>
        <w:spacing w:after="18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interim total ammonia nitrogen (TAN) </w:t>
      </w:r>
      <w:r>
        <w:rPr>
          <w:rFonts w:ascii="Verdana" w:eastAsia="Times New Roman" w:hAnsi="Verdana"/>
          <w:i/>
          <w:sz w:val="20"/>
          <w:szCs w:val="20"/>
          <w:lang w:val="en" w:eastAsia="en-AU"/>
        </w:rPr>
        <w:t>Guideline Trigger Value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of 0.7 mg/L was derived using international ecotoxicity data. In accordance with the Australian Water Quality Guidelines, the Supervising Scientist is currently developing site-specific trigger values, based on ecotoxicity data using local aquatic species.</w:t>
      </w:r>
    </w:p>
    <w:p w14:paraId="697A1191" w14:textId="0D32C4A1" w:rsidR="00C27EE9" w:rsidRPr="00C27EE9" w:rsidRDefault="00C27EE9" w:rsidP="00C27EE9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TAN concentration in </w:t>
      </w:r>
      <w:r w:rsidR="00766B9A">
        <w:rPr>
          <w:rFonts w:ascii="Verdana" w:eastAsia="Times New Roman" w:hAnsi="Verdana"/>
          <w:sz w:val="20"/>
          <w:szCs w:val="20"/>
          <w:lang w:val="en" w:eastAsia="en-AU"/>
        </w:rPr>
        <w:t xml:space="preserve">samples collected </w:t>
      </w:r>
      <w:r w:rsidR="005C0EF8">
        <w:rPr>
          <w:rFonts w:ascii="Verdana" w:eastAsia="Times New Roman" w:hAnsi="Verdana"/>
          <w:sz w:val="20"/>
          <w:szCs w:val="20"/>
          <w:lang w:val="en" w:eastAsia="en-AU"/>
        </w:rPr>
        <w:t>to the end of the</w:t>
      </w:r>
      <w:r w:rsidR="00723B7D">
        <w:rPr>
          <w:rFonts w:ascii="Verdana" w:eastAsia="Times New Roman" w:hAnsi="Verdana"/>
          <w:sz w:val="20"/>
          <w:szCs w:val="20"/>
          <w:lang w:val="en" w:eastAsia="en-AU"/>
        </w:rPr>
        <w:t xml:space="preserve"> wet season </w:t>
      </w:r>
      <w:r w:rsidR="00766B9A">
        <w:rPr>
          <w:rFonts w:ascii="Verdana" w:eastAsia="Times New Roman" w:hAnsi="Verdana"/>
          <w:sz w:val="20"/>
          <w:szCs w:val="20"/>
          <w:lang w:val="en" w:eastAsia="en-AU"/>
        </w:rPr>
        <w:t>were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well below the </w:t>
      </w:r>
      <w:r w:rsidR="005C0EF8">
        <w:rPr>
          <w:rFonts w:ascii="Verdana" w:eastAsia="Times New Roman" w:hAnsi="Verdana"/>
          <w:sz w:val="20"/>
          <w:szCs w:val="20"/>
          <w:lang w:val="en" w:eastAsia="en-AU"/>
        </w:rPr>
        <w:t xml:space="preserve">guideline </w:t>
      </w:r>
      <w:r>
        <w:rPr>
          <w:rFonts w:ascii="Verdana" w:eastAsia="Times New Roman" w:hAnsi="Verdana"/>
          <w:sz w:val="20"/>
          <w:szCs w:val="20"/>
          <w:lang w:val="en" w:eastAsia="en-AU"/>
        </w:rPr>
        <w:t>trigger value at the Gulungul Creek downstream site.</w:t>
      </w:r>
      <w:r w:rsidR="00727205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</w:p>
    <w:p w14:paraId="0B00C3FE" w14:textId="5C58DFBE" w:rsidR="00C27EE9" w:rsidRDefault="00F84D11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  <w:r w:rsidRPr="00F84D11">
        <w:rPr>
          <w:noProof/>
          <w:lang w:eastAsia="en-AU"/>
        </w:rPr>
        <w:drawing>
          <wp:inline distT="0" distB="0" distL="0" distR="0" wp14:anchorId="2EFC7037" wp14:editId="56451F39">
            <wp:extent cx="5849620" cy="442852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42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AF9D" w14:textId="5355B62D" w:rsidR="00C27EE9" w:rsidRDefault="00C27EE9" w:rsidP="00C27EE9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Gulungul Creek total ammonia nitrogen (TAN) data 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for the 2019/20</w:t>
      </w:r>
      <w:r w:rsidR="006F1904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20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wet season </w:t>
      </w:r>
      <w:r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(continuous EC data shown in background for reference)</w:t>
      </w:r>
    </w:p>
    <w:p w14:paraId="752626B5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ABCB6BA" w14:textId="77777777" w:rsidR="00C27EE9" w:rsidRDefault="00C27EE9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4BAE69F" w14:textId="77777777" w:rsidR="00C27EE9" w:rsidRDefault="00C27EE9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512E2E90" w14:textId="77777777" w:rsidR="00C27EE9" w:rsidRDefault="00C27EE9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73BD2B1E" w14:textId="77777777" w:rsidR="00C27EE9" w:rsidRDefault="00C27EE9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2FFE6B17" w14:textId="77777777" w:rsidR="00C27EE9" w:rsidRDefault="00C27EE9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5C57DDD" w14:textId="77777777" w:rsidR="00AB5B1C" w:rsidRPr="00D116D1" w:rsidRDefault="00AB5B1C" w:rsidP="00AB5B1C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 w:rsidRPr="00D116D1">
        <w:rPr>
          <w:rFonts w:eastAsia="Times New Roman" w:cs="Arial"/>
          <w:sz w:val="35"/>
          <w:szCs w:val="35"/>
          <w:lang w:val="en" w:eastAsia="en-AU"/>
        </w:rPr>
        <w:lastRenderedPageBreak/>
        <w:t xml:space="preserve">Turbidity in </w:t>
      </w:r>
      <w:r>
        <w:rPr>
          <w:rFonts w:eastAsia="Times New Roman" w:cs="Arial"/>
          <w:sz w:val="35"/>
          <w:szCs w:val="35"/>
          <w:lang w:val="en" w:eastAsia="en-AU"/>
        </w:rPr>
        <w:t>Gulungul</w:t>
      </w:r>
      <w:r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647A84A3" w14:textId="4AD0DA17" w:rsidR="00AB5B1C" w:rsidRDefault="00AB5B1C" w:rsidP="00AB5B1C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D116D1">
        <w:rPr>
          <w:rFonts w:ascii="Verdana" w:eastAsia="Times New Roman" w:hAnsi="Verdana"/>
          <w:sz w:val="20"/>
          <w:szCs w:val="20"/>
          <w:lang w:val="en" w:eastAsia="en-AU"/>
        </w:rPr>
        <w:t>The turbidity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Pr="00CF2C2C">
        <w:rPr>
          <w:rFonts w:ascii="Verdana" w:eastAsia="Times New Roman" w:hAnsi="Verdana"/>
          <w:i/>
          <w:sz w:val="20"/>
          <w:szCs w:val="20"/>
          <w:lang w:val="en" w:eastAsia="en-AU"/>
        </w:rPr>
        <w:t>Guideline Trigger Value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of 26 NTU </w:t>
      </w:r>
      <w:r>
        <w:rPr>
          <w:rFonts w:ascii="Verdana" w:eastAsia="Times New Roman" w:hAnsi="Verdana"/>
          <w:sz w:val="20"/>
          <w:szCs w:val="20"/>
          <w:lang w:val="en" w:eastAsia="en-AU"/>
        </w:rPr>
        <w:t>has been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>
        <w:rPr>
          <w:rFonts w:ascii="Verdana" w:eastAsia="Times New Roman" w:hAnsi="Verdana"/>
          <w:sz w:val="20"/>
          <w:szCs w:val="20"/>
          <w:lang w:val="en" w:eastAsia="en-AU"/>
        </w:rPr>
        <w:t>derived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statistically from historical weekly grab sampling data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at reference sites</w:t>
      </w:r>
      <w:r w:rsidR="000F6D5C">
        <w:rPr>
          <w:rFonts w:ascii="Verdana" w:eastAsia="Times New Roman" w:hAnsi="Verdana"/>
          <w:sz w:val="20"/>
          <w:szCs w:val="20"/>
          <w:lang w:val="en" w:eastAsia="en-AU"/>
        </w:rPr>
        <w:t>.</w:t>
      </w:r>
      <w:r w:rsidRPr="00D116D1">
        <w:rPr>
          <w:rFonts w:ascii="Verdana" w:eastAsia="Times New Roman" w:hAnsi="Verdana"/>
          <w:sz w:val="20"/>
          <w:szCs w:val="20"/>
          <w:lang w:val="en" w:eastAsia="en-AU"/>
        </w:rPr>
        <w:t xml:space="preserve"> This guideline may be exceeded occasionally due to natural events but should not be exceeded due to mining activities.</w:t>
      </w:r>
    </w:p>
    <w:p w14:paraId="4B3F5CFF" w14:textId="77777777" w:rsidR="00AB5B1C" w:rsidRDefault="00AB5B1C" w:rsidP="00AB5B1C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11773563" w14:textId="61999120" w:rsidR="00E324B0" w:rsidRPr="00EC30B9" w:rsidRDefault="00AB5B1C" w:rsidP="00AB5B1C">
      <w:pPr>
        <w:spacing w:after="0" w:line="360" w:lineRule="atLeast"/>
        <w:jc w:val="both"/>
        <w:textAlignment w:val="baseline"/>
        <w:rPr>
          <w:rFonts w:ascii="Verdana" w:eastAsia="Times New Roman" w:hAnsi="Verdana"/>
          <w:noProof/>
          <w:sz w:val="20"/>
          <w:szCs w:val="20"/>
          <w:lang w:eastAsia="en-AU"/>
        </w:rPr>
      </w:pPr>
      <w:r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The turbidity </w:t>
      </w:r>
      <w:r w:rsidR="000D05C4" w:rsidRPr="00EC30B9">
        <w:rPr>
          <w:rFonts w:ascii="Verdana" w:eastAsia="Times New Roman" w:hAnsi="Verdana"/>
          <w:noProof/>
          <w:sz w:val="20"/>
          <w:szCs w:val="20"/>
          <w:lang w:eastAsia="en-AU"/>
        </w:rPr>
        <w:t>values recorded in Gulungul Creek</w:t>
      </w:r>
      <w:r w:rsidR="004572A5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w</w:t>
      </w:r>
      <w:r w:rsidR="00073C48" w:rsidRPr="00EC30B9">
        <w:rPr>
          <w:rFonts w:ascii="Verdana" w:eastAsia="Times New Roman" w:hAnsi="Verdana"/>
          <w:noProof/>
          <w:sz w:val="20"/>
          <w:szCs w:val="20"/>
          <w:lang w:eastAsia="en-AU"/>
        </w:rPr>
        <w:t>ere</w:t>
      </w:r>
      <w:r w:rsidR="000D05C4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below the guideline value to the end </w:t>
      </w:r>
      <w:r w:rsidR="005C0EF8">
        <w:rPr>
          <w:rFonts w:ascii="Verdana" w:eastAsia="Times New Roman" w:hAnsi="Verdana"/>
          <w:noProof/>
          <w:sz w:val="20"/>
          <w:szCs w:val="20"/>
          <w:lang w:eastAsia="en-AU"/>
        </w:rPr>
        <w:t>of the wet season</w:t>
      </w:r>
      <w:r w:rsidR="00B04D92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except </w:t>
      </w:r>
      <w:r w:rsidR="005C0EF8">
        <w:rPr>
          <w:rFonts w:ascii="Verdana" w:eastAsia="Times New Roman" w:hAnsi="Verdana"/>
          <w:noProof/>
          <w:sz w:val="20"/>
          <w:szCs w:val="20"/>
          <w:lang w:eastAsia="en-AU"/>
        </w:rPr>
        <w:t>on</w:t>
      </w:r>
      <w:r w:rsidR="00B04D92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one occasion. On the </w:t>
      </w:r>
      <w:r w:rsidR="00E324B0" w:rsidRPr="00EC30B9">
        <w:rPr>
          <w:rFonts w:ascii="Verdana" w:eastAsia="Times New Roman" w:hAnsi="Verdana"/>
          <w:noProof/>
          <w:sz w:val="20"/>
          <w:szCs w:val="20"/>
          <w:lang w:eastAsia="en-AU"/>
        </w:rPr>
        <w:t>8</w:t>
      </w:r>
      <w:r w:rsidR="00E324B0" w:rsidRPr="00EC30B9">
        <w:rPr>
          <w:rFonts w:ascii="Verdana" w:eastAsia="Times New Roman" w:hAnsi="Verdana"/>
          <w:noProof/>
          <w:sz w:val="20"/>
          <w:szCs w:val="20"/>
          <w:vertAlign w:val="superscript"/>
          <w:lang w:eastAsia="en-AU"/>
        </w:rPr>
        <w:t>th</w:t>
      </w:r>
      <w:r w:rsidR="00E324B0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February,</w:t>
      </w:r>
      <w:r w:rsidR="00B04D92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</w:t>
      </w:r>
      <w:r w:rsidR="005C0EF8">
        <w:rPr>
          <w:rFonts w:ascii="Verdana" w:eastAsia="Times New Roman" w:hAnsi="Verdana"/>
          <w:noProof/>
          <w:sz w:val="20"/>
          <w:szCs w:val="20"/>
          <w:lang w:eastAsia="en-AU"/>
        </w:rPr>
        <w:t>turbidity</w:t>
      </w:r>
      <w:r w:rsidR="00B04D92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reached </w:t>
      </w:r>
      <w:r w:rsidR="00E324B0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33.4 </w:t>
      </w:r>
      <w:r w:rsidR="005C0EF8">
        <w:rPr>
          <w:rFonts w:ascii="Verdana" w:eastAsia="Times New Roman" w:hAnsi="Verdana"/>
          <w:noProof/>
          <w:sz w:val="20"/>
          <w:szCs w:val="20"/>
          <w:lang w:eastAsia="en-AU"/>
        </w:rPr>
        <w:t xml:space="preserve">NTU </w:t>
      </w:r>
      <w:r w:rsidR="00F6110D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at the </w:t>
      </w:r>
      <w:r w:rsidR="00E324B0" w:rsidRPr="00EC30B9">
        <w:rPr>
          <w:rFonts w:ascii="Verdana" w:eastAsia="Times New Roman" w:hAnsi="Verdana"/>
          <w:noProof/>
          <w:sz w:val="20"/>
          <w:szCs w:val="20"/>
          <w:lang w:eastAsia="en-AU"/>
        </w:rPr>
        <w:t>upstream</w:t>
      </w:r>
      <w:r w:rsidR="00F6110D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monitoring site. </w:t>
      </w:r>
      <w:r w:rsidR="00E324B0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The downstream site experienced a </w:t>
      </w:r>
      <w:r w:rsidR="00C33629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small </w:t>
      </w:r>
      <w:r w:rsidR="00E324B0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spike in </w:t>
      </w:r>
      <w:r w:rsidR="005C0EF8">
        <w:rPr>
          <w:rFonts w:ascii="Verdana" w:eastAsia="Times New Roman" w:hAnsi="Verdana"/>
          <w:noProof/>
          <w:sz w:val="20"/>
          <w:szCs w:val="20"/>
          <w:lang w:eastAsia="en-AU"/>
        </w:rPr>
        <w:t>turbidity</w:t>
      </w:r>
      <w:r w:rsidR="00E324B0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at the time, reaching </w:t>
      </w:r>
      <w:r w:rsidR="00C33629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9.6 NTU. </w:t>
      </w:r>
      <w:r w:rsidR="000D05C4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Peaks in turbidity are associated with </w:t>
      </w:r>
      <w:r w:rsidR="001375E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the </w:t>
      </w:r>
      <w:r w:rsidR="00F23D61">
        <w:rPr>
          <w:rFonts w:ascii="Verdana" w:eastAsia="Times New Roman" w:hAnsi="Verdana"/>
          <w:noProof/>
          <w:sz w:val="20"/>
          <w:szCs w:val="20"/>
          <w:lang w:eastAsia="en-AU"/>
        </w:rPr>
        <w:t>mobilisation of sediment in rainfall events</w:t>
      </w:r>
      <w:r w:rsidR="000D05C4" w:rsidRPr="00EC30B9">
        <w:rPr>
          <w:rFonts w:ascii="Verdana" w:eastAsia="Times New Roman" w:hAnsi="Verdana"/>
          <w:noProof/>
          <w:sz w:val="20"/>
          <w:szCs w:val="20"/>
          <w:lang w:eastAsia="en-AU"/>
        </w:rPr>
        <w:t xml:space="preserve"> and </w:t>
      </w:r>
      <w:r w:rsidR="000D05C4" w:rsidRPr="00EC30B9">
        <w:rPr>
          <w:rFonts w:ascii="Verdana" w:eastAsia="Times New Roman" w:hAnsi="Verdana"/>
          <w:sz w:val="20"/>
          <w:szCs w:val="20"/>
          <w:lang w:val="en" w:eastAsia="en-AU"/>
        </w:rPr>
        <w:t>do not reflect a trend of increased turbidity</w:t>
      </w:r>
      <w:r w:rsidR="00C33629" w:rsidRPr="00EC30B9">
        <w:rPr>
          <w:rFonts w:ascii="Verdana" w:eastAsia="Times New Roman" w:hAnsi="Verdana"/>
          <w:sz w:val="20"/>
          <w:szCs w:val="20"/>
          <w:lang w:val="en" w:eastAsia="en-AU"/>
        </w:rPr>
        <w:t xml:space="preserve"> above the trigger value</w:t>
      </w:r>
      <w:r w:rsidR="000D05C4" w:rsidRPr="00EC30B9">
        <w:rPr>
          <w:rFonts w:ascii="Verdana" w:eastAsia="Times New Roman" w:hAnsi="Verdana"/>
          <w:sz w:val="20"/>
          <w:szCs w:val="20"/>
          <w:lang w:val="en" w:eastAsia="en-AU"/>
        </w:rPr>
        <w:t xml:space="preserve"> at the downstream site, or a specific mining-related effect.</w:t>
      </w:r>
    </w:p>
    <w:p w14:paraId="5689F1F4" w14:textId="2756E059" w:rsidR="00AC1579" w:rsidRDefault="00F84D11" w:rsidP="00AB5B1C">
      <w:pPr>
        <w:spacing w:after="0" w:line="360" w:lineRule="atLeast"/>
        <w:jc w:val="both"/>
        <w:textAlignment w:val="baseline"/>
        <w:rPr>
          <w:rFonts w:ascii="Verdana" w:eastAsia="Times New Roman" w:hAnsi="Verdana"/>
          <w:noProof/>
          <w:sz w:val="20"/>
          <w:szCs w:val="20"/>
          <w:lang w:eastAsia="en-AU"/>
        </w:rPr>
      </w:pPr>
      <w:r>
        <w:object w:dxaOrig="10935" w:dyaOrig="7815" w14:anchorId="7B1436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29.25pt" o:ole="">
            <v:imagedata r:id="rId16" o:title=""/>
          </v:shape>
          <o:OLEObject Type="Embed" ProgID="SigmaPlotGraphicObject.13" ShapeID="_x0000_i1025" DrawAspect="Content" ObjectID="_1657453836" r:id="rId17"/>
        </w:object>
      </w:r>
    </w:p>
    <w:p w14:paraId="6C32AE0E" w14:textId="5A777515" w:rsidR="00AC1579" w:rsidRPr="00D116D1" w:rsidRDefault="00AC1579" w:rsidP="00AC1579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Gulungul</w:t>
      </w:r>
      <w:r w:rsidRPr="00D116D1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Creek continuous turbidity monitoring data</w:t>
      </w:r>
      <w:r w:rsidR="00723B7D" w:rsidRP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for the 2019/20</w:t>
      </w:r>
      <w:r w:rsidR="006F1904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20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wet season</w:t>
      </w:r>
    </w:p>
    <w:p w14:paraId="1E86443A" w14:textId="77777777" w:rsidR="00AB5B1C" w:rsidRDefault="00AB5B1C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08FAA1B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27DA672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09675F0D" w14:textId="77777777" w:rsidR="00C4118E" w:rsidRDefault="00C4118E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458B3D76" w14:textId="77777777" w:rsidR="000B56E3" w:rsidRDefault="000B56E3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4EAAE6B" w14:textId="77777777" w:rsidR="00723B7D" w:rsidRDefault="00723B7D" w:rsidP="00D116D1">
      <w:pPr>
        <w:spacing w:before="72" w:after="180" w:line="300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" w:eastAsia="en-AU"/>
        </w:rPr>
      </w:pPr>
    </w:p>
    <w:p w14:paraId="64B794AB" w14:textId="43558EEB" w:rsidR="00D116D1" w:rsidRPr="00D116D1" w:rsidRDefault="00D116D1" w:rsidP="00D116D1">
      <w:pPr>
        <w:spacing w:before="72" w:after="180" w:line="300" w:lineRule="atLeast"/>
        <w:textAlignment w:val="baseline"/>
        <w:outlineLvl w:val="1"/>
        <w:rPr>
          <w:rFonts w:eastAsia="Times New Roman" w:cs="Arial"/>
          <w:sz w:val="35"/>
          <w:szCs w:val="35"/>
          <w:lang w:val="en" w:eastAsia="en-AU"/>
        </w:rPr>
      </w:pPr>
      <w:r w:rsidRPr="00D116D1">
        <w:rPr>
          <w:rFonts w:eastAsia="Times New Roman" w:cs="Arial"/>
          <w:sz w:val="35"/>
          <w:szCs w:val="35"/>
          <w:lang w:val="en" w:eastAsia="en-AU"/>
        </w:rPr>
        <w:lastRenderedPageBreak/>
        <w:t xml:space="preserve">Radium-226 in </w:t>
      </w:r>
      <w:r w:rsidR="00B45062">
        <w:rPr>
          <w:rFonts w:eastAsia="Times New Roman" w:cs="Arial"/>
          <w:sz w:val="35"/>
          <w:szCs w:val="35"/>
          <w:lang w:val="en" w:eastAsia="en-AU"/>
        </w:rPr>
        <w:t>Gulungul</w:t>
      </w:r>
      <w:r w:rsidRPr="00D116D1">
        <w:rPr>
          <w:rFonts w:eastAsia="Times New Roman" w:cs="Arial"/>
          <w:sz w:val="35"/>
          <w:szCs w:val="35"/>
          <w:lang w:val="en" w:eastAsia="en-AU"/>
        </w:rPr>
        <w:t xml:space="preserve"> Creek</w:t>
      </w:r>
    </w:p>
    <w:p w14:paraId="3AC76728" w14:textId="2D9EBFF3" w:rsidR="00D116D1" w:rsidRDefault="009A10BD" w:rsidP="009A10BD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9A10BD">
        <w:rPr>
          <w:rFonts w:ascii="Verdana" w:eastAsia="Times New Roman" w:hAnsi="Verdana"/>
          <w:sz w:val="20"/>
          <w:szCs w:val="20"/>
          <w:lang w:val="en" w:eastAsia="en-AU"/>
        </w:rPr>
        <w:t xml:space="preserve">The activity concentration limit for </w:t>
      </w:r>
      <w:r w:rsidRPr="009A10BD">
        <w:rPr>
          <w:rFonts w:ascii="Verdana" w:eastAsia="Times New Roman" w:hAnsi="Verdana"/>
          <w:sz w:val="20"/>
          <w:szCs w:val="20"/>
          <w:vertAlign w:val="superscript"/>
          <w:lang w:val="en" w:eastAsia="en-AU"/>
        </w:rPr>
        <w:t>226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 xml:space="preserve">Ra was developed to ensure the radiation dose received by people who consume mussels from downstream waterways remains 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 xml:space="preserve">below 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>safe</w:t>
      </w:r>
      <w:r w:rsidR="002A4CE5">
        <w:rPr>
          <w:rFonts w:ascii="Verdana" w:eastAsia="Times New Roman" w:hAnsi="Verdana"/>
          <w:sz w:val="20"/>
          <w:szCs w:val="20"/>
          <w:lang w:val="en" w:eastAsia="en-AU"/>
        </w:rPr>
        <w:t xml:space="preserve"> levels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 xml:space="preserve">. </w:t>
      </w:r>
      <w:r w:rsidR="009A5951">
        <w:rPr>
          <w:rFonts w:ascii="Verdana" w:eastAsia="Times New Roman" w:hAnsi="Verdana"/>
          <w:sz w:val="20"/>
          <w:szCs w:val="20"/>
          <w:lang w:val="en" w:eastAsia="en-AU"/>
        </w:rPr>
        <w:t xml:space="preserve">The radium-226 </w:t>
      </w:r>
      <w:r w:rsidR="009A5951">
        <w:rPr>
          <w:rFonts w:ascii="Verdana" w:eastAsia="Times New Roman" w:hAnsi="Verdana"/>
          <w:i/>
          <w:sz w:val="20"/>
          <w:szCs w:val="20"/>
          <w:lang w:val="en" w:eastAsia="en-AU"/>
        </w:rPr>
        <w:t>Trigger Value</w:t>
      </w:r>
      <w:r w:rsidR="00C77850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 </w:t>
      </w:r>
      <w:r w:rsidR="00C77850">
        <w:rPr>
          <w:rFonts w:ascii="Verdana" w:eastAsia="Times New Roman" w:hAnsi="Verdana"/>
          <w:sz w:val="20"/>
          <w:szCs w:val="20"/>
          <w:lang w:val="en" w:eastAsia="en-AU"/>
        </w:rPr>
        <w:t>of less than 3 mBq/L</w:t>
      </w:r>
      <w:r w:rsidR="009A5951">
        <w:rPr>
          <w:rFonts w:ascii="Verdana" w:eastAsia="Times New Roman" w:hAnsi="Verdana"/>
          <w:i/>
          <w:sz w:val="20"/>
          <w:szCs w:val="20"/>
          <w:lang w:val="en" w:eastAsia="en-AU"/>
        </w:rPr>
        <w:t xml:space="preserve"> </w:t>
      </w:r>
      <w:r w:rsidR="009A5951">
        <w:rPr>
          <w:rFonts w:ascii="Verdana" w:eastAsia="Times New Roman" w:hAnsi="Verdana"/>
          <w:sz w:val="20"/>
          <w:szCs w:val="20"/>
          <w:lang w:val="en" w:eastAsia="en-AU"/>
        </w:rPr>
        <w:t xml:space="preserve">is calculated as 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>the geometric mean difference between the upstream and downstream values</w:t>
      </w:r>
      <w:r w:rsidR="009A5951">
        <w:rPr>
          <w:rFonts w:ascii="Verdana" w:eastAsia="Times New Roman" w:hAnsi="Verdana"/>
          <w:sz w:val="20"/>
          <w:szCs w:val="20"/>
          <w:lang w:val="en" w:eastAsia="en-AU"/>
        </w:rPr>
        <w:t xml:space="preserve"> for the entire wet season</w:t>
      </w:r>
      <w:r w:rsidR="00C77850">
        <w:rPr>
          <w:rFonts w:ascii="Verdana" w:eastAsia="Times New Roman" w:hAnsi="Verdana"/>
          <w:sz w:val="20"/>
          <w:szCs w:val="20"/>
          <w:lang w:val="en" w:eastAsia="en-AU"/>
        </w:rPr>
        <w:t>.</w:t>
      </w:r>
      <w:r w:rsidRPr="009A10BD"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</w:p>
    <w:p w14:paraId="31474F59" w14:textId="77777777" w:rsidR="009A10BD" w:rsidRDefault="009A10BD" w:rsidP="00D116D1">
      <w:pPr>
        <w:spacing w:after="0" w:line="360" w:lineRule="atLeast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</w:p>
    <w:p w14:paraId="0B6D17EA" w14:textId="037B8109" w:rsidR="00C85832" w:rsidRPr="00C85832" w:rsidRDefault="00723B7D" w:rsidP="00C85832">
      <w:pPr>
        <w:spacing w:after="0" w:line="360" w:lineRule="atLeast"/>
        <w:jc w:val="both"/>
        <w:textAlignment w:val="baseline"/>
        <w:rPr>
          <w:rFonts w:ascii="Verdana" w:eastAsia="Times New Roman" w:hAnsi="Verdana"/>
          <w:sz w:val="20"/>
          <w:szCs w:val="20"/>
          <w:lang w:val="en" w:eastAsia="en-AU"/>
        </w:rPr>
      </w:pPr>
      <w:r w:rsidRPr="00F82A83">
        <w:rPr>
          <w:rFonts w:ascii="Verdana" w:eastAsia="Times New Roman" w:hAnsi="Verdana"/>
          <w:sz w:val="20"/>
          <w:szCs w:val="20"/>
          <w:lang w:val="en" w:eastAsia="en-AU"/>
        </w:rPr>
        <w:t xml:space="preserve">Radium-226 samples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collected and reported during the wet season </w:t>
      </w:r>
      <w:r w:rsidR="00FC2458">
        <w:rPr>
          <w:rFonts w:ascii="Verdana" w:eastAsia="Times New Roman" w:hAnsi="Verdana"/>
          <w:sz w:val="20"/>
          <w:szCs w:val="20"/>
          <w:lang w:val="en" w:eastAsia="en-AU"/>
        </w:rPr>
        <w:t>are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</w:t>
      </w:r>
      <w:r w:rsidR="004F1DE8">
        <w:rPr>
          <w:rFonts w:ascii="Verdana" w:eastAsia="Times New Roman" w:hAnsi="Verdana"/>
          <w:sz w:val="20"/>
          <w:szCs w:val="20"/>
          <w:lang w:val="en" w:eastAsia="en-AU"/>
        </w:rPr>
        <w:t xml:space="preserve">within historical ranges </w:t>
      </w:r>
      <w:r>
        <w:rPr>
          <w:rFonts w:ascii="Verdana" w:eastAsia="Times New Roman" w:hAnsi="Verdana"/>
          <w:sz w:val="20"/>
          <w:szCs w:val="20"/>
          <w:lang w:val="en" w:eastAsia="en-AU"/>
        </w:rPr>
        <w:t>at both the</w:t>
      </w:r>
      <w:r w:rsidR="00C40084">
        <w:rPr>
          <w:rFonts w:ascii="Verdana" w:eastAsia="Times New Roman" w:hAnsi="Verdana"/>
          <w:sz w:val="20"/>
          <w:szCs w:val="20"/>
          <w:lang w:val="en" w:eastAsia="en-AU"/>
        </w:rPr>
        <w:t xml:space="preserve"> upstream and downstream sites. 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The geometric mean difference </w:t>
      </w:r>
      <w:r w:rsidR="00FC2458">
        <w:rPr>
          <w:rFonts w:ascii="Verdana" w:eastAsia="Times New Roman" w:hAnsi="Verdana"/>
          <w:sz w:val="20"/>
          <w:szCs w:val="20"/>
          <w:lang w:val="en" w:eastAsia="en-AU"/>
        </w:rPr>
        <w:t>for the entire</w:t>
      </w:r>
      <w:r>
        <w:rPr>
          <w:rFonts w:ascii="Verdana" w:eastAsia="Times New Roman" w:hAnsi="Verdana"/>
          <w:sz w:val="20"/>
          <w:szCs w:val="20"/>
          <w:lang w:val="en" w:eastAsia="en-AU"/>
        </w:rPr>
        <w:t xml:space="preserve"> wet season is below the limit trigger value. </w:t>
      </w:r>
    </w:p>
    <w:p w14:paraId="535C3214" w14:textId="1CC270A5" w:rsidR="00DC1904" w:rsidRDefault="005D3518" w:rsidP="00932861">
      <w:r w:rsidRPr="005D3518">
        <w:rPr>
          <w:noProof/>
          <w:lang w:eastAsia="en-AU"/>
        </w:rPr>
        <w:drawing>
          <wp:inline distT="0" distB="0" distL="0" distR="0" wp14:anchorId="7AC63036" wp14:editId="68A6EBDE">
            <wp:extent cx="5849620" cy="4493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DAF7" w14:textId="53F16D65" w:rsidR="00DC1904" w:rsidRDefault="00DC1904" w:rsidP="00DC1904">
      <w:pPr>
        <w:pBdr>
          <w:bottom w:val="dotted" w:sz="6" w:space="5" w:color="CCCCCC"/>
        </w:pBdr>
        <w:spacing w:after="240" w:line="384" w:lineRule="atLeast"/>
        <w:jc w:val="center"/>
        <w:textAlignment w:val="baseline"/>
        <w:rPr>
          <w:rFonts w:ascii="Verdana" w:eastAsia="Times New Roman" w:hAnsi="Verdana"/>
          <w:i/>
          <w:iCs/>
          <w:sz w:val="20"/>
          <w:szCs w:val="20"/>
          <w:lang w:val="en" w:eastAsia="en-AU"/>
        </w:rPr>
      </w:pPr>
      <w:r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Gulungul Creek radium-226 data 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for the 2019/20</w:t>
      </w:r>
      <w:r w:rsidR="006F1904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>20</w:t>
      </w:r>
      <w:r w:rsidR="00723B7D">
        <w:rPr>
          <w:rFonts w:ascii="Verdana" w:eastAsia="Times New Roman" w:hAnsi="Verdana"/>
          <w:i/>
          <w:iCs/>
          <w:sz w:val="20"/>
          <w:szCs w:val="20"/>
          <w:lang w:val="en" w:eastAsia="en-AU"/>
        </w:rPr>
        <w:t xml:space="preserve"> wet season</w:t>
      </w:r>
    </w:p>
    <w:p w14:paraId="6296FDC8" w14:textId="3C41CCB5" w:rsidR="00DC1904" w:rsidRPr="00EF53FF" w:rsidRDefault="00DC1904" w:rsidP="00932861"/>
    <w:sectPr w:rsidR="00DC1904" w:rsidRPr="00EF53FF" w:rsidSect="00C4118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276" w:bottom="567" w:left="1418" w:header="425" w:footer="4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CA50C" w14:textId="77777777" w:rsidR="007359D0" w:rsidRDefault="007359D0" w:rsidP="00A60185">
      <w:pPr>
        <w:spacing w:after="0" w:line="240" w:lineRule="auto"/>
      </w:pPr>
      <w:r>
        <w:separator/>
      </w:r>
    </w:p>
  </w:endnote>
  <w:endnote w:type="continuationSeparator" w:id="0">
    <w:p w14:paraId="482F3660" w14:textId="77777777" w:rsidR="007359D0" w:rsidRDefault="007359D0" w:rsidP="00A6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807EE" w14:textId="77777777" w:rsidR="009E64AD" w:rsidRDefault="009E64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3830"/>
      <w:docPartObj>
        <w:docPartGallery w:val="Page Numbers (Bottom of Page)"/>
        <w:docPartUnique/>
      </w:docPartObj>
    </w:sdtPr>
    <w:sdtEndPr/>
    <w:sdtContent>
      <w:p w14:paraId="0E367944" w14:textId="77777777" w:rsidR="00100BEF" w:rsidRDefault="00A546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4A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510FA" w14:textId="77777777" w:rsidR="009E64AD" w:rsidRDefault="009E6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49D9D" w14:textId="77777777" w:rsidR="007359D0" w:rsidRDefault="007359D0" w:rsidP="00A60185">
      <w:pPr>
        <w:spacing w:after="0" w:line="240" w:lineRule="auto"/>
      </w:pPr>
      <w:r>
        <w:separator/>
      </w:r>
    </w:p>
  </w:footnote>
  <w:footnote w:type="continuationSeparator" w:id="0">
    <w:p w14:paraId="49B67887" w14:textId="77777777" w:rsidR="007359D0" w:rsidRDefault="007359D0" w:rsidP="00A6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8C5E4" w14:textId="77777777" w:rsidR="009E64AD" w:rsidRDefault="009E64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11D7D" w14:textId="3574418E" w:rsidR="009D0CC2" w:rsidRDefault="0011480A">
    <w:pPr>
      <w:pStyle w:val="Header"/>
    </w:pPr>
    <w:r w:rsidRPr="00D92648">
      <w:rPr>
        <w:noProof/>
        <w:lang w:eastAsia="en-AU"/>
      </w:rPr>
      <w:drawing>
        <wp:inline distT="0" distB="0" distL="0" distR="0" wp14:anchorId="4803B210" wp14:editId="50D2E29C">
          <wp:extent cx="3264616" cy="828675"/>
          <wp:effectExtent l="0" t="0" r="0" b="0"/>
          <wp:docPr id="3" name="Picture 3" descr="C:\Users\A01331\AppData\Local\Microsoft\Windows\Temporary Internet Files\Content.Outlook\JPCXRJUM\AWE-SS-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01331\AppData\Local\Microsoft\Windows\Temporary Internet Files\Content.Outlook\JPCXRJUM\AWE-SS-stri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5633" cy="831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8727F" w14:textId="4F571C0F" w:rsidR="009D0CC2" w:rsidRDefault="009D0CC2">
    <w:pPr>
      <w:pStyle w:val="Header"/>
    </w:pPr>
    <w:r>
      <w:rPr>
        <w:noProof/>
        <w:lang w:eastAsia="en-AU"/>
      </w:rPr>
      <w:drawing>
        <wp:inline distT="0" distB="0" distL="0" distR="0" wp14:anchorId="47E04BDF" wp14:editId="7D3402AA">
          <wp:extent cx="3200400" cy="7683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 w15:restartNumberingAfterBreak="0">
    <w:nsid w:val="0B2B18A9"/>
    <w:multiLevelType w:val="multilevel"/>
    <w:tmpl w:val="A434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857145"/>
    <w:multiLevelType w:val="multilevel"/>
    <w:tmpl w:val="7966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F70E61"/>
    <w:multiLevelType w:val="multilevel"/>
    <w:tmpl w:val="B1AA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745BC2"/>
    <w:multiLevelType w:val="multilevel"/>
    <w:tmpl w:val="E5E89F92"/>
    <w:numStyleLink w:val="BulletList"/>
  </w:abstractNum>
  <w:abstractNum w:abstractNumId="5" w15:restartNumberingAfterBreak="0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BCD580C"/>
    <w:multiLevelType w:val="multilevel"/>
    <w:tmpl w:val="175C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B82C13"/>
    <w:multiLevelType w:val="multilevel"/>
    <w:tmpl w:val="3B62A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531C5D"/>
    <w:multiLevelType w:val="multilevel"/>
    <w:tmpl w:val="BF88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219202C"/>
    <w:multiLevelType w:val="multilevel"/>
    <w:tmpl w:val="E840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456429"/>
    <w:multiLevelType w:val="multilevel"/>
    <w:tmpl w:val="E898CC72"/>
    <w:numStyleLink w:val="KeyPoints"/>
  </w:abstractNum>
  <w:abstractNum w:abstractNumId="12" w15:restartNumberingAfterBreak="0">
    <w:nsid w:val="661449CF"/>
    <w:multiLevelType w:val="multilevel"/>
    <w:tmpl w:val="BB08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5"/>
  </w:num>
  <w:num w:numId="5">
    <w:abstractNumId w:val="11"/>
  </w:num>
  <w:num w:numId="6">
    <w:abstractNumId w:val="4"/>
  </w:num>
  <w:num w:numId="7">
    <w:abstractNumId w:val="1"/>
  </w:num>
  <w:num w:numId="8">
    <w:abstractNumId w:val="3"/>
  </w:num>
  <w:num w:numId="9">
    <w:abstractNumId w:val="10"/>
  </w:num>
  <w:num w:numId="10">
    <w:abstractNumId w:val="2"/>
  </w:num>
  <w:num w:numId="11">
    <w:abstractNumId w:val="8"/>
  </w:num>
  <w:num w:numId="12">
    <w:abstractNumId w:val="12"/>
  </w:num>
  <w:num w:numId="13">
    <w:abstractNumId w:val="7"/>
  </w:num>
  <w:num w:numId="14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ecurityClassificationInHeader" w:val="False"/>
  </w:docVars>
  <w:rsids>
    <w:rsidRoot w:val="007359D0"/>
    <w:rsid w:val="00001478"/>
    <w:rsid w:val="00004AEE"/>
    <w:rsid w:val="00005CAA"/>
    <w:rsid w:val="00007FD3"/>
    <w:rsid w:val="00010210"/>
    <w:rsid w:val="00012D66"/>
    <w:rsid w:val="00015ADA"/>
    <w:rsid w:val="00017F92"/>
    <w:rsid w:val="00020C99"/>
    <w:rsid w:val="00026CCF"/>
    <w:rsid w:val="0002707B"/>
    <w:rsid w:val="00033183"/>
    <w:rsid w:val="000336CA"/>
    <w:rsid w:val="00033AA7"/>
    <w:rsid w:val="0005148E"/>
    <w:rsid w:val="00057FEB"/>
    <w:rsid w:val="00070740"/>
    <w:rsid w:val="00072C5A"/>
    <w:rsid w:val="00073C48"/>
    <w:rsid w:val="000759E5"/>
    <w:rsid w:val="00076C34"/>
    <w:rsid w:val="00084AC6"/>
    <w:rsid w:val="00091608"/>
    <w:rsid w:val="0009333C"/>
    <w:rsid w:val="0009704F"/>
    <w:rsid w:val="000A0F11"/>
    <w:rsid w:val="000A125A"/>
    <w:rsid w:val="000A57CD"/>
    <w:rsid w:val="000B3758"/>
    <w:rsid w:val="000B56E3"/>
    <w:rsid w:val="000B7681"/>
    <w:rsid w:val="000B78DA"/>
    <w:rsid w:val="000B7B42"/>
    <w:rsid w:val="000C02B7"/>
    <w:rsid w:val="000C5100"/>
    <w:rsid w:val="000C5342"/>
    <w:rsid w:val="000C706A"/>
    <w:rsid w:val="000D05C4"/>
    <w:rsid w:val="000D15D5"/>
    <w:rsid w:val="000D2887"/>
    <w:rsid w:val="000D6D63"/>
    <w:rsid w:val="000E0081"/>
    <w:rsid w:val="000E07CF"/>
    <w:rsid w:val="000E31C1"/>
    <w:rsid w:val="000F1FDD"/>
    <w:rsid w:val="000F2BAE"/>
    <w:rsid w:val="000F2CF2"/>
    <w:rsid w:val="000F4FC3"/>
    <w:rsid w:val="000F5B87"/>
    <w:rsid w:val="000F6D5C"/>
    <w:rsid w:val="00100BEF"/>
    <w:rsid w:val="00111326"/>
    <w:rsid w:val="0011311A"/>
    <w:rsid w:val="0011480A"/>
    <w:rsid w:val="0011498E"/>
    <w:rsid w:val="00117A45"/>
    <w:rsid w:val="001224AE"/>
    <w:rsid w:val="001337D4"/>
    <w:rsid w:val="001375E9"/>
    <w:rsid w:val="001460C2"/>
    <w:rsid w:val="00147C12"/>
    <w:rsid w:val="001527A1"/>
    <w:rsid w:val="001530DC"/>
    <w:rsid w:val="00154989"/>
    <w:rsid w:val="00155A9F"/>
    <w:rsid w:val="00160262"/>
    <w:rsid w:val="001619F0"/>
    <w:rsid w:val="0016780A"/>
    <w:rsid w:val="00167DA6"/>
    <w:rsid w:val="001713FA"/>
    <w:rsid w:val="00173084"/>
    <w:rsid w:val="00173EBF"/>
    <w:rsid w:val="00175ED3"/>
    <w:rsid w:val="001779AD"/>
    <w:rsid w:val="001842A2"/>
    <w:rsid w:val="0018453A"/>
    <w:rsid w:val="00187FA8"/>
    <w:rsid w:val="0019284B"/>
    <w:rsid w:val="00192F5E"/>
    <w:rsid w:val="00197772"/>
    <w:rsid w:val="001A51C8"/>
    <w:rsid w:val="001B4CA8"/>
    <w:rsid w:val="001B5EA1"/>
    <w:rsid w:val="001B7390"/>
    <w:rsid w:val="001C4F3D"/>
    <w:rsid w:val="001C73F6"/>
    <w:rsid w:val="001C7DAB"/>
    <w:rsid w:val="001D0CDC"/>
    <w:rsid w:val="001D10AC"/>
    <w:rsid w:val="001D1D82"/>
    <w:rsid w:val="001D6568"/>
    <w:rsid w:val="001E1182"/>
    <w:rsid w:val="001F5350"/>
    <w:rsid w:val="001F7987"/>
    <w:rsid w:val="00202C90"/>
    <w:rsid w:val="00213DE8"/>
    <w:rsid w:val="00214A75"/>
    <w:rsid w:val="00216118"/>
    <w:rsid w:val="002209AB"/>
    <w:rsid w:val="002251E3"/>
    <w:rsid w:val="00227A95"/>
    <w:rsid w:val="002316BD"/>
    <w:rsid w:val="00242382"/>
    <w:rsid w:val="002473FC"/>
    <w:rsid w:val="00247A7D"/>
    <w:rsid w:val="00252E3C"/>
    <w:rsid w:val="00262198"/>
    <w:rsid w:val="00264732"/>
    <w:rsid w:val="00272CE0"/>
    <w:rsid w:val="00283617"/>
    <w:rsid w:val="00285F1B"/>
    <w:rsid w:val="00286808"/>
    <w:rsid w:val="00292B81"/>
    <w:rsid w:val="002A4CE5"/>
    <w:rsid w:val="002B18AE"/>
    <w:rsid w:val="002C1C93"/>
    <w:rsid w:val="002C5066"/>
    <w:rsid w:val="002C5813"/>
    <w:rsid w:val="002D4AAC"/>
    <w:rsid w:val="002F045A"/>
    <w:rsid w:val="002F30C6"/>
    <w:rsid w:val="002F7184"/>
    <w:rsid w:val="0030039D"/>
    <w:rsid w:val="0030326F"/>
    <w:rsid w:val="00303D6C"/>
    <w:rsid w:val="00310701"/>
    <w:rsid w:val="00315720"/>
    <w:rsid w:val="00315980"/>
    <w:rsid w:val="00316F7F"/>
    <w:rsid w:val="003218E8"/>
    <w:rsid w:val="00325E34"/>
    <w:rsid w:val="00330DCE"/>
    <w:rsid w:val="00331E11"/>
    <w:rsid w:val="00334761"/>
    <w:rsid w:val="00337EBC"/>
    <w:rsid w:val="00341DCD"/>
    <w:rsid w:val="0034563E"/>
    <w:rsid w:val="003518D6"/>
    <w:rsid w:val="0035460C"/>
    <w:rsid w:val="003556BD"/>
    <w:rsid w:val="00362B96"/>
    <w:rsid w:val="00365147"/>
    <w:rsid w:val="0037016E"/>
    <w:rsid w:val="00372908"/>
    <w:rsid w:val="00375C71"/>
    <w:rsid w:val="00383020"/>
    <w:rsid w:val="00384EF7"/>
    <w:rsid w:val="00391698"/>
    <w:rsid w:val="003934AA"/>
    <w:rsid w:val="00394D7E"/>
    <w:rsid w:val="00395073"/>
    <w:rsid w:val="003975FD"/>
    <w:rsid w:val="003B057D"/>
    <w:rsid w:val="003B60CC"/>
    <w:rsid w:val="003B6945"/>
    <w:rsid w:val="003C1B25"/>
    <w:rsid w:val="003C2443"/>
    <w:rsid w:val="003C5DA3"/>
    <w:rsid w:val="003D1A0B"/>
    <w:rsid w:val="003D4BCD"/>
    <w:rsid w:val="003D5888"/>
    <w:rsid w:val="003D6C2B"/>
    <w:rsid w:val="003E01D8"/>
    <w:rsid w:val="003E2100"/>
    <w:rsid w:val="003F6F5B"/>
    <w:rsid w:val="0040342D"/>
    <w:rsid w:val="0041192D"/>
    <w:rsid w:val="004130F6"/>
    <w:rsid w:val="00413EE1"/>
    <w:rsid w:val="00415FB4"/>
    <w:rsid w:val="00420138"/>
    <w:rsid w:val="0042128E"/>
    <w:rsid w:val="0042714B"/>
    <w:rsid w:val="00427E90"/>
    <w:rsid w:val="00432B60"/>
    <w:rsid w:val="00440698"/>
    <w:rsid w:val="00447CF9"/>
    <w:rsid w:val="004540E2"/>
    <w:rsid w:val="00454454"/>
    <w:rsid w:val="004572A5"/>
    <w:rsid w:val="00467924"/>
    <w:rsid w:val="004712A5"/>
    <w:rsid w:val="0047266F"/>
    <w:rsid w:val="00476D6B"/>
    <w:rsid w:val="00477D0B"/>
    <w:rsid w:val="00492C16"/>
    <w:rsid w:val="004A0678"/>
    <w:rsid w:val="004A48A3"/>
    <w:rsid w:val="004B00E0"/>
    <w:rsid w:val="004B0D92"/>
    <w:rsid w:val="004B0EC0"/>
    <w:rsid w:val="004B66F1"/>
    <w:rsid w:val="004C17C3"/>
    <w:rsid w:val="004C381A"/>
    <w:rsid w:val="004C3EA0"/>
    <w:rsid w:val="004F1DE4"/>
    <w:rsid w:val="004F1DE8"/>
    <w:rsid w:val="004F7169"/>
    <w:rsid w:val="00500D66"/>
    <w:rsid w:val="00514C8E"/>
    <w:rsid w:val="00521205"/>
    <w:rsid w:val="00530B24"/>
    <w:rsid w:val="00531DBF"/>
    <w:rsid w:val="005375A2"/>
    <w:rsid w:val="00545759"/>
    <w:rsid w:val="00545BE0"/>
    <w:rsid w:val="00546930"/>
    <w:rsid w:val="005508CC"/>
    <w:rsid w:val="0055109E"/>
    <w:rsid w:val="005525CC"/>
    <w:rsid w:val="00554C6A"/>
    <w:rsid w:val="00560BA6"/>
    <w:rsid w:val="005613D6"/>
    <w:rsid w:val="00562E85"/>
    <w:rsid w:val="0056332F"/>
    <w:rsid w:val="005719B3"/>
    <w:rsid w:val="0057295E"/>
    <w:rsid w:val="0057624C"/>
    <w:rsid w:val="00576F60"/>
    <w:rsid w:val="00581C39"/>
    <w:rsid w:val="00583200"/>
    <w:rsid w:val="005903B6"/>
    <w:rsid w:val="0059794D"/>
    <w:rsid w:val="005A0247"/>
    <w:rsid w:val="005A126E"/>
    <w:rsid w:val="005A433E"/>
    <w:rsid w:val="005A452F"/>
    <w:rsid w:val="005B140D"/>
    <w:rsid w:val="005C0EF8"/>
    <w:rsid w:val="005C1F40"/>
    <w:rsid w:val="005C1FEA"/>
    <w:rsid w:val="005C3495"/>
    <w:rsid w:val="005C7845"/>
    <w:rsid w:val="005D3518"/>
    <w:rsid w:val="005D63F9"/>
    <w:rsid w:val="005E00D6"/>
    <w:rsid w:val="005E1081"/>
    <w:rsid w:val="005E1EE7"/>
    <w:rsid w:val="005E3DFC"/>
    <w:rsid w:val="005E5942"/>
    <w:rsid w:val="005E60AF"/>
    <w:rsid w:val="005F1DEA"/>
    <w:rsid w:val="00607FC9"/>
    <w:rsid w:val="0061461B"/>
    <w:rsid w:val="00622FE1"/>
    <w:rsid w:val="0062521C"/>
    <w:rsid w:val="006263AB"/>
    <w:rsid w:val="00630A2B"/>
    <w:rsid w:val="00632DC7"/>
    <w:rsid w:val="006357FB"/>
    <w:rsid w:val="006406FC"/>
    <w:rsid w:val="00640E57"/>
    <w:rsid w:val="006420D4"/>
    <w:rsid w:val="006459BD"/>
    <w:rsid w:val="00646122"/>
    <w:rsid w:val="00653797"/>
    <w:rsid w:val="00653E16"/>
    <w:rsid w:val="00657220"/>
    <w:rsid w:val="00657362"/>
    <w:rsid w:val="0066104B"/>
    <w:rsid w:val="006655EE"/>
    <w:rsid w:val="00667480"/>
    <w:rsid w:val="00667C10"/>
    <w:rsid w:val="00667EF4"/>
    <w:rsid w:val="00676FCA"/>
    <w:rsid w:val="00677177"/>
    <w:rsid w:val="00682F0E"/>
    <w:rsid w:val="0068612E"/>
    <w:rsid w:val="00687C92"/>
    <w:rsid w:val="0069534E"/>
    <w:rsid w:val="0069669C"/>
    <w:rsid w:val="006A1200"/>
    <w:rsid w:val="006A4F4E"/>
    <w:rsid w:val="006A6C23"/>
    <w:rsid w:val="006B14DB"/>
    <w:rsid w:val="006B21C4"/>
    <w:rsid w:val="006B2F62"/>
    <w:rsid w:val="006B4D75"/>
    <w:rsid w:val="006C4A1A"/>
    <w:rsid w:val="006D0393"/>
    <w:rsid w:val="006D1A83"/>
    <w:rsid w:val="006D638A"/>
    <w:rsid w:val="006E1CFE"/>
    <w:rsid w:val="006F10C4"/>
    <w:rsid w:val="006F1904"/>
    <w:rsid w:val="006F40E9"/>
    <w:rsid w:val="006F47E8"/>
    <w:rsid w:val="006F5603"/>
    <w:rsid w:val="006F7B87"/>
    <w:rsid w:val="00701400"/>
    <w:rsid w:val="00701645"/>
    <w:rsid w:val="007037CF"/>
    <w:rsid w:val="00713FB2"/>
    <w:rsid w:val="007167C0"/>
    <w:rsid w:val="00720481"/>
    <w:rsid w:val="00723B7D"/>
    <w:rsid w:val="00727205"/>
    <w:rsid w:val="00733193"/>
    <w:rsid w:val="007359D0"/>
    <w:rsid w:val="0074357E"/>
    <w:rsid w:val="00744DDA"/>
    <w:rsid w:val="00745E03"/>
    <w:rsid w:val="0075732A"/>
    <w:rsid w:val="007600F8"/>
    <w:rsid w:val="00760262"/>
    <w:rsid w:val="0076310C"/>
    <w:rsid w:val="00766B9A"/>
    <w:rsid w:val="0076744F"/>
    <w:rsid w:val="00767BCE"/>
    <w:rsid w:val="00767EFC"/>
    <w:rsid w:val="007707DE"/>
    <w:rsid w:val="00770B5D"/>
    <w:rsid w:val="007752F1"/>
    <w:rsid w:val="00776768"/>
    <w:rsid w:val="0078187A"/>
    <w:rsid w:val="00790041"/>
    <w:rsid w:val="00794ED8"/>
    <w:rsid w:val="007A2573"/>
    <w:rsid w:val="007A4DC8"/>
    <w:rsid w:val="007B106C"/>
    <w:rsid w:val="007B1A4E"/>
    <w:rsid w:val="007B3417"/>
    <w:rsid w:val="007B3D05"/>
    <w:rsid w:val="007B5503"/>
    <w:rsid w:val="007C179C"/>
    <w:rsid w:val="007C6BB3"/>
    <w:rsid w:val="007D14B4"/>
    <w:rsid w:val="007D3AD7"/>
    <w:rsid w:val="007E24F6"/>
    <w:rsid w:val="00800F64"/>
    <w:rsid w:val="00801050"/>
    <w:rsid w:val="00802F0B"/>
    <w:rsid w:val="00807715"/>
    <w:rsid w:val="00810A67"/>
    <w:rsid w:val="0082377D"/>
    <w:rsid w:val="00831133"/>
    <w:rsid w:val="00831B09"/>
    <w:rsid w:val="00833CF7"/>
    <w:rsid w:val="00834CDE"/>
    <w:rsid w:val="00842464"/>
    <w:rsid w:val="00845601"/>
    <w:rsid w:val="00855C5C"/>
    <w:rsid w:val="00857C60"/>
    <w:rsid w:val="0087139B"/>
    <w:rsid w:val="00871DFF"/>
    <w:rsid w:val="008936AD"/>
    <w:rsid w:val="008A2CAA"/>
    <w:rsid w:val="008A3C96"/>
    <w:rsid w:val="008B4019"/>
    <w:rsid w:val="008B4C80"/>
    <w:rsid w:val="008B65C9"/>
    <w:rsid w:val="008C2D4A"/>
    <w:rsid w:val="008D3900"/>
    <w:rsid w:val="008D6E1D"/>
    <w:rsid w:val="008F39B4"/>
    <w:rsid w:val="008F4162"/>
    <w:rsid w:val="008F4B6A"/>
    <w:rsid w:val="008F5A3D"/>
    <w:rsid w:val="00903E02"/>
    <w:rsid w:val="00913175"/>
    <w:rsid w:val="009133D2"/>
    <w:rsid w:val="00916EDB"/>
    <w:rsid w:val="00920861"/>
    <w:rsid w:val="00920A9E"/>
    <w:rsid w:val="00922B13"/>
    <w:rsid w:val="009242EF"/>
    <w:rsid w:val="00932280"/>
    <w:rsid w:val="00932291"/>
    <w:rsid w:val="00932861"/>
    <w:rsid w:val="0093408E"/>
    <w:rsid w:val="0093719B"/>
    <w:rsid w:val="00944782"/>
    <w:rsid w:val="00952DDF"/>
    <w:rsid w:val="00956E57"/>
    <w:rsid w:val="009610A3"/>
    <w:rsid w:val="00962455"/>
    <w:rsid w:val="00963995"/>
    <w:rsid w:val="00963B6A"/>
    <w:rsid w:val="0096409B"/>
    <w:rsid w:val="00970950"/>
    <w:rsid w:val="009812D4"/>
    <w:rsid w:val="009818AE"/>
    <w:rsid w:val="009920D8"/>
    <w:rsid w:val="0099279E"/>
    <w:rsid w:val="00994A2B"/>
    <w:rsid w:val="009952F5"/>
    <w:rsid w:val="009A10BD"/>
    <w:rsid w:val="009A5951"/>
    <w:rsid w:val="009A6DB7"/>
    <w:rsid w:val="009B07BF"/>
    <w:rsid w:val="009B1662"/>
    <w:rsid w:val="009B38BE"/>
    <w:rsid w:val="009B536E"/>
    <w:rsid w:val="009C3D0F"/>
    <w:rsid w:val="009D0CC2"/>
    <w:rsid w:val="009E1B19"/>
    <w:rsid w:val="009E3024"/>
    <w:rsid w:val="009E375F"/>
    <w:rsid w:val="009E64AD"/>
    <w:rsid w:val="009F35E2"/>
    <w:rsid w:val="009F65F9"/>
    <w:rsid w:val="009F68BA"/>
    <w:rsid w:val="00A0498C"/>
    <w:rsid w:val="00A06277"/>
    <w:rsid w:val="00A079DC"/>
    <w:rsid w:val="00A111C2"/>
    <w:rsid w:val="00A1165F"/>
    <w:rsid w:val="00A136EC"/>
    <w:rsid w:val="00A146FE"/>
    <w:rsid w:val="00A17DE9"/>
    <w:rsid w:val="00A338E7"/>
    <w:rsid w:val="00A35CAA"/>
    <w:rsid w:val="00A36E7F"/>
    <w:rsid w:val="00A40951"/>
    <w:rsid w:val="00A41E65"/>
    <w:rsid w:val="00A42FE4"/>
    <w:rsid w:val="00A43E0A"/>
    <w:rsid w:val="00A50EE8"/>
    <w:rsid w:val="00A5118B"/>
    <w:rsid w:val="00A51D05"/>
    <w:rsid w:val="00A530C7"/>
    <w:rsid w:val="00A537E5"/>
    <w:rsid w:val="00A5466E"/>
    <w:rsid w:val="00A546AC"/>
    <w:rsid w:val="00A55F5B"/>
    <w:rsid w:val="00A60185"/>
    <w:rsid w:val="00A62FE2"/>
    <w:rsid w:val="00A63713"/>
    <w:rsid w:val="00A661EA"/>
    <w:rsid w:val="00A70D5B"/>
    <w:rsid w:val="00A830E5"/>
    <w:rsid w:val="00A87135"/>
    <w:rsid w:val="00A93280"/>
    <w:rsid w:val="00A951EA"/>
    <w:rsid w:val="00AA2548"/>
    <w:rsid w:val="00AA58C4"/>
    <w:rsid w:val="00AA7003"/>
    <w:rsid w:val="00AB11C8"/>
    <w:rsid w:val="00AB5B1C"/>
    <w:rsid w:val="00AC08A8"/>
    <w:rsid w:val="00AC1579"/>
    <w:rsid w:val="00AD49D8"/>
    <w:rsid w:val="00AD56C8"/>
    <w:rsid w:val="00AD58F2"/>
    <w:rsid w:val="00AE174D"/>
    <w:rsid w:val="00AF3854"/>
    <w:rsid w:val="00B04D92"/>
    <w:rsid w:val="00B0512A"/>
    <w:rsid w:val="00B0529F"/>
    <w:rsid w:val="00B1418B"/>
    <w:rsid w:val="00B21195"/>
    <w:rsid w:val="00B24B22"/>
    <w:rsid w:val="00B25310"/>
    <w:rsid w:val="00B32F8F"/>
    <w:rsid w:val="00B3492A"/>
    <w:rsid w:val="00B4048B"/>
    <w:rsid w:val="00B41DB2"/>
    <w:rsid w:val="00B45062"/>
    <w:rsid w:val="00B52111"/>
    <w:rsid w:val="00B54DE9"/>
    <w:rsid w:val="00B553EC"/>
    <w:rsid w:val="00B55E3F"/>
    <w:rsid w:val="00B578E9"/>
    <w:rsid w:val="00B63C1E"/>
    <w:rsid w:val="00B65C73"/>
    <w:rsid w:val="00B74BD6"/>
    <w:rsid w:val="00B93DD0"/>
    <w:rsid w:val="00B96C8C"/>
    <w:rsid w:val="00B97732"/>
    <w:rsid w:val="00BA0748"/>
    <w:rsid w:val="00BA25E9"/>
    <w:rsid w:val="00BA4988"/>
    <w:rsid w:val="00BA65A8"/>
    <w:rsid w:val="00BA6D19"/>
    <w:rsid w:val="00BA7461"/>
    <w:rsid w:val="00BA7DA9"/>
    <w:rsid w:val="00BC4215"/>
    <w:rsid w:val="00BD0C68"/>
    <w:rsid w:val="00BD1A6F"/>
    <w:rsid w:val="00BD7BBB"/>
    <w:rsid w:val="00BE1AA2"/>
    <w:rsid w:val="00BE33BB"/>
    <w:rsid w:val="00BE6D3C"/>
    <w:rsid w:val="00BE7852"/>
    <w:rsid w:val="00BF3354"/>
    <w:rsid w:val="00BF7CEE"/>
    <w:rsid w:val="00C03880"/>
    <w:rsid w:val="00C1235B"/>
    <w:rsid w:val="00C13430"/>
    <w:rsid w:val="00C135CF"/>
    <w:rsid w:val="00C146CE"/>
    <w:rsid w:val="00C17B47"/>
    <w:rsid w:val="00C2683F"/>
    <w:rsid w:val="00C27EE9"/>
    <w:rsid w:val="00C30DEF"/>
    <w:rsid w:val="00C3184D"/>
    <w:rsid w:val="00C33254"/>
    <w:rsid w:val="00C33629"/>
    <w:rsid w:val="00C35E5D"/>
    <w:rsid w:val="00C40084"/>
    <w:rsid w:val="00C4118E"/>
    <w:rsid w:val="00C46356"/>
    <w:rsid w:val="00C4714E"/>
    <w:rsid w:val="00C51CCA"/>
    <w:rsid w:val="00C5504F"/>
    <w:rsid w:val="00C57B55"/>
    <w:rsid w:val="00C61E52"/>
    <w:rsid w:val="00C63376"/>
    <w:rsid w:val="00C74F97"/>
    <w:rsid w:val="00C77850"/>
    <w:rsid w:val="00C803B6"/>
    <w:rsid w:val="00C8276E"/>
    <w:rsid w:val="00C842AC"/>
    <w:rsid w:val="00C85832"/>
    <w:rsid w:val="00C957F6"/>
    <w:rsid w:val="00C95A5E"/>
    <w:rsid w:val="00C96688"/>
    <w:rsid w:val="00CA0723"/>
    <w:rsid w:val="00CB1690"/>
    <w:rsid w:val="00CB16E8"/>
    <w:rsid w:val="00CC4365"/>
    <w:rsid w:val="00CD11B0"/>
    <w:rsid w:val="00CE1757"/>
    <w:rsid w:val="00CE5BCC"/>
    <w:rsid w:val="00CE71C2"/>
    <w:rsid w:val="00CF2C2C"/>
    <w:rsid w:val="00CF34E9"/>
    <w:rsid w:val="00CF42D5"/>
    <w:rsid w:val="00CF4EDA"/>
    <w:rsid w:val="00D021CB"/>
    <w:rsid w:val="00D10F1A"/>
    <w:rsid w:val="00D116D1"/>
    <w:rsid w:val="00D116F8"/>
    <w:rsid w:val="00D16093"/>
    <w:rsid w:val="00D17596"/>
    <w:rsid w:val="00D21D54"/>
    <w:rsid w:val="00D22640"/>
    <w:rsid w:val="00D233DB"/>
    <w:rsid w:val="00D26D3A"/>
    <w:rsid w:val="00D34C66"/>
    <w:rsid w:val="00D35579"/>
    <w:rsid w:val="00D45EE3"/>
    <w:rsid w:val="00D50618"/>
    <w:rsid w:val="00D509E9"/>
    <w:rsid w:val="00D53B1C"/>
    <w:rsid w:val="00DA1B12"/>
    <w:rsid w:val="00DA54C9"/>
    <w:rsid w:val="00DA6739"/>
    <w:rsid w:val="00DA6CAE"/>
    <w:rsid w:val="00DB1A9E"/>
    <w:rsid w:val="00DB31D6"/>
    <w:rsid w:val="00DB4005"/>
    <w:rsid w:val="00DB62A8"/>
    <w:rsid w:val="00DC1904"/>
    <w:rsid w:val="00DC34EB"/>
    <w:rsid w:val="00DF1E5B"/>
    <w:rsid w:val="00DF2275"/>
    <w:rsid w:val="00DF3F5E"/>
    <w:rsid w:val="00DF5653"/>
    <w:rsid w:val="00E0596E"/>
    <w:rsid w:val="00E06F66"/>
    <w:rsid w:val="00E2083D"/>
    <w:rsid w:val="00E21383"/>
    <w:rsid w:val="00E3189F"/>
    <w:rsid w:val="00E31E78"/>
    <w:rsid w:val="00E324B0"/>
    <w:rsid w:val="00E356E5"/>
    <w:rsid w:val="00E36F81"/>
    <w:rsid w:val="00E45765"/>
    <w:rsid w:val="00E5098C"/>
    <w:rsid w:val="00E50C3D"/>
    <w:rsid w:val="00E60213"/>
    <w:rsid w:val="00E60979"/>
    <w:rsid w:val="00E661B2"/>
    <w:rsid w:val="00E74D29"/>
    <w:rsid w:val="00E825E1"/>
    <w:rsid w:val="00E83C74"/>
    <w:rsid w:val="00E83CEE"/>
    <w:rsid w:val="00E91F18"/>
    <w:rsid w:val="00E9226D"/>
    <w:rsid w:val="00E97F99"/>
    <w:rsid w:val="00EA416C"/>
    <w:rsid w:val="00EA5941"/>
    <w:rsid w:val="00EB3682"/>
    <w:rsid w:val="00EB60CE"/>
    <w:rsid w:val="00EB75DD"/>
    <w:rsid w:val="00EB791E"/>
    <w:rsid w:val="00EB7D53"/>
    <w:rsid w:val="00EC0C77"/>
    <w:rsid w:val="00EC30B9"/>
    <w:rsid w:val="00EC53CE"/>
    <w:rsid w:val="00ED5AE6"/>
    <w:rsid w:val="00ED7188"/>
    <w:rsid w:val="00EE3146"/>
    <w:rsid w:val="00EF2F9C"/>
    <w:rsid w:val="00EF50BB"/>
    <w:rsid w:val="00EF50C2"/>
    <w:rsid w:val="00EF53FF"/>
    <w:rsid w:val="00F00192"/>
    <w:rsid w:val="00F01DF6"/>
    <w:rsid w:val="00F0340D"/>
    <w:rsid w:val="00F059A6"/>
    <w:rsid w:val="00F0610C"/>
    <w:rsid w:val="00F07FD3"/>
    <w:rsid w:val="00F1383C"/>
    <w:rsid w:val="00F23756"/>
    <w:rsid w:val="00F23D61"/>
    <w:rsid w:val="00F2523A"/>
    <w:rsid w:val="00F25FFA"/>
    <w:rsid w:val="00F26639"/>
    <w:rsid w:val="00F310D2"/>
    <w:rsid w:val="00F354EC"/>
    <w:rsid w:val="00F36F3D"/>
    <w:rsid w:val="00F420F8"/>
    <w:rsid w:val="00F477BD"/>
    <w:rsid w:val="00F53491"/>
    <w:rsid w:val="00F562CB"/>
    <w:rsid w:val="00F6110D"/>
    <w:rsid w:val="00F6562E"/>
    <w:rsid w:val="00F65A1C"/>
    <w:rsid w:val="00F66F50"/>
    <w:rsid w:val="00F82FF8"/>
    <w:rsid w:val="00F8330D"/>
    <w:rsid w:val="00F84305"/>
    <w:rsid w:val="00F8485C"/>
    <w:rsid w:val="00F84D11"/>
    <w:rsid w:val="00F87149"/>
    <w:rsid w:val="00F87FFE"/>
    <w:rsid w:val="00F92A4E"/>
    <w:rsid w:val="00F93806"/>
    <w:rsid w:val="00F954C9"/>
    <w:rsid w:val="00FA4CF0"/>
    <w:rsid w:val="00FA61AA"/>
    <w:rsid w:val="00FA69A4"/>
    <w:rsid w:val="00FB1279"/>
    <w:rsid w:val="00FB1495"/>
    <w:rsid w:val="00FC2458"/>
    <w:rsid w:val="00FD1694"/>
    <w:rsid w:val="00FD7636"/>
    <w:rsid w:val="00FE3229"/>
    <w:rsid w:val="00FE74C3"/>
    <w:rsid w:val="00FF215C"/>
    <w:rsid w:val="00FF416C"/>
    <w:rsid w:val="00FF49E8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0E2201BC"/>
  <w15:chartTrackingRefBased/>
  <w15:docId w15:val="{76CA29AB-1769-4402-8E65-91ADE8FE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AD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CCA"/>
    <w:pPr>
      <w:keepNext/>
      <w:outlineLvl w:val="0"/>
    </w:pPr>
    <w:rPr>
      <w:rFonts w:cs="Arial"/>
      <w:b/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0E31C1"/>
    <w:pPr>
      <w:keepNext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0E31C1"/>
    <w:pPr>
      <w:keepNext/>
      <w:outlineLvl w:val="2"/>
    </w:pPr>
    <w:rPr>
      <w:rFonts w:cs="Arial"/>
      <w:b/>
      <w:i/>
    </w:rPr>
  </w:style>
  <w:style w:type="paragraph" w:styleId="Heading4">
    <w:name w:val="heading 4"/>
    <w:basedOn w:val="Normal"/>
    <w:next w:val="Normal"/>
    <w:link w:val="Heading4Char"/>
    <w:uiPriority w:val="9"/>
    <w:qFormat/>
    <w:rsid w:val="000E31C1"/>
    <w:pPr>
      <w:keepNext/>
      <w:outlineLvl w:val="3"/>
    </w:pPr>
    <w:rPr>
      <w:rFonts w:cs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185"/>
  </w:style>
  <w:style w:type="paragraph" w:styleId="Footer">
    <w:name w:val="footer"/>
    <w:basedOn w:val="Normal"/>
    <w:link w:val="Foot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185"/>
  </w:style>
  <w:style w:type="paragraph" w:styleId="BalloonText">
    <w:name w:val="Balloon Text"/>
    <w:basedOn w:val="Normal"/>
    <w:link w:val="BalloonTextChar"/>
    <w:uiPriority w:val="99"/>
    <w:semiHidden/>
    <w:unhideWhenUsed/>
    <w:rsid w:val="00A6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85"/>
    <w:rPr>
      <w:rFonts w:ascii="Tahoma" w:hAnsi="Tahoma" w:cs="Tahoma"/>
      <w:sz w:val="16"/>
      <w:szCs w:val="16"/>
    </w:rPr>
  </w:style>
  <w:style w:type="numbering" w:customStyle="1" w:styleId="KeyPoints">
    <w:name w:val="Key Points"/>
    <w:basedOn w:val="NoList"/>
    <w:uiPriority w:val="99"/>
    <w:rsid w:val="00005CAA"/>
    <w:pPr>
      <w:numPr>
        <w:numId w:val="1"/>
      </w:numPr>
    </w:pPr>
  </w:style>
  <w:style w:type="paragraph" w:customStyle="1" w:styleId="1NumberedPointsStyle">
    <w:name w:val="1. Numbered Points Style"/>
    <w:basedOn w:val="ListParagraph"/>
    <w:rsid w:val="00BD1A6F"/>
    <w:pPr>
      <w:numPr>
        <w:numId w:val="0"/>
      </w:numPr>
    </w:pPr>
  </w:style>
  <w:style w:type="numbering" w:customStyle="1" w:styleId="BulletList">
    <w:name w:val="Bullet List"/>
    <w:uiPriority w:val="99"/>
    <w:rsid w:val="00091608"/>
    <w:pPr>
      <w:numPr>
        <w:numId w:val="2"/>
      </w:numPr>
    </w:pPr>
  </w:style>
  <w:style w:type="paragraph" w:customStyle="1" w:styleId="1BulletStyleList">
    <w:name w:val="1. Bullet Style List"/>
    <w:basedOn w:val="Normal"/>
    <w:rsid w:val="00CE71C2"/>
    <w:pPr>
      <w:spacing w:line="240" w:lineRule="auto"/>
    </w:pPr>
    <w:rPr>
      <w:rFonts w:eastAsia="Times New Roman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51CCA"/>
    <w:rPr>
      <w:rFonts w:cs="Arial"/>
      <w:b/>
      <w:caps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E31C1"/>
    <w:rPr>
      <w:rFonts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E31C1"/>
    <w:rPr>
      <w:rFonts w:cs="Arial"/>
      <w:b/>
      <w:i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E31C1"/>
    <w:rPr>
      <w:rFonts w:cs="Arial"/>
      <w:i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91608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091608"/>
    <w:pPr>
      <w:numPr>
        <w:ilvl w:val="1"/>
        <w:numId w:val="6"/>
      </w:numPr>
    </w:pPr>
  </w:style>
  <w:style w:type="paragraph" w:styleId="ListBullet3">
    <w:name w:val="List Bullet 3"/>
    <w:basedOn w:val="Normal"/>
    <w:uiPriority w:val="99"/>
    <w:unhideWhenUsed/>
    <w:rsid w:val="00091608"/>
    <w:pPr>
      <w:numPr>
        <w:ilvl w:val="2"/>
        <w:numId w:val="6"/>
      </w:numPr>
    </w:pPr>
  </w:style>
  <w:style w:type="paragraph" w:styleId="ListBullet4">
    <w:name w:val="List Bullet 4"/>
    <w:basedOn w:val="Normal"/>
    <w:uiPriority w:val="99"/>
    <w:unhideWhenUsed/>
    <w:rsid w:val="00091608"/>
    <w:pPr>
      <w:numPr>
        <w:ilvl w:val="3"/>
        <w:numId w:val="6"/>
      </w:numPr>
    </w:pPr>
  </w:style>
  <w:style w:type="paragraph" w:styleId="ListBullet5">
    <w:name w:val="List Bullet 5"/>
    <w:basedOn w:val="Normal"/>
    <w:uiPriority w:val="99"/>
    <w:unhideWhenUsed/>
    <w:rsid w:val="00091608"/>
    <w:pPr>
      <w:numPr>
        <w:ilvl w:val="4"/>
        <w:numId w:val="6"/>
      </w:numPr>
    </w:pPr>
  </w:style>
  <w:style w:type="numbering" w:customStyle="1" w:styleId="Attach">
    <w:name w:val="Attach"/>
    <w:basedOn w:val="NoList"/>
    <w:uiPriority w:val="99"/>
    <w:rsid w:val="00607FC9"/>
    <w:pPr>
      <w:numPr>
        <w:numId w:val="3"/>
      </w:numPr>
    </w:pPr>
  </w:style>
  <w:style w:type="paragraph" w:customStyle="1" w:styleId="Classification">
    <w:name w:val="Classification"/>
    <w:basedOn w:val="Normal"/>
    <w:uiPriority w:val="10"/>
    <w:qFormat/>
    <w:rsid w:val="00646122"/>
    <w:pPr>
      <w:tabs>
        <w:tab w:val="center" w:pos="4536"/>
        <w:tab w:val="center" w:pos="4819"/>
        <w:tab w:val="right" w:pos="9356"/>
      </w:tabs>
      <w:spacing w:after="24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rsid w:val="003556BD"/>
    <w:pPr>
      <w:numPr>
        <w:numId w:val="4"/>
      </w:numPr>
    </w:pPr>
  </w:style>
  <w:style w:type="character" w:styleId="BookTitle">
    <w:name w:val="Book Title"/>
    <w:basedOn w:val="DefaultParagraphFont"/>
    <w:uiPriority w:val="33"/>
    <w:rsid w:val="00383020"/>
    <w:rPr>
      <w:bCs/>
      <w:i/>
      <w:smallCaps/>
      <w:spacing w:val="5"/>
    </w:rPr>
  </w:style>
  <w:style w:type="paragraph" w:styleId="ListNumber">
    <w:name w:val="List Number"/>
    <w:basedOn w:val="Normal"/>
    <w:uiPriority w:val="99"/>
    <w:qFormat/>
    <w:rsid w:val="00005CAA"/>
    <w:pPr>
      <w:numPr>
        <w:numId w:val="5"/>
      </w:numPr>
    </w:pPr>
  </w:style>
  <w:style w:type="paragraph" w:styleId="ListNumber2">
    <w:name w:val="List Number 2"/>
    <w:basedOn w:val="Normal"/>
    <w:uiPriority w:val="99"/>
    <w:rsid w:val="00005CAA"/>
    <w:pPr>
      <w:numPr>
        <w:ilvl w:val="1"/>
        <w:numId w:val="5"/>
      </w:numPr>
    </w:pPr>
  </w:style>
  <w:style w:type="paragraph" w:styleId="ListNumber3">
    <w:name w:val="List Number 3"/>
    <w:basedOn w:val="Normal"/>
    <w:uiPriority w:val="99"/>
    <w:rsid w:val="00005CAA"/>
    <w:pPr>
      <w:numPr>
        <w:ilvl w:val="2"/>
        <w:numId w:val="5"/>
      </w:numPr>
    </w:pPr>
  </w:style>
  <w:style w:type="paragraph" w:styleId="ListNumber4">
    <w:name w:val="List Number 4"/>
    <w:basedOn w:val="Normal"/>
    <w:uiPriority w:val="99"/>
    <w:rsid w:val="00005CAA"/>
    <w:pPr>
      <w:numPr>
        <w:ilvl w:val="3"/>
        <w:numId w:val="5"/>
      </w:numPr>
    </w:pPr>
  </w:style>
  <w:style w:type="paragraph" w:styleId="ListNumber5">
    <w:name w:val="List Number 5"/>
    <w:basedOn w:val="Normal"/>
    <w:uiPriority w:val="99"/>
    <w:rsid w:val="00005CAA"/>
    <w:pPr>
      <w:numPr>
        <w:ilvl w:val="4"/>
        <w:numId w:val="5"/>
      </w:numPr>
    </w:pPr>
  </w:style>
  <w:style w:type="paragraph" w:customStyle="1" w:styleId="Footerclassification">
    <w:name w:val="Footer classification"/>
    <w:basedOn w:val="Classification"/>
    <w:rsid w:val="00D021CB"/>
    <w:pPr>
      <w:spacing w:before="240" w:after="0"/>
    </w:pPr>
  </w:style>
  <w:style w:type="table" w:styleId="TableGrid">
    <w:name w:val="Table Grid"/>
    <w:basedOn w:val="TableNormal"/>
    <w:uiPriority w:val="59"/>
    <w:rsid w:val="00100BE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la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band1Horz">
      <w:pPr>
        <w:wordWrap/>
        <w:spacing w:beforeLines="0" w:beforeAutospacing="0" w:afterLines="0" w:afterAutospacing="0" w:line="240" w:lineRule="auto"/>
        <w:contextualSpacing w:val="0"/>
        <w:mirrorIndents w:val="0"/>
      </w:pPr>
      <w:rPr>
        <w:rFonts w:ascii="Arial" w:hAnsi="Arial"/>
        <w:sz w:val="20"/>
      </w:rPr>
    </w:tblStylePr>
    <w:tblStylePr w:type="band2Horz">
      <w:pPr>
        <w:wordWrap/>
        <w:spacing w:beforeLines="0" w:beforeAutospacing="0" w:afterLines="0" w:afterAutospacing="0"/>
        <w:contextualSpacing w:val="0"/>
        <w:mirrorIndents w:val="0"/>
      </w:pPr>
      <w:rPr>
        <w:rFonts w:ascii="Arial" w:hAnsi="Arial"/>
        <w:sz w:val="20"/>
      </w:rPr>
    </w:tblStylePr>
  </w:style>
  <w:style w:type="paragraph" w:customStyle="1" w:styleId="Tabletext">
    <w:name w:val="Table text"/>
    <w:basedOn w:val="Normal"/>
    <w:uiPriority w:val="9"/>
    <w:qFormat/>
    <w:rsid w:val="005A126E"/>
    <w:pPr>
      <w:spacing w:after="0"/>
    </w:pPr>
  </w:style>
  <w:style w:type="paragraph" w:customStyle="1" w:styleId="Classificationsensitivity">
    <w:name w:val="Classification sensitivity"/>
    <w:basedOn w:val="Classification"/>
    <w:rsid w:val="002C5813"/>
    <w:rPr>
      <w:sz w:val="22"/>
    </w:rPr>
  </w:style>
  <w:style w:type="character" w:styleId="Hyperlink">
    <w:name w:val="Hyperlink"/>
    <w:basedOn w:val="DefaultParagraphFont"/>
    <w:uiPriority w:val="99"/>
    <w:unhideWhenUsed/>
    <w:rsid w:val="00D116D1"/>
    <w:rPr>
      <w:strike w:val="0"/>
      <w:dstrike w:val="0"/>
      <w:color w:val="0062A0"/>
      <w:sz w:val="24"/>
      <w:szCs w:val="24"/>
      <w:u w:val="single"/>
      <w:effect w:val="none"/>
      <w:bdr w:val="none" w:sz="0" w:space="0" w:color="auto" w:frame="1"/>
      <w:vertAlign w:val="baseline"/>
    </w:rPr>
  </w:style>
  <w:style w:type="character" w:styleId="Strong">
    <w:name w:val="Strong"/>
    <w:basedOn w:val="DefaultParagraphFont"/>
    <w:uiPriority w:val="22"/>
    <w:qFormat/>
    <w:rsid w:val="00D116D1"/>
    <w:rPr>
      <w:b/>
      <w:bCs/>
      <w:sz w:val="24"/>
      <w:szCs w:val="24"/>
      <w:bdr w:val="none" w:sz="0" w:space="0" w:color="auto" w:frame="1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D116D1"/>
    <w:pPr>
      <w:spacing w:after="180" w:line="240" w:lineRule="auto"/>
      <w:textAlignment w:val="baseline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clear">
    <w:name w:val="clear"/>
    <w:basedOn w:val="Normal"/>
    <w:rsid w:val="00D116D1"/>
    <w:pPr>
      <w:spacing w:after="180" w:line="240" w:lineRule="auto"/>
      <w:textAlignment w:val="baseline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source">
    <w:name w:val="source"/>
    <w:basedOn w:val="Normal"/>
    <w:rsid w:val="00D116D1"/>
    <w:pPr>
      <w:pBdr>
        <w:bottom w:val="dotted" w:sz="6" w:space="5" w:color="CCCCCC"/>
      </w:pBdr>
      <w:spacing w:after="240" w:line="384" w:lineRule="atLeast"/>
      <w:textAlignment w:val="baseline"/>
    </w:pPr>
    <w:rPr>
      <w:rFonts w:ascii="Times New Roman" w:eastAsia="Times New Roman" w:hAnsi="Times New Roman"/>
      <w:i/>
      <w:iCs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20A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A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A9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A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A9E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70D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7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35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461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86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88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2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36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123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07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375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0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91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55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86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9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243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0108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991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0476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806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3115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602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49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743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981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59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43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49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5153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9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vironment.gov.au/science/supervising-scientist/publications/internal-reports/surface-water-chemistry-monitoring-protocol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nvironment.gov.au/science/supervising-scientist/publications/internal-reports/ir670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nvironment.gov.au/science/supervising-scientist/publications/internal-reports/ir670" TargetMode="External"/><Relationship Id="rId14" Type="http://schemas.openxmlformats.org/officeDocument/2006/relationships/image" Target="media/image4.em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DD7A8-0D99-4BF6-9402-0F29F8795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7865056B.dotm</Template>
  <TotalTime>0</TotalTime>
  <Pages>9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Gulungul Creek monitoring data 2019-2020</vt:lpstr>
    </vt:vector>
  </TitlesOfParts>
  <Company/>
  <LinksUpToDate>false</LinksUpToDate>
  <CharactersWithSpaces>9114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Gulungul Creek monitoring data 2019-2020</dc:title>
  <dc:subject/>
  <dc:creator>Department of Agriculture, Water and the Environment</dc:creator>
  <cp:keywords/>
  <dc:description/>
  <cp:lastModifiedBy>Lien Nguyen</cp:lastModifiedBy>
  <cp:revision>2</cp:revision>
  <dcterms:created xsi:type="dcterms:W3CDTF">2020-07-28T05:03:00Z</dcterms:created>
  <dcterms:modified xsi:type="dcterms:W3CDTF">2020-07-28T05:04:00Z</dcterms:modified>
</cp:coreProperties>
</file>